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40</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hint="eastAsia" w:ascii="方正小标宋_GBK" w:hAnsi="方正小标宋_GBK" w:eastAsia="方正小标宋_GBK" w:cs="方正小标宋_GBK"/>
          <w:color w:val="000000"/>
          <w:sz w:val="52"/>
          <w:szCs w:val="52"/>
          <w:lang w:val="en-US" w:eastAsia="zh-CN"/>
        </w:rPr>
      </w:pPr>
      <w:r>
        <w:rPr>
          <w:rFonts w:hint="eastAsia" w:ascii="方正小标宋_GBK" w:hAnsi="方正小标宋_GBK" w:eastAsia="方正小标宋_GBK" w:cs="方正小标宋_GBK"/>
          <w:color w:val="000000"/>
          <w:sz w:val="52"/>
          <w:szCs w:val="52"/>
          <w:lang w:val="en-US" w:eastAsia="zh-CN"/>
        </w:rPr>
        <w:t>2023年部门预算信息公开表</w:t>
      </w:r>
    </w:p>
    <w:p>
      <w:pPr>
        <w:spacing w:before="0" w:after="0" w:line="240" w:lineRule="auto"/>
        <w:ind w:firstLine="0"/>
        <w:jc w:val="center"/>
        <w:outlineLvl w:val="1"/>
        <w:rPr>
          <w:rFonts w:hint="default"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607河北无极经济开发区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901.12</w:t>
            </w:r>
          </w:p>
        </w:tc>
        <w:tc>
          <w:tcPr>
            <w:tcW w:w="4535" w:type="dxa"/>
            <w:vAlign w:val="center"/>
          </w:tcPr>
          <w:p>
            <w:pPr>
              <w:pStyle w:val="14"/>
            </w:pPr>
            <w:r>
              <w:t>一、一般公共服务支出</w:t>
            </w:r>
          </w:p>
        </w:tc>
        <w:tc>
          <w:tcPr>
            <w:tcW w:w="2126" w:type="dxa"/>
            <w:vAlign w:val="center"/>
          </w:tcPr>
          <w:p>
            <w:pPr>
              <w:pStyle w:val="13"/>
            </w:pPr>
            <w:r>
              <w:t>2062.63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901.12</w:t>
            </w:r>
          </w:p>
        </w:tc>
        <w:tc>
          <w:tcPr>
            <w:tcW w:w="4535" w:type="dxa"/>
            <w:vAlign w:val="center"/>
          </w:tcPr>
          <w:p>
            <w:pPr>
              <w:pStyle w:val="16"/>
            </w:pPr>
            <w:r>
              <w:t>本年支出合计</w:t>
            </w:r>
          </w:p>
        </w:tc>
        <w:tc>
          <w:tcPr>
            <w:tcW w:w="2126" w:type="dxa"/>
            <w:vAlign w:val="center"/>
          </w:tcPr>
          <w:p>
            <w:pPr>
              <w:pStyle w:val="17"/>
            </w:pPr>
            <w:r>
              <w:t>10180.12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9279.00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10180.12</w:t>
            </w:r>
          </w:p>
        </w:tc>
        <w:tc>
          <w:tcPr>
            <w:tcW w:w="4535" w:type="dxa"/>
            <w:vAlign w:val="center"/>
          </w:tcPr>
          <w:p>
            <w:pPr>
              <w:pStyle w:val="16"/>
            </w:pPr>
            <w:r>
              <w:t>支出总计</w:t>
            </w:r>
          </w:p>
        </w:tc>
        <w:tc>
          <w:tcPr>
            <w:tcW w:w="2126" w:type="dxa"/>
            <w:vAlign w:val="center"/>
          </w:tcPr>
          <w:p>
            <w:pPr>
              <w:pStyle w:val="17"/>
            </w:pPr>
            <w:r>
              <w:t>10180.12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607河北无极经济开发区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10180.12</w:t>
            </w:r>
          </w:p>
        </w:tc>
        <w:tc>
          <w:tcPr>
            <w:tcW w:w="1134" w:type="dxa"/>
            <w:vAlign w:val="center"/>
          </w:tcPr>
          <w:p>
            <w:pPr>
              <w:pStyle w:val="17"/>
            </w:pPr>
            <w:r>
              <w:t>901.12</w:t>
            </w:r>
          </w:p>
        </w:tc>
        <w:tc>
          <w:tcPr>
            <w:tcW w:w="1134" w:type="dxa"/>
            <w:vAlign w:val="center"/>
          </w:tcPr>
          <w:p>
            <w:pPr>
              <w:pStyle w:val="17"/>
            </w:pPr>
            <w:r>
              <w:t>901.12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9279.00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2062.63</w:t>
            </w:r>
          </w:p>
        </w:tc>
        <w:tc>
          <w:tcPr>
            <w:tcW w:w="1134" w:type="dxa"/>
            <w:vAlign w:val="center"/>
          </w:tcPr>
          <w:p>
            <w:pPr>
              <w:pStyle w:val="13"/>
            </w:pPr>
            <w:r>
              <w:t>762.63</w:t>
            </w:r>
          </w:p>
        </w:tc>
        <w:tc>
          <w:tcPr>
            <w:tcW w:w="1134" w:type="dxa"/>
            <w:vAlign w:val="center"/>
          </w:tcPr>
          <w:p>
            <w:pPr>
              <w:pStyle w:val="13"/>
            </w:pPr>
            <w:r>
              <w:t>762.63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2062.63</w:t>
            </w:r>
          </w:p>
        </w:tc>
        <w:tc>
          <w:tcPr>
            <w:tcW w:w="1134" w:type="dxa"/>
            <w:vAlign w:val="center"/>
          </w:tcPr>
          <w:p>
            <w:pPr>
              <w:pStyle w:val="13"/>
            </w:pPr>
            <w:r>
              <w:t>762.63</w:t>
            </w:r>
          </w:p>
        </w:tc>
        <w:tc>
          <w:tcPr>
            <w:tcW w:w="1134" w:type="dxa"/>
            <w:vAlign w:val="center"/>
          </w:tcPr>
          <w:p>
            <w:pPr>
              <w:pStyle w:val="13"/>
            </w:pPr>
            <w:r>
              <w:t>762.63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564.63</w:t>
            </w:r>
          </w:p>
        </w:tc>
        <w:tc>
          <w:tcPr>
            <w:tcW w:w="1134" w:type="dxa"/>
            <w:vAlign w:val="center"/>
          </w:tcPr>
          <w:p>
            <w:pPr>
              <w:pStyle w:val="13"/>
            </w:pPr>
            <w:r>
              <w:t>564.63</w:t>
            </w:r>
          </w:p>
        </w:tc>
        <w:tc>
          <w:tcPr>
            <w:tcW w:w="1134" w:type="dxa"/>
            <w:vAlign w:val="center"/>
          </w:tcPr>
          <w:p>
            <w:pPr>
              <w:pStyle w:val="13"/>
            </w:pPr>
            <w:r>
              <w:t>564.63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2010399</w:t>
            </w:r>
          </w:p>
        </w:tc>
        <w:tc>
          <w:tcPr>
            <w:tcW w:w="1559" w:type="dxa"/>
            <w:vAlign w:val="center"/>
          </w:tcPr>
          <w:p>
            <w:pPr>
              <w:pStyle w:val="14"/>
            </w:pPr>
            <w:r>
              <w:t>其他政府办公厅（室）及相关机构事务支出</w:t>
            </w:r>
          </w:p>
        </w:tc>
        <w:tc>
          <w:tcPr>
            <w:tcW w:w="1134" w:type="dxa"/>
            <w:vAlign w:val="center"/>
          </w:tcPr>
          <w:p>
            <w:pPr>
              <w:pStyle w:val="13"/>
            </w:pPr>
            <w:r>
              <w:t>1498.00</w:t>
            </w:r>
          </w:p>
        </w:tc>
        <w:tc>
          <w:tcPr>
            <w:tcW w:w="1134" w:type="dxa"/>
            <w:vAlign w:val="center"/>
          </w:tcPr>
          <w:p>
            <w:pPr>
              <w:pStyle w:val="13"/>
            </w:pPr>
            <w:r>
              <w:t>198.00</w:t>
            </w:r>
          </w:p>
        </w:tc>
        <w:tc>
          <w:tcPr>
            <w:tcW w:w="1134" w:type="dxa"/>
            <w:vAlign w:val="center"/>
          </w:tcPr>
          <w:p>
            <w:pPr>
              <w:pStyle w:val="13"/>
            </w:pPr>
            <w:r>
              <w:t>198.00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r>
              <w:t>94.51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83.49</w:t>
            </w:r>
          </w:p>
        </w:tc>
        <w:tc>
          <w:tcPr>
            <w:tcW w:w="1134" w:type="dxa"/>
            <w:vAlign w:val="center"/>
          </w:tcPr>
          <w:p>
            <w:pPr>
              <w:pStyle w:val="13"/>
            </w:pPr>
            <w:r>
              <w:t>83.49</w:t>
            </w:r>
          </w:p>
        </w:tc>
        <w:tc>
          <w:tcPr>
            <w:tcW w:w="1134" w:type="dxa"/>
            <w:vAlign w:val="center"/>
          </w:tcPr>
          <w:p>
            <w:pPr>
              <w:pStyle w:val="13"/>
            </w:pPr>
            <w:r>
              <w:t>83.49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11.02</w:t>
            </w:r>
          </w:p>
        </w:tc>
        <w:tc>
          <w:tcPr>
            <w:tcW w:w="1134" w:type="dxa"/>
            <w:vAlign w:val="center"/>
          </w:tcPr>
          <w:p>
            <w:pPr>
              <w:pStyle w:val="13"/>
            </w:pPr>
            <w:r>
              <w:t>11.02</w:t>
            </w:r>
          </w:p>
        </w:tc>
        <w:tc>
          <w:tcPr>
            <w:tcW w:w="1134" w:type="dxa"/>
            <w:vAlign w:val="center"/>
          </w:tcPr>
          <w:p>
            <w:pPr>
              <w:pStyle w:val="13"/>
            </w:pPr>
            <w:r>
              <w:t>11.02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r>
              <w:t>43.98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7979.00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7979.00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7979.00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7979.00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607河北无极经济开发区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10180.12</w:t>
            </w:r>
          </w:p>
        </w:tc>
        <w:tc>
          <w:tcPr>
            <w:tcW w:w="1361" w:type="dxa"/>
            <w:vAlign w:val="center"/>
          </w:tcPr>
          <w:p>
            <w:pPr>
              <w:pStyle w:val="17"/>
            </w:pPr>
            <w:r>
              <w:t>703.12</w:t>
            </w:r>
          </w:p>
        </w:tc>
        <w:tc>
          <w:tcPr>
            <w:tcW w:w="1361" w:type="dxa"/>
            <w:vAlign w:val="center"/>
          </w:tcPr>
          <w:p>
            <w:pPr>
              <w:pStyle w:val="17"/>
            </w:pPr>
            <w:r>
              <w:t>9477.00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2062.63</w:t>
            </w:r>
          </w:p>
        </w:tc>
        <w:tc>
          <w:tcPr>
            <w:tcW w:w="1361" w:type="dxa"/>
            <w:vAlign w:val="center"/>
          </w:tcPr>
          <w:p>
            <w:pPr>
              <w:pStyle w:val="13"/>
            </w:pPr>
            <w:r>
              <w:t>564.63</w:t>
            </w: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2062.63</w:t>
            </w:r>
          </w:p>
        </w:tc>
        <w:tc>
          <w:tcPr>
            <w:tcW w:w="1361" w:type="dxa"/>
            <w:vAlign w:val="center"/>
          </w:tcPr>
          <w:p>
            <w:pPr>
              <w:pStyle w:val="13"/>
            </w:pPr>
            <w:r>
              <w:t>564.63</w:t>
            </w: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564.63</w:t>
            </w:r>
          </w:p>
        </w:tc>
        <w:tc>
          <w:tcPr>
            <w:tcW w:w="1361" w:type="dxa"/>
            <w:vAlign w:val="center"/>
          </w:tcPr>
          <w:p>
            <w:pPr>
              <w:pStyle w:val="13"/>
            </w:pPr>
            <w:r>
              <w:t>564.63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2010399</w:t>
            </w:r>
          </w:p>
        </w:tc>
        <w:tc>
          <w:tcPr>
            <w:tcW w:w="4535" w:type="dxa"/>
            <w:vAlign w:val="center"/>
          </w:tcPr>
          <w:p>
            <w:pPr>
              <w:pStyle w:val="14"/>
            </w:pPr>
            <w:r>
              <w:t>其他政府办公厅（室）及相关机构事务支出</w:t>
            </w: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r>
              <w:t>1498.00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94.51</w:t>
            </w:r>
          </w:p>
        </w:tc>
        <w:tc>
          <w:tcPr>
            <w:tcW w:w="1361" w:type="dxa"/>
            <w:vAlign w:val="center"/>
          </w:tcPr>
          <w:p>
            <w:pPr>
              <w:pStyle w:val="13"/>
            </w:pPr>
            <w:r>
              <w:t>94.51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94.51</w:t>
            </w:r>
          </w:p>
        </w:tc>
        <w:tc>
          <w:tcPr>
            <w:tcW w:w="1361" w:type="dxa"/>
            <w:vAlign w:val="center"/>
          </w:tcPr>
          <w:p>
            <w:pPr>
              <w:pStyle w:val="13"/>
            </w:pPr>
            <w:r>
              <w:t>94.51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83.49</w:t>
            </w:r>
          </w:p>
        </w:tc>
        <w:tc>
          <w:tcPr>
            <w:tcW w:w="1361" w:type="dxa"/>
            <w:vAlign w:val="center"/>
          </w:tcPr>
          <w:p>
            <w:pPr>
              <w:pStyle w:val="13"/>
            </w:pPr>
            <w:r>
              <w:t>83.49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11.02</w:t>
            </w:r>
          </w:p>
        </w:tc>
        <w:tc>
          <w:tcPr>
            <w:tcW w:w="1361" w:type="dxa"/>
            <w:vAlign w:val="center"/>
          </w:tcPr>
          <w:p>
            <w:pPr>
              <w:pStyle w:val="13"/>
            </w:pPr>
            <w:r>
              <w:t>11.02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43.98</w:t>
            </w:r>
          </w:p>
        </w:tc>
        <w:tc>
          <w:tcPr>
            <w:tcW w:w="1361" w:type="dxa"/>
            <w:vAlign w:val="center"/>
          </w:tcPr>
          <w:p>
            <w:pPr>
              <w:pStyle w:val="13"/>
            </w:pPr>
            <w:r>
              <w:t>43.98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43.98</w:t>
            </w:r>
          </w:p>
        </w:tc>
        <w:tc>
          <w:tcPr>
            <w:tcW w:w="1361" w:type="dxa"/>
            <w:vAlign w:val="center"/>
          </w:tcPr>
          <w:p>
            <w:pPr>
              <w:pStyle w:val="13"/>
            </w:pPr>
            <w:r>
              <w:t>43.98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43.98</w:t>
            </w:r>
          </w:p>
        </w:tc>
        <w:tc>
          <w:tcPr>
            <w:tcW w:w="1361" w:type="dxa"/>
            <w:vAlign w:val="center"/>
          </w:tcPr>
          <w:p>
            <w:pPr>
              <w:pStyle w:val="13"/>
            </w:pPr>
            <w:r>
              <w:t>43.98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r>
              <w:t>7979.00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607河北无极经济开发区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901.12</w:t>
            </w:r>
          </w:p>
        </w:tc>
        <w:tc>
          <w:tcPr>
            <w:tcW w:w="3402" w:type="dxa"/>
            <w:vAlign w:val="center"/>
          </w:tcPr>
          <w:p>
            <w:pPr>
              <w:pStyle w:val="14"/>
            </w:pPr>
            <w:r>
              <w:t>一、一般公共服务支出</w:t>
            </w:r>
          </w:p>
        </w:tc>
        <w:tc>
          <w:tcPr>
            <w:tcW w:w="1474" w:type="dxa"/>
            <w:vAlign w:val="center"/>
          </w:tcPr>
          <w:p>
            <w:pPr>
              <w:pStyle w:val="13"/>
            </w:pPr>
            <w:r>
              <w:t>2062.63</w:t>
            </w:r>
          </w:p>
        </w:tc>
        <w:tc>
          <w:tcPr>
            <w:tcW w:w="1474" w:type="dxa"/>
            <w:vAlign w:val="center"/>
          </w:tcPr>
          <w:p>
            <w:pPr>
              <w:pStyle w:val="13"/>
            </w:pPr>
            <w:r>
              <w:t>2062.63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94.51</w:t>
            </w:r>
          </w:p>
        </w:tc>
        <w:tc>
          <w:tcPr>
            <w:tcW w:w="1474" w:type="dxa"/>
            <w:vAlign w:val="center"/>
          </w:tcPr>
          <w:p>
            <w:pPr>
              <w:pStyle w:val="13"/>
            </w:pPr>
            <w:r>
              <w:t>94.51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43.98</w:t>
            </w:r>
          </w:p>
        </w:tc>
        <w:tc>
          <w:tcPr>
            <w:tcW w:w="1474" w:type="dxa"/>
            <w:vAlign w:val="center"/>
          </w:tcPr>
          <w:p>
            <w:pPr>
              <w:pStyle w:val="13"/>
            </w:pPr>
            <w:r>
              <w:t>43.98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7979.00</w:t>
            </w:r>
          </w:p>
        </w:tc>
        <w:tc>
          <w:tcPr>
            <w:tcW w:w="1474" w:type="dxa"/>
            <w:vAlign w:val="center"/>
          </w:tcPr>
          <w:p>
            <w:pPr>
              <w:pStyle w:val="13"/>
            </w:pPr>
          </w:p>
        </w:tc>
        <w:tc>
          <w:tcPr>
            <w:tcW w:w="1474" w:type="dxa"/>
            <w:vAlign w:val="center"/>
          </w:tcPr>
          <w:p>
            <w:pPr>
              <w:pStyle w:val="13"/>
            </w:pPr>
            <w:r>
              <w:t>7979.00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901.12</w:t>
            </w:r>
          </w:p>
        </w:tc>
        <w:tc>
          <w:tcPr>
            <w:tcW w:w="3402" w:type="dxa"/>
            <w:vAlign w:val="center"/>
          </w:tcPr>
          <w:p>
            <w:pPr>
              <w:pStyle w:val="16"/>
            </w:pPr>
            <w:r>
              <w:t>本年支出合计</w:t>
            </w:r>
          </w:p>
        </w:tc>
        <w:tc>
          <w:tcPr>
            <w:tcW w:w="1474" w:type="dxa"/>
            <w:vAlign w:val="center"/>
          </w:tcPr>
          <w:p>
            <w:pPr>
              <w:pStyle w:val="17"/>
            </w:pPr>
            <w:r>
              <w:t>10180.12</w:t>
            </w:r>
          </w:p>
        </w:tc>
        <w:tc>
          <w:tcPr>
            <w:tcW w:w="1474" w:type="dxa"/>
            <w:vAlign w:val="center"/>
          </w:tcPr>
          <w:p>
            <w:pPr>
              <w:pStyle w:val="17"/>
            </w:pPr>
            <w:r>
              <w:t>2201.12</w:t>
            </w:r>
          </w:p>
        </w:tc>
        <w:tc>
          <w:tcPr>
            <w:tcW w:w="1474" w:type="dxa"/>
            <w:vAlign w:val="center"/>
          </w:tcPr>
          <w:p>
            <w:pPr>
              <w:pStyle w:val="17"/>
            </w:pPr>
            <w:r>
              <w:t>7979.00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9279.00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1300.00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7979.00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10180.12</w:t>
            </w:r>
          </w:p>
        </w:tc>
        <w:tc>
          <w:tcPr>
            <w:tcW w:w="3402" w:type="dxa"/>
            <w:vAlign w:val="center"/>
          </w:tcPr>
          <w:p>
            <w:pPr>
              <w:pStyle w:val="16"/>
            </w:pPr>
            <w:r>
              <w:t>支出总计</w:t>
            </w:r>
          </w:p>
        </w:tc>
        <w:tc>
          <w:tcPr>
            <w:tcW w:w="1474" w:type="dxa"/>
            <w:vAlign w:val="center"/>
          </w:tcPr>
          <w:p>
            <w:pPr>
              <w:pStyle w:val="17"/>
            </w:pPr>
            <w:r>
              <w:t>10180.12</w:t>
            </w:r>
          </w:p>
        </w:tc>
        <w:tc>
          <w:tcPr>
            <w:tcW w:w="1474" w:type="dxa"/>
            <w:vAlign w:val="center"/>
          </w:tcPr>
          <w:p>
            <w:pPr>
              <w:pStyle w:val="17"/>
            </w:pPr>
            <w:r>
              <w:t>2201.12</w:t>
            </w:r>
          </w:p>
        </w:tc>
        <w:tc>
          <w:tcPr>
            <w:tcW w:w="1474" w:type="dxa"/>
            <w:vAlign w:val="center"/>
          </w:tcPr>
          <w:p>
            <w:pPr>
              <w:pStyle w:val="17"/>
            </w:pPr>
            <w:r>
              <w:t>7979.00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2201.12</w:t>
            </w:r>
          </w:p>
        </w:tc>
        <w:tc>
          <w:tcPr>
            <w:tcW w:w="2551" w:type="dxa"/>
            <w:vAlign w:val="center"/>
          </w:tcPr>
          <w:p>
            <w:pPr>
              <w:pStyle w:val="17"/>
            </w:pPr>
            <w:r>
              <w:t>703.12</w:t>
            </w:r>
          </w:p>
        </w:tc>
        <w:tc>
          <w:tcPr>
            <w:tcW w:w="2551" w:type="dxa"/>
            <w:vAlign w:val="center"/>
          </w:tcPr>
          <w:p>
            <w:pPr>
              <w:pStyle w:val="17"/>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2062.63</w:t>
            </w:r>
          </w:p>
        </w:tc>
        <w:tc>
          <w:tcPr>
            <w:tcW w:w="2551" w:type="dxa"/>
            <w:vAlign w:val="center"/>
          </w:tcPr>
          <w:p>
            <w:pPr>
              <w:pStyle w:val="13"/>
            </w:pPr>
            <w:r>
              <w:t>564.63</w:t>
            </w:r>
          </w:p>
        </w:tc>
        <w:tc>
          <w:tcPr>
            <w:tcW w:w="2551" w:type="dxa"/>
            <w:vAlign w:val="center"/>
          </w:tcPr>
          <w:p>
            <w:pPr>
              <w:pStyle w:val="13"/>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2062.63</w:t>
            </w:r>
          </w:p>
        </w:tc>
        <w:tc>
          <w:tcPr>
            <w:tcW w:w="2551" w:type="dxa"/>
            <w:vAlign w:val="center"/>
          </w:tcPr>
          <w:p>
            <w:pPr>
              <w:pStyle w:val="13"/>
            </w:pPr>
            <w:r>
              <w:t>564.63</w:t>
            </w:r>
          </w:p>
        </w:tc>
        <w:tc>
          <w:tcPr>
            <w:tcW w:w="2551" w:type="dxa"/>
            <w:vAlign w:val="center"/>
          </w:tcPr>
          <w:p>
            <w:pPr>
              <w:pStyle w:val="13"/>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564.63</w:t>
            </w:r>
          </w:p>
        </w:tc>
        <w:tc>
          <w:tcPr>
            <w:tcW w:w="2551" w:type="dxa"/>
            <w:vAlign w:val="center"/>
          </w:tcPr>
          <w:p>
            <w:pPr>
              <w:pStyle w:val="13"/>
            </w:pPr>
            <w:r>
              <w:t>564.63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2010399</w:t>
            </w:r>
          </w:p>
        </w:tc>
        <w:tc>
          <w:tcPr>
            <w:tcW w:w="4535" w:type="dxa"/>
            <w:vAlign w:val="center"/>
          </w:tcPr>
          <w:p>
            <w:pPr>
              <w:pStyle w:val="14"/>
            </w:pPr>
            <w:r>
              <w:t>其他政府办公厅（室）及相关机构事务支出</w:t>
            </w:r>
          </w:p>
        </w:tc>
        <w:tc>
          <w:tcPr>
            <w:tcW w:w="2551" w:type="dxa"/>
            <w:vAlign w:val="center"/>
          </w:tcPr>
          <w:p>
            <w:pPr>
              <w:pStyle w:val="13"/>
            </w:pPr>
            <w:r>
              <w:t>1498.00</w:t>
            </w:r>
          </w:p>
        </w:tc>
        <w:tc>
          <w:tcPr>
            <w:tcW w:w="2551" w:type="dxa"/>
            <w:vAlign w:val="center"/>
          </w:tcPr>
          <w:p>
            <w:pPr>
              <w:pStyle w:val="13"/>
            </w:pPr>
          </w:p>
        </w:tc>
        <w:tc>
          <w:tcPr>
            <w:tcW w:w="2551" w:type="dxa"/>
            <w:vAlign w:val="center"/>
          </w:tcPr>
          <w:p>
            <w:pPr>
              <w:pStyle w:val="13"/>
            </w:pPr>
            <w:r>
              <w:t>1498.00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94.51</w:t>
            </w:r>
          </w:p>
        </w:tc>
        <w:tc>
          <w:tcPr>
            <w:tcW w:w="2551" w:type="dxa"/>
            <w:vAlign w:val="center"/>
          </w:tcPr>
          <w:p>
            <w:pPr>
              <w:pStyle w:val="13"/>
            </w:pPr>
            <w:r>
              <w:t>94.51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94.51</w:t>
            </w:r>
          </w:p>
        </w:tc>
        <w:tc>
          <w:tcPr>
            <w:tcW w:w="2551" w:type="dxa"/>
            <w:vAlign w:val="center"/>
          </w:tcPr>
          <w:p>
            <w:pPr>
              <w:pStyle w:val="13"/>
            </w:pPr>
            <w:r>
              <w:t>94.51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83.49</w:t>
            </w:r>
          </w:p>
        </w:tc>
        <w:tc>
          <w:tcPr>
            <w:tcW w:w="2551" w:type="dxa"/>
            <w:vAlign w:val="center"/>
          </w:tcPr>
          <w:p>
            <w:pPr>
              <w:pStyle w:val="13"/>
            </w:pPr>
            <w:r>
              <w:t>83.49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11.02</w:t>
            </w:r>
          </w:p>
        </w:tc>
        <w:tc>
          <w:tcPr>
            <w:tcW w:w="2551" w:type="dxa"/>
            <w:vAlign w:val="center"/>
          </w:tcPr>
          <w:p>
            <w:pPr>
              <w:pStyle w:val="13"/>
            </w:pPr>
            <w:r>
              <w:t>11.02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703.12</w:t>
            </w:r>
          </w:p>
        </w:tc>
        <w:tc>
          <w:tcPr>
            <w:tcW w:w="2551" w:type="dxa"/>
            <w:vAlign w:val="center"/>
          </w:tcPr>
          <w:p>
            <w:pPr>
              <w:pStyle w:val="17"/>
            </w:pPr>
            <w:r>
              <w:t>646.60</w:t>
            </w:r>
          </w:p>
        </w:tc>
        <w:tc>
          <w:tcPr>
            <w:tcW w:w="2551" w:type="dxa"/>
            <w:vAlign w:val="center"/>
          </w:tcPr>
          <w:p>
            <w:pPr>
              <w:pStyle w:val="17"/>
            </w:pPr>
            <w:r>
              <w:t>56.52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646.60</w:t>
            </w:r>
          </w:p>
        </w:tc>
        <w:tc>
          <w:tcPr>
            <w:tcW w:w="2551" w:type="dxa"/>
            <w:vAlign w:val="center"/>
          </w:tcPr>
          <w:p>
            <w:pPr>
              <w:pStyle w:val="13"/>
            </w:pPr>
            <w:r>
              <w:t>646.60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241.70</w:t>
            </w:r>
          </w:p>
        </w:tc>
        <w:tc>
          <w:tcPr>
            <w:tcW w:w="2551" w:type="dxa"/>
            <w:vAlign w:val="center"/>
          </w:tcPr>
          <w:p>
            <w:pPr>
              <w:pStyle w:val="13"/>
            </w:pPr>
            <w:r>
              <w:t>241.70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101.19</w:t>
            </w:r>
          </w:p>
        </w:tc>
        <w:tc>
          <w:tcPr>
            <w:tcW w:w="2551" w:type="dxa"/>
            <w:vAlign w:val="center"/>
          </w:tcPr>
          <w:p>
            <w:pPr>
              <w:pStyle w:val="13"/>
            </w:pPr>
            <w:r>
              <w:t>101.19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104.00</w:t>
            </w:r>
          </w:p>
        </w:tc>
        <w:tc>
          <w:tcPr>
            <w:tcW w:w="2551" w:type="dxa"/>
            <w:vAlign w:val="center"/>
          </w:tcPr>
          <w:p>
            <w:pPr>
              <w:pStyle w:val="13"/>
            </w:pPr>
            <w:r>
              <w:t>104.00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55.00</w:t>
            </w:r>
          </w:p>
        </w:tc>
        <w:tc>
          <w:tcPr>
            <w:tcW w:w="2551" w:type="dxa"/>
            <w:vAlign w:val="center"/>
          </w:tcPr>
          <w:p>
            <w:pPr>
              <w:pStyle w:val="13"/>
            </w:pPr>
            <w:r>
              <w:t>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83.49</w:t>
            </w:r>
          </w:p>
        </w:tc>
        <w:tc>
          <w:tcPr>
            <w:tcW w:w="2551" w:type="dxa"/>
            <w:vAlign w:val="center"/>
          </w:tcPr>
          <w:p>
            <w:pPr>
              <w:pStyle w:val="13"/>
            </w:pPr>
            <w:r>
              <w:t>83.49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11.02</w:t>
            </w:r>
          </w:p>
        </w:tc>
        <w:tc>
          <w:tcPr>
            <w:tcW w:w="2551" w:type="dxa"/>
            <w:vAlign w:val="center"/>
          </w:tcPr>
          <w:p>
            <w:pPr>
              <w:pStyle w:val="13"/>
            </w:pPr>
            <w:r>
              <w:t>11.02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43.98</w:t>
            </w:r>
          </w:p>
        </w:tc>
        <w:tc>
          <w:tcPr>
            <w:tcW w:w="2551" w:type="dxa"/>
            <w:vAlign w:val="center"/>
          </w:tcPr>
          <w:p>
            <w:pPr>
              <w:pStyle w:val="13"/>
            </w:pPr>
            <w:r>
              <w:t>43.98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6.22</w:t>
            </w:r>
          </w:p>
        </w:tc>
        <w:tc>
          <w:tcPr>
            <w:tcW w:w="2551" w:type="dxa"/>
            <w:vAlign w:val="center"/>
          </w:tcPr>
          <w:p>
            <w:pPr>
              <w:pStyle w:val="13"/>
            </w:pPr>
            <w:r>
              <w:t>6.22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56.52</w:t>
            </w:r>
          </w:p>
        </w:tc>
        <w:tc>
          <w:tcPr>
            <w:tcW w:w="2551" w:type="dxa"/>
            <w:vAlign w:val="center"/>
          </w:tcPr>
          <w:p>
            <w:pPr>
              <w:pStyle w:val="13"/>
            </w:pPr>
          </w:p>
        </w:tc>
        <w:tc>
          <w:tcPr>
            <w:tcW w:w="2551" w:type="dxa"/>
            <w:vAlign w:val="center"/>
          </w:tcPr>
          <w:p>
            <w:pPr>
              <w:pStyle w:val="13"/>
            </w:pPr>
            <w:r>
              <w:t>56.52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24.50</w:t>
            </w:r>
          </w:p>
        </w:tc>
        <w:tc>
          <w:tcPr>
            <w:tcW w:w="2551" w:type="dxa"/>
            <w:vAlign w:val="center"/>
          </w:tcPr>
          <w:p>
            <w:pPr>
              <w:pStyle w:val="13"/>
            </w:pPr>
          </w:p>
        </w:tc>
        <w:tc>
          <w:tcPr>
            <w:tcW w:w="2551"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11.36</w:t>
            </w:r>
          </w:p>
        </w:tc>
        <w:tc>
          <w:tcPr>
            <w:tcW w:w="2551" w:type="dxa"/>
            <w:vAlign w:val="center"/>
          </w:tcPr>
          <w:p>
            <w:pPr>
              <w:pStyle w:val="13"/>
            </w:pPr>
          </w:p>
        </w:tc>
        <w:tc>
          <w:tcPr>
            <w:tcW w:w="2551" w:type="dxa"/>
            <w:vAlign w:val="center"/>
          </w:tcPr>
          <w:p>
            <w:pPr>
              <w:pStyle w:val="13"/>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17.66</w:t>
            </w:r>
          </w:p>
        </w:tc>
        <w:tc>
          <w:tcPr>
            <w:tcW w:w="2551" w:type="dxa"/>
            <w:vAlign w:val="center"/>
          </w:tcPr>
          <w:p>
            <w:pPr>
              <w:pStyle w:val="13"/>
            </w:pPr>
          </w:p>
        </w:tc>
        <w:tc>
          <w:tcPr>
            <w:tcW w:w="2551" w:type="dxa"/>
            <w:vAlign w:val="center"/>
          </w:tcPr>
          <w:p>
            <w:pPr>
              <w:pStyle w:val="13"/>
            </w:pPr>
            <w:r>
              <w:t>17.66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7979.00</w:t>
            </w:r>
          </w:p>
        </w:tc>
        <w:tc>
          <w:tcPr>
            <w:tcW w:w="2551" w:type="dxa"/>
            <w:vAlign w:val="center"/>
          </w:tcPr>
          <w:p>
            <w:pPr>
              <w:pStyle w:val="17"/>
            </w:pPr>
          </w:p>
        </w:tc>
        <w:tc>
          <w:tcPr>
            <w:tcW w:w="2551" w:type="dxa"/>
            <w:vAlign w:val="center"/>
          </w:tcPr>
          <w:p>
            <w:pPr>
              <w:pStyle w:val="17"/>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7979.00</w:t>
            </w:r>
          </w:p>
        </w:tc>
        <w:tc>
          <w:tcPr>
            <w:tcW w:w="2551" w:type="dxa"/>
            <w:vAlign w:val="center"/>
          </w:tcPr>
          <w:p>
            <w:pPr>
              <w:pStyle w:val="13"/>
            </w:pPr>
          </w:p>
        </w:tc>
        <w:tc>
          <w:tcPr>
            <w:tcW w:w="2551"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7979.00</w:t>
            </w:r>
          </w:p>
        </w:tc>
        <w:tc>
          <w:tcPr>
            <w:tcW w:w="2551" w:type="dxa"/>
            <w:vAlign w:val="center"/>
          </w:tcPr>
          <w:p>
            <w:pPr>
              <w:pStyle w:val="13"/>
            </w:pPr>
          </w:p>
        </w:tc>
        <w:tc>
          <w:tcPr>
            <w:tcW w:w="2551" w:type="dxa"/>
            <w:vAlign w:val="center"/>
          </w:tcPr>
          <w:p>
            <w:pPr>
              <w:pStyle w:val="13"/>
            </w:pPr>
            <w:r>
              <w:t>7979.00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7979.00</w:t>
            </w:r>
          </w:p>
        </w:tc>
        <w:tc>
          <w:tcPr>
            <w:tcW w:w="2551" w:type="dxa"/>
            <w:vAlign w:val="center"/>
          </w:tcPr>
          <w:p>
            <w:pPr>
              <w:pStyle w:val="13"/>
            </w:pPr>
          </w:p>
        </w:tc>
        <w:tc>
          <w:tcPr>
            <w:tcW w:w="2551" w:type="dxa"/>
            <w:vAlign w:val="center"/>
          </w:tcPr>
          <w:p>
            <w:pPr>
              <w:pStyle w:val="13"/>
            </w:pPr>
            <w:r>
              <w:t>7979.00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607河北无极经济开发区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eastAsia" w:eastAsia="方正书宋_GBK"/>
                <w:b w:val="0"/>
                <w:bCs/>
                <w:lang w:val="en-US" w:eastAsia="zh-CN"/>
              </w:rPr>
            </w:pPr>
            <w:r>
              <w:rPr>
                <w:rFonts w:hint="eastAsia"/>
                <w:b w:val="0"/>
                <w:bCs/>
                <w:lang w:val="en-US" w:eastAsia="zh-CN"/>
              </w:rPr>
              <w:t>3</w:t>
            </w:r>
          </w:p>
        </w:tc>
        <w:tc>
          <w:tcPr>
            <w:tcW w:w="2381" w:type="dxa"/>
            <w:vAlign w:val="center"/>
          </w:tcPr>
          <w:p>
            <w:pPr>
              <w:pStyle w:val="17"/>
              <w:rPr>
                <w:rFonts w:hint="eastAsia" w:eastAsia="方正书宋_GBK"/>
                <w:b w:val="0"/>
                <w:bCs/>
                <w:lang w:val="en-US" w:eastAsia="zh-CN"/>
              </w:rPr>
            </w:pPr>
            <w:r>
              <w:rPr>
                <w:rFonts w:hint="eastAsia"/>
                <w:b w:val="0"/>
                <w:bCs/>
                <w:lang w:val="en-US" w:eastAsia="zh-CN"/>
              </w:rPr>
              <w:t>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河北无极经济开发区2023年部门预算信息公开情况说明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河北无极经济开发区2023年部门预算信息公开情况说明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、《地方预决算公开操作规程》和《关于进一步推进预算公开工作的实施意见》规定，现将河北无极经济开发区2023年部门预算公开如下：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河北无极经济开发区管理委员会本级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预算中。河北无极经济开发区机关及所属事业单位的收支包含在部门预算中。</w:t>
      </w:r>
    </w:p>
    <w:p>
      <w:pPr>
        <w:pStyle w:val="20"/>
      </w:pPr>
      <w:r>
        <w:t>1、收入说明</w:t>
      </w:r>
    </w:p>
    <w:p>
      <w:pPr>
        <w:pStyle w:val="20"/>
      </w:pPr>
      <w:r>
        <w:t>反映本部门全年预算收入。2023年</w:t>
      </w:r>
      <w:r>
        <w:rPr>
          <w:rFonts w:hint="eastAsia"/>
          <w:lang w:val="en-US" w:eastAsia="zh-CN"/>
        </w:rPr>
        <w:t>部门</w:t>
      </w:r>
      <w:r>
        <w:t>预算收入10180.12万元，其中：本年一般公共预算收入901.12万元，基金预算收入0万元，财政专户核拨收入0万元，其他来源收入0万元，上年结转收入9279万元。</w:t>
      </w:r>
    </w:p>
    <w:p>
      <w:pPr>
        <w:pStyle w:val="20"/>
      </w:pPr>
      <w:r>
        <w:t>2、支出说明</w:t>
      </w:r>
    </w:p>
    <w:p>
      <w:pPr>
        <w:pStyle w:val="20"/>
      </w:pPr>
      <w:r>
        <w:t>收支预算总表支出栏、基本支出表、项目支出表按经济分类和支出功能分类编制，反映开发区年度部门预算中支出预算的总体情况。202</w:t>
      </w:r>
      <w:r>
        <w:rPr>
          <w:rFonts w:hint="eastAsia"/>
          <w:lang w:val="en-US" w:eastAsia="zh-CN"/>
        </w:rPr>
        <w:t>3</w:t>
      </w:r>
      <w:r>
        <w:t>年部门支出预算为10180.12万元，其中基本支出703.12万元，包括人员经费646.6万元和公用经费56.52万元；项目支出9477万元。</w:t>
      </w:r>
    </w:p>
    <w:p>
      <w:pPr>
        <w:pStyle w:val="20"/>
      </w:pPr>
      <w:r>
        <w:t>3、比上年增减情况</w:t>
      </w:r>
    </w:p>
    <w:p>
      <w:pPr>
        <w:pStyle w:val="20"/>
      </w:pPr>
      <w:r>
        <w:t>202</w:t>
      </w:r>
      <w:r>
        <w:rPr>
          <w:rFonts w:hint="eastAsia"/>
          <w:lang w:val="en-US" w:eastAsia="zh-CN"/>
        </w:rPr>
        <w:t>3</w:t>
      </w:r>
      <w:r>
        <w:t>年部门预算支出较2022增加9598.12万元，其中：基本支出增加121.12万元，主要是增加人员及工资福利和退休人员生活补助经费增加；项目支出增加9477万元，主要是项目增加，2022年无项目支出预算。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56.52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3万元，其中：因公出国（境）费0万元；公务用车购置及运维费3万元（其中：公务用车购置费0万元，公务用车运行维护费3万元)；公务接待费0万元。与2022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3"/>
      </w:pPr>
      <w:r>
        <w:t>（一）总体绩效目标</w:t>
      </w:r>
    </w:p>
    <w:p>
      <w:pPr>
        <w:pStyle w:val="23"/>
      </w:pPr>
      <w:r>
        <w:t>1、加大招商引资力度，加快园区主导产业转型升级步伐，优化发展结构。实现经济指标快速增长。</w:t>
      </w:r>
    </w:p>
    <w:p>
      <w:pPr>
        <w:pStyle w:val="23"/>
      </w:pPr>
      <w:r>
        <w:t>2、加大园区企业综合执法力度，做好环保、安监工作，确保园区环境质量持续好转。</w:t>
      </w:r>
    </w:p>
    <w:p>
      <w:pPr>
        <w:pStyle w:val="23"/>
      </w:pPr>
      <w:r>
        <w:t>3、加大为企业帮办服务力度，提供一站式服务。</w:t>
      </w:r>
    </w:p>
    <w:p>
      <w:pPr>
        <w:pStyle w:val="23"/>
      </w:pPr>
      <w:r>
        <w:t>4、预防减少不稳定因素的发生，有效化解不稳定隐患、群体性事件和突发事件，维护安全工作。</w:t>
      </w:r>
    </w:p>
    <w:p>
      <w:pPr>
        <w:pStyle w:val="23"/>
      </w:pPr>
      <w:r>
        <w:t>5、加强管理，提高开发区承载能力。加强开发区基础设施建设，改善环境，实现统筹发展。</w:t>
      </w:r>
    </w:p>
    <w:p>
      <w:pPr>
        <w:pStyle w:val="23"/>
      </w:pPr>
      <w:r>
        <w:t>（二）分项绩效目标</w:t>
      </w:r>
    </w:p>
    <w:p>
      <w:pPr>
        <w:pStyle w:val="23"/>
      </w:pPr>
      <w:r>
        <w:t>1、招商引资</w:t>
      </w:r>
    </w:p>
    <w:p>
      <w:pPr>
        <w:pStyle w:val="23"/>
      </w:pPr>
      <w:r>
        <w:t>绩效目标：搞好产业规划，组织做好招商引资工作，做好引进项目的跟踪服务后续工作，加快园区主导产业转型升级步伐，优化产业结构。</w:t>
      </w:r>
    </w:p>
    <w:p>
      <w:pPr>
        <w:pStyle w:val="23"/>
      </w:pPr>
      <w:r>
        <w:t>绩效指标：经济指标增长率。</w:t>
      </w:r>
    </w:p>
    <w:p>
      <w:pPr>
        <w:pStyle w:val="23"/>
      </w:pPr>
      <w:r>
        <w:t>2、综合执法管理</w:t>
      </w:r>
    </w:p>
    <w:p>
      <w:pPr>
        <w:pStyle w:val="23"/>
      </w:pPr>
      <w:r>
        <w:t>绩效目标：采取各项有效措施，进一步加大管控力度，并加强对污染成因的分析研判，科学制定管控措施。严格按照网格化分包责任制，加大对企业的督查力度。</w:t>
      </w:r>
    </w:p>
    <w:p>
      <w:pPr>
        <w:pStyle w:val="23"/>
      </w:pPr>
      <w:r>
        <w:t>绩效指标：工作完成率。</w:t>
      </w:r>
    </w:p>
    <w:p>
      <w:pPr>
        <w:pStyle w:val="23"/>
      </w:pPr>
      <w:r>
        <w:t>3、综合事务管理：</w:t>
      </w:r>
    </w:p>
    <w:p>
      <w:pPr>
        <w:pStyle w:val="23"/>
      </w:pPr>
      <w:r>
        <w:t>绩效目标：满足园区内企业对公共服务的实际需求。</w:t>
      </w:r>
    </w:p>
    <w:p>
      <w:pPr>
        <w:pStyle w:val="23"/>
      </w:pPr>
      <w:r>
        <w:t>绩效指标：企业满意度。</w:t>
      </w:r>
    </w:p>
    <w:p>
      <w:pPr>
        <w:pStyle w:val="23"/>
      </w:pPr>
      <w:r>
        <w:t>4、维护社会稳定</w:t>
      </w:r>
    </w:p>
    <w:p>
      <w:pPr>
        <w:pStyle w:val="23"/>
      </w:pPr>
      <w:r>
        <w:t>绩效目标：提高治安防范整体水平；预防和减少重大矛盾纠纷和群体性事件的发生，提高企业法律意识和法律素养。</w:t>
      </w:r>
    </w:p>
    <w:p>
      <w:pPr>
        <w:pStyle w:val="23"/>
      </w:pPr>
      <w:r>
        <w:t>绩效指标：安全隐患排查率、普法率等。</w:t>
      </w:r>
    </w:p>
    <w:p>
      <w:pPr>
        <w:pStyle w:val="23"/>
      </w:pPr>
      <w:r>
        <w:t>5、开发区建设</w:t>
      </w:r>
    </w:p>
    <w:p>
      <w:pPr>
        <w:pStyle w:val="23"/>
      </w:pPr>
      <w:r>
        <w:t>绩效目标：实现开发区规划多规合一，科学合理布局，借助交通优势打造新型产业聚集区。加快推进全区基础设施工作，确保2023年全区基础设施建设顺利进行。</w:t>
      </w:r>
    </w:p>
    <w:p>
      <w:pPr>
        <w:pStyle w:val="23"/>
      </w:pPr>
      <w:r>
        <w:t>绩效指标：基础设施建设完工率。</w:t>
      </w:r>
    </w:p>
    <w:p>
      <w:pPr>
        <w:pStyle w:val="23"/>
      </w:pPr>
      <w:r>
        <w:t>（三）工作保障措施</w:t>
      </w:r>
    </w:p>
    <w:p>
      <w:pPr>
        <w:pStyle w:val="23"/>
      </w:pPr>
      <w:r>
        <w:rPr>
          <w:rFonts w:hint="eastAsia"/>
          <w:lang w:val="en-US" w:eastAsia="zh-CN"/>
        </w:rPr>
        <w:t>1</w:t>
      </w:r>
      <w:r>
        <w:t>、建立科学理论体系。2023年切实加强学习型党组织建设，以“不忘初心、牢记使命”主题教育为契机，把深入学习贯彻习近平新时代中国特色社会主义思想和党的二十大精神为根本任务，加强“四个意识”、树立“四个自信”，不断加强党章党规党纪教育，坚持以党工委集中学习和个人自学相结合的方式，严格执行集中学习制度，坚持领导带头学习、带头上党课，推动形成“以上率下”的榜样机制，为学习型党组织建设作出表率。</w:t>
      </w:r>
    </w:p>
    <w:p>
      <w:pPr>
        <w:pStyle w:val="23"/>
      </w:pPr>
      <w:r>
        <w:rPr>
          <w:rFonts w:hint="eastAsia"/>
          <w:lang w:val="en-US" w:eastAsia="zh-CN"/>
        </w:rPr>
        <w:t>2</w:t>
      </w:r>
      <w:r>
        <w:t>、完善制度建设。制定完善开发区预算绩效管理制度、资金管理办法、工作保障制度，为全年预算绩效目标的实现奠定制度基础。</w:t>
      </w:r>
    </w:p>
    <w:p>
      <w:pPr>
        <w:pStyle w:val="23"/>
      </w:pPr>
      <w:r>
        <w:rPr>
          <w:rFonts w:hint="eastAsia"/>
          <w:lang w:val="en-US" w:eastAsia="zh-CN"/>
        </w:rPr>
        <w:t>3</w:t>
      </w:r>
      <w:r>
        <w:t>、加强支出管理。通过优化支出结构、编细编实预算、加快履行政府采购手续、尽快启动项目、及时支付资金。</w:t>
      </w:r>
    </w:p>
    <w:p>
      <w:pPr>
        <w:pStyle w:val="23"/>
      </w:pPr>
      <w:r>
        <w:rPr>
          <w:rFonts w:hint="eastAsia"/>
          <w:lang w:val="en-US" w:eastAsia="zh-CN"/>
        </w:rPr>
        <w:t>4</w:t>
      </w:r>
      <w:r>
        <w:t>、加强绩效运行监控。按要求开展绩效运行监控，发现问题及时采取措施，确保绩效目标如期保质实现。</w:t>
      </w:r>
    </w:p>
    <w:p>
      <w:pPr>
        <w:pStyle w:val="23"/>
      </w:pPr>
      <w:r>
        <w:rPr>
          <w:rFonts w:hint="eastAsia"/>
          <w:lang w:val="en-US" w:eastAsia="zh-CN"/>
        </w:rPr>
        <w:t>5</w:t>
      </w:r>
      <w:r>
        <w:t>、做好绩效自评。按要求开展上年度部门预算绩效自评和重点评价工作，对评价中发现的问题及时整改，调整优化支出结构，提高财政资金使用效益。</w:t>
      </w:r>
    </w:p>
    <w:p>
      <w:pPr>
        <w:pStyle w:val="23"/>
      </w:pPr>
      <w:r>
        <w:rPr>
          <w:rFonts w:hint="eastAsia"/>
          <w:lang w:val="en-US" w:eastAsia="zh-CN"/>
        </w:rPr>
        <w:t>6</w:t>
      </w:r>
      <w:r>
        <w:t>、规范财务资产管理。完善财务管理制度，严格审批程序，加强固定资产登记、使用和报废处置管理，做到支出合理，物尽其用。</w:t>
      </w:r>
    </w:p>
    <w:p>
      <w:pPr>
        <w:pStyle w:val="23"/>
      </w:pPr>
      <w:r>
        <w:rPr>
          <w:rFonts w:hint="eastAsia"/>
          <w:lang w:val="en-US" w:eastAsia="zh-CN"/>
        </w:rPr>
        <w:t>7</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rPr>
          <w:rFonts w:hint="eastAsia"/>
          <w:lang w:val="en-US" w:eastAsia="zh-CN"/>
        </w:rPr>
        <w:t>8</w:t>
      </w:r>
      <w:r>
        <w:t>、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3"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1、2023年开发区</w:t>
      </w:r>
      <w:r>
        <w:rPr>
          <w:rFonts w:hint="eastAsia" w:ascii="方正仿宋_GBK" w:hAnsi="方正仿宋_GBK" w:eastAsia="方正仿宋_GBK" w:cs="方正仿宋_GBK"/>
          <w:b/>
          <w:color w:val="000000"/>
          <w:sz w:val="28"/>
          <w:lang w:eastAsia="zh-CN"/>
        </w:rPr>
        <w:t>绩效</w:t>
      </w:r>
      <w:r>
        <w:rPr>
          <w:rFonts w:ascii="方正仿宋_GBK" w:hAnsi="方正仿宋_GBK" w:eastAsia="方正仿宋_GBK" w:cs="方正仿宋_GBK"/>
          <w:b/>
          <w:color w:val="000000"/>
          <w:sz w:val="28"/>
        </w:rPr>
        <w:t>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hint="eastAsia"/>
                <w:lang w:val="en-US" w:eastAsia="zh-CN"/>
              </w:rPr>
              <w:t>发放单位绩效，单位人员正常经费保障。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pPr>
            <w:r>
              <w:t>完成项目数量</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促成合作意向数</w:t>
            </w:r>
          </w:p>
        </w:tc>
        <w:tc>
          <w:tcPr>
            <w:tcW w:w="2835" w:type="dxa"/>
            <w:vAlign w:val="center"/>
          </w:tcPr>
          <w:p>
            <w:pPr>
              <w:pStyle w:val="14"/>
            </w:pPr>
            <w:r>
              <w:t>促成合作意向数</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项目总预算控制额</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拉动地方经济发展</w:t>
            </w:r>
          </w:p>
        </w:tc>
        <w:tc>
          <w:tcPr>
            <w:tcW w:w="2835" w:type="dxa"/>
            <w:vAlign w:val="center"/>
          </w:tcPr>
          <w:p>
            <w:pPr>
              <w:pStyle w:val="14"/>
            </w:pPr>
            <w:r>
              <w:t>拉动地方经济发展</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2、2023年开发区招商经费绩效目标表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hint="eastAsia"/>
                <w:lang w:val="en-US" w:eastAsia="zh-CN"/>
              </w:rPr>
              <w:t>保障招商发展正常进行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质量指标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3、河北无极经济开发区道路建设项目绩效目标表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hint="eastAsia"/>
                <w:lang w:val="en-US" w:eastAsia="zh-CN"/>
              </w:rPr>
              <w:t>开发区道路建设资金，保障施工正常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支持企业数量</w:t>
            </w:r>
          </w:p>
        </w:tc>
        <w:tc>
          <w:tcPr>
            <w:tcW w:w="2835" w:type="dxa"/>
            <w:vAlign w:val="center"/>
          </w:tcPr>
          <w:p>
            <w:pPr>
              <w:pStyle w:val="14"/>
            </w:pPr>
            <w:r>
              <w:t>支持企业数量</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项目申请与立项按期完成率</w:t>
            </w:r>
          </w:p>
        </w:tc>
        <w:tc>
          <w:tcPr>
            <w:tcW w:w="2835" w:type="dxa"/>
            <w:vAlign w:val="center"/>
          </w:tcPr>
          <w:p>
            <w:pPr>
              <w:pStyle w:val="14"/>
            </w:pPr>
            <w:r>
              <w:t>项目申请与立项按期完成率</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项目工程完成情况</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≥95是否合格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≥95是否合格</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4、无极经济开发区污水、中水配套管网及道路工程绩效目标表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保障开发区污水、中水配套管网及道路工程项目施工正常进行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≥95完成程度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≥95完成程度</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5、无极经济开发区西区污水处理厂及配套管网工程项目绩效目标表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1.污水处理无害化，保护环境。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≥80政府批示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≥95政府批示</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6、无极县经济开发区皮革园区南部片区供热中心及管网工程绩效目标表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w:t>
            </w:r>
            <w:r>
              <w:rPr>
                <w:rFonts w:hint="eastAsia"/>
                <w:lang w:val="en-US" w:eastAsia="zh-CN"/>
              </w:rPr>
              <w:t>保障开发区皮革园区南部片区供热中心及管网项目施工正常进行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≥80政府批示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≥95政府批示</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≥95政府批示</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7、无极县皮革后整产业园市政道路工程绩效目标表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开发区道路建设资金，保障施工正常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项目申请与立项按期完成率</w:t>
            </w:r>
          </w:p>
        </w:tc>
        <w:tc>
          <w:tcPr>
            <w:tcW w:w="2835" w:type="dxa"/>
            <w:vAlign w:val="center"/>
          </w:tcPr>
          <w:p>
            <w:pPr>
              <w:pStyle w:val="14"/>
            </w:pPr>
            <w:r>
              <w:t>项目申请与立项按期完成率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8、无极县皮革后整产业园市政道路项目绩效目标表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val="en-US" w:eastAsia="zh-CN"/>
              </w:rPr>
              <w:t>开发区道路建设资金，保障施工正常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项目申请与立项按期完成率</w:t>
            </w:r>
          </w:p>
        </w:tc>
        <w:tc>
          <w:tcPr>
            <w:tcW w:w="2835" w:type="dxa"/>
            <w:vAlign w:val="center"/>
          </w:tcPr>
          <w:p>
            <w:pPr>
              <w:pStyle w:val="14"/>
            </w:pPr>
            <w:r>
              <w:t>项目申请与立项按期完成率</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≥95是否完成</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≥95是否完成</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2023年，河北无极经济开发区安排政府采购预算0.00万元。具体内容见下表。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607河北无极经济开发区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河北无极经济开发区（含所属单位）上年末固定资产金额为227.86万元（详见下表）。本年度拟购置固定资产总额为0.00万元，已按要求列入政府采购预算，详见政府采购预算表。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607河北无极经济开发区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r>
              <w:t>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208.56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M5ZGY4MDUyYjRiMDAyMDVmYzc1MjAwZjQ5MGVmNjkifQ=="/>
  </w:docVars>
  <w:rsids>
    <w:rsidRoot w:val="00000000"/>
    <w:rsid w:val="072B7596"/>
    <w:rsid w:val="0BA66653"/>
    <w:rsid w:val="0C8F2C33"/>
    <w:rsid w:val="15120545"/>
    <w:rsid w:val="15A671A7"/>
    <w:rsid w:val="175D227D"/>
    <w:rsid w:val="1B5E34B6"/>
    <w:rsid w:val="1EEF4AF2"/>
    <w:rsid w:val="23B6632D"/>
    <w:rsid w:val="243343AE"/>
    <w:rsid w:val="26C74D0F"/>
    <w:rsid w:val="2D125241"/>
    <w:rsid w:val="33B42B07"/>
    <w:rsid w:val="3B337221"/>
    <w:rsid w:val="3CB31BBE"/>
    <w:rsid w:val="427D47BA"/>
    <w:rsid w:val="44404C6D"/>
    <w:rsid w:val="46F54176"/>
    <w:rsid w:val="4E4529C8"/>
    <w:rsid w:val="50BE70A1"/>
    <w:rsid w:val="52A209BD"/>
    <w:rsid w:val="54D745DB"/>
    <w:rsid w:val="57170CC7"/>
    <w:rsid w:val="677C7E2D"/>
    <w:rsid w:val="6D7913FD"/>
    <w:rsid w:val="74C33E86"/>
    <w:rsid w:val="78160310"/>
    <w:rsid w:val="79570E9C"/>
    <w:rsid w:val="7A2B354A"/>
    <w:rsid w:val="7DDE25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2023-05-15T14:26:52Z</dcterms:created>
  <dcterms:modified xsi:type="dcterms:W3CDTF">2023-05-15T06:26:51Z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2023-05-15T14:26:48Z</dcterms:created>
  <dcterms:modified xsi:type="dcterms:W3CDTF">2023-05-15T06:26:48Z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0189996-42b2-481b-bd2c-c513a264c4e4}">
  <ds:schemaRefs/>
</ds:datastoreItem>
</file>

<file path=customXml/itemProps10.xml><?xml version="1.0" encoding="utf-8"?>
<ds:datastoreItem xmlns:ds="http://schemas.openxmlformats.org/officeDocument/2006/customXml" ds:itemID="{3e21cf58-4dc0-4db2-8b68-1e4d8cb86d91}">
  <ds:schemaRefs/>
</ds:datastoreItem>
</file>

<file path=customXml/itemProps11.xml><?xml version="1.0" encoding="utf-8"?>
<ds:datastoreItem xmlns:ds="http://schemas.openxmlformats.org/officeDocument/2006/customXml" ds:itemID="{affa51b6-a7b2-4e28-88c5-d88f4f0c73d6}">
  <ds:schemaRefs/>
</ds:datastoreItem>
</file>

<file path=customXml/itemProps12.xml><?xml version="1.0" encoding="utf-8"?>
<ds:datastoreItem xmlns:ds="http://schemas.openxmlformats.org/officeDocument/2006/customXml" ds:itemID="{f357d6be-d955-4153-8607-c64bb566ae86}">
  <ds:schemaRefs/>
</ds:datastoreItem>
</file>

<file path=customXml/itemProps13.xml><?xml version="1.0" encoding="utf-8"?>
<ds:datastoreItem xmlns:ds="http://schemas.openxmlformats.org/officeDocument/2006/customXml" ds:itemID="{3a8cb82a-9462-44a1-a044-ed0bc0847a66}">
  <ds:schemaRefs/>
</ds:datastoreItem>
</file>

<file path=customXml/itemProps14.xml><?xml version="1.0" encoding="utf-8"?>
<ds:datastoreItem xmlns:ds="http://schemas.openxmlformats.org/officeDocument/2006/customXml" ds:itemID="{579f6577-6f89-4264-9e4a-6ce419396f30}">
  <ds:schemaRefs/>
</ds:datastoreItem>
</file>

<file path=customXml/itemProps15.xml><?xml version="1.0" encoding="utf-8"?>
<ds:datastoreItem xmlns:ds="http://schemas.openxmlformats.org/officeDocument/2006/customXml" ds:itemID="{059111c4-3cdc-4b4b-b570-c304d964c989}">
  <ds:schemaRefs/>
</ds:datastoreItem>
</file>

<file path=customXml/itemProps16.xml><?xml version="1.0" encoding="utf-8"?>
<ds:datastoreItem xmlns:ds="http://schemas.openxmlformats.org/officeDocument/2006/customXml" ds:itemID="{87fd7969-4ba5-40e5-bc58-21789e1119f6}">
  <ds:schemaRefs/>
</ds:datastoreItem>
</file>

<file path=customXml/itemProps17.xml><?xml version="1.0" encoding="utf-8"?>
<ds:datastoreItem xmlns:ds="http://schemas.openxmlformats.org/officeDocument/2006/customXml" ds:itemID="{c871f992-c621-4dc4-bb12-fdfff96b4aff}">
  <ds:schemaRefs/>
</ds:datastoreItem>
</file>

<file path=customXml/itemProps18.xml><?xml version="1.0" encoding="utf-8"?>
<ds:datastoreItem xmlns:ds="http://schemas.openxmlformats.org/officeDocument/2006/customXml" ds:itemID="{aae01b46-a778-4808-b49b-2ab8545beeae}">
  <ds:schemaRefs/>
</ds:datastoreItem>
</file>

<file path=customXml/itemProps19.xml><?xml version="1.0" encoding="utf-8"?>
<ds:datastoreItem xmlns:ds="http://schemas.openxmlformats.org/officeDocument/2006/customXml" ds:itemID="{a7298b1b-a5d3-4e23-8208-2e0ce373c004}">
  <ds:schemaRefs/>
</ds:datastoreItem>
</file>

<file path=customXml/itemProps2.xml><?xml version="1.0" encoding="utf-8"?>
<ds:datastoreItem xmlns:ds="http://schemas.openxmlformats.org/officeDocument/2006/customXml" ds:itemID="{ad5a6cf7-c89e-4649-b3f8-fdd1e0c5466e}">
  <ds:schemaRefs/>
</ds:datastoreItem>
</file>

<file path=customXml/itemProps20.xml><?xml version="1.0" encoding="utf-8"?>
<ds:datastoreItem xmlns:ds="http://schemas.openxmlformats.org/officeDocument/2006/customXml" ds:itemID="{3913db97-386b-405b-ae43-8f07fd197070}">
  <ds:schemaRefs/>
</ds:datastoreItem>
</file>

<file path=customXml/itemProps21.xml><?xml version="1.0" encoding="utf-8"?>
<ds:datastoreItem xmlns:ds="http://schemas.openxmlformats.org/officeDocument/2006/customXml" ds:itemID="{5cc0fa59-58b8-4e6d-84cc-65a76da09d48}">
  <ds:schemaRefs/>
</ds:datastoreItem>
</file>

<file path=customXml/itemProps22.xml><?xml version="1.0" encoding="utf-8"?>
<ds:datastoreItem xmlns:ds="http://schemas.openxmlformats.org/officeDocument/2006/customXml" ds:itemID="{1ac66337-4b62-4464-9705-e4251df4c277}">
  <ds:schemaRefs/>
</ds:datastoreItem>
</file>

<file path=customXml/itemProps23.xml><?xml version="1.0" encoding="utf-8"?>
<ds:datastoreItem xmlns:ds="http://schemas.openxmlformats.org/officeDocument/2006/customXml" ds:itemID="{6d5b4cc0-4144-4769-88a0-3df27c759e7b}">
  <ds:schemaRefs/>
</ds:datastoreItem>
</file>

<file path=customXml/itemProps24.xml><?xml version="1.0" encoding="utf-8"?>
<ds:datastoreItem xmlns:ds="http://schemas.openxmlformats.org/officeDocument/2006/customXml" ds:itemID="{796030b9-3edf-4550-b775-2712ec25c5f5}">
  <ds:schemaRefs/>
</ds:datastoreItem>
</file>

<file path=customXml/itemProps25.xml><?xml version="1.0" encoding="utf-8"?>
<ds:datastoreItem xmlns:ds="http://schemas.openxmlformats.org/officeDocument/2006/customXml" ds:itemID="{aabcb97f-c8b3-4bb2-8320-938e232bbe48}">
  <ds:schemaRefs/>
</ds:datastoreItem>
</file>

<file path=customXml/itemProps26.xml><?xml version="1.0" encoding="utf-8"?>
<ds:datastoreItem xmlns:ds="http://schemas.openxmlformats.org/officeDocument/2006/customXml" ds:itemID="{7780b5f7-0d26-40ff-9c04-cd5461955489}">
  <ds:schemaRefs/>
</ds:datastoreItem>
</file>

<file path=customXml/itemProps27.xml><?xml version="1.0" encoding="utf-8"?>
<ds:datastoreItem xmlns:ds="http://schemas.openxmlformats.org/officeDocument/2006/customXml" ds:itemID="{71ab6888-a372-4ec8-ab1d-773c8e5d2e07}">
  <ds:schemaRefs/>
</ds:datastoreItem>
</file>

<file path=customXml/itemProps28.xml><?xml version="1.0" encoding="utf-8"?>
<ds:datastoreItem xmlns:ds="http://schemas.openxmlformats.org/officeDocument/2006/customXml" ds:itemID="{58dfad60-0e54-40b8-8e0e-07d54f45a143}">
  <ds:schemaRefs/>
</ds:datastoreItem>
</file>

<file path=customXml/itemProps29.xml><?xml version="1.0" encoding="utf-8"?>
<ds:datastoreItem xmlns:ds="http://schemas.openxmlformats.org/officeDocument/2006/customXml" ds:itemID="{475ec932-41ce-436a-b754-c38705e7b70f}">
  <ds:schemaRefs/>
</ds:datastoreItem>
</file>

<file path=customXml/itemProps3.xml><?xml version="1.0" encoding="utf-8"?>
<ds:datastoreItem xmlns:ds="http://schemas.openxmlformats.org/officeDocument/2006/customXml" ds:itemID="{490b9ce0-ac97-470d-b7e7-22b5b78ae3e5}">
  <ds:schemaRefs/>
</ds:datastoreItem>
</file>

<file path=customXml/itemProps30.xml><?xml version="1.0" encoding="utf-8"?>
<ds:datastoreItem xmlns:ds="http://schemas.openxmlformats.org/officeDocument/2006/customXml" ds:itemID="{7968f12c-0d1e-4b33-b0fa-969896918c36}">
  <ds:schemaRefs/>
</ds:datastoreItem>
</file>

<file path=customXml/itemProps31.xml><?xml version="1.0" encoding="utf-8"?>
<ds:datastoreItem xmlns:ds="http://schemas.openxmlformats.org/officeDocument/2006/customXml" ds:itemID="{ab6a5a84-28f9-411c-b30b-f7edf32aa238}">
  <ds:schemaRefs/>
</ds:datastoreItem>
</file>

<file path=customXml/itemProps32.xml><?xml version="1.0" encoding="utf-8"?>
<ds:datastoreItem xmlns:ds="http://schemas.openxmlformats.org/officeDocument/2006/customXml" ds:itemID="{cdf2da21-c5e6-4d7e-a493-b14a5dcc7164}">
  <ds:schemaRefs/>
</ds:datastoreItem>
</file>

<file path=customXml/itemProps33.xml><?xml version="1.0" encoding="utf-8"?>
<ds:datastoreItem xmlns:ds="http://schemas.openxmlformats.org/officeDocument/2006/customXml" ds:itemID="{4a6aeb1d-96e7-40fa-8adb-436ddb5a24f5}">
  <ds:schemaRefs/>
</ds:datastoreItem>
</file>

<file path=customXml/itemProps34.xml><?xml version="1.0" encoding="utf-8"?>
<ds:datastoreItem xmlns:ds="http://schemas.openxmlformats.org/officeDocument/2006/customXml" ds:itemID="{2596eb84-15fc-413b-9568-05504f3e9e8e}">
  <ds:schemaRefs/>
</ds:datastoreItem>
</file>

<file path=customXml/itemProps35.xml><?xml version="1.0" encoding="utf-8"?>
<ds:datastoreItem xmlns:ds="http://schemas.openxmlformats.org/officeDocument/2006/customXml" ds:itemID="{f8580337-326a-45c7-b223-e0caa4b77301}">
  <ds:schemaRefs/>
</ds:datastoreItem>
</file>

<file path=customXml/itemProps36.xml><?xml version="1.0" encoding="utf-8"?>
<ds:datastoreItem xmlns:ds="http://schemas.openxmlformats.org/officeDocument/2006/customXml" ds:itemID="{359681d0-4df1-4e4a-a3d0-969b003c8749}">
  <ds:schemaRefs/>
</ds:datastoreItem>
</file>

<file path=customXml/itemProps37.xml><?xml version="1.0" encoding="utf-8"?>
<ds:datastoreItem xmlns:ds="http://schemas.openxmlformats.org/officeDocument/2006/customXml" ds:itemID="{c4aca31c-cf8b-4b18-af7f-3f92129dba17}">
  <ds:schemaRefs/>
</ds:datastoreItem>
</file>

<file path=customXml/itemProps38.xml><?xml version="1.0" encoding="utf-8"?>
<ds:datastoreItem xmlns:ds="http://schemas.openxmlformats.org/officeDocument/2006/customXml" ds:itemID="{bce1dce7-77e7-46a6-af25-9f5da62cfd09}">
  <ds:schemaRefs/>
</ds:datastoreItem>
</file>

<file path=customXml/itemProps39.xml><?xml version="1.0" encoding="utf-8"?>
<ds:datastoreItem xmlns:ds="http://schemas.openxmlformats.org/officeDocument/2006/customXml" ds:itemID="{4a25a1ce-b4c8-4a48-8c64-8a06ac172403}">
  <ds:schemaRefs/>
</ds:datastoreItem>
</file>

<file path=customXml/itemProps4.xml><?xml version="1.0" encoding="utf-8"?>
<ds:datastoreItem xmlns:ds="http://schemas.openxmlformats.org/officeDocument/2006/customXml" ds:itemID="{7f3726d6-d975-4d38-ba3d-0437f89c6307}">
  <ds:schemaRefs/>
</ds:datastoreItem>
</file>

<file path=customXml/itemProps40.xml><?xml version="1.0" encoding="utf-8"?>
<ds:datastoreItem xmlns:ds="http://schemas.openxmlformats.org/officeDocument/2006/customXml" ds:itemID="{57a59744-590a-4184-a2e5-0023f6cdefb6}">
  <ds:schemaRefs/>
</ds:datastoreItem>
</file>

<file path=customXml/itemProps41.xml><?xml version="1.0" encoding="utf-8"?>
<ds:datastoreItem xmlns:ds="http://schemas.openxmlformats.org/officeDocument/2006/customXml" ds:itemID="{20d26994-522f-4176-8421-12090e1dd023}">
  <ds:schemaRefs/>
</ds:datastoreItem>
</file>

<file path=customXml/itemProps42.xml><?xml version="1.0" encoding="utf-8"?>
<ds:datastoreItem xmlns:ds="http://schemas.openxmlformats.org/officeDocument/2006/customXml" ds:itemID="{a69602c7-1936-47a4-8a91-211fdaa807f3}">
  <ds:schemaRefs/>
</ds:datastoreItem>
</file>

<file path=customXml/itemProps5.xml><?xml version="1.0" encoding="utf-8"?>
<ds:datastoreItem xmlns:ds="http://schemas.openxmlformats.org/officeDocument/2006/customXml" ds:itemID="{fcc2a542-ea82-4743-b145-e42dd4865607}">
  <ds:schemaRefs/>
</ds:datastoreItem>
</file>

<file path=customXml/itemProps6.xml><?xml version="1.0" encoding="utf-8"?>
<ds:datastoreItem xmlns:ds="http://schemas.openxmlformats.org/officeDocument/2006/customXml" ds:itemID="{501e91dc-183b-49d4-a350-e193b702ed3e}">
  <ds:schemaRefs/>
</ds:datastoreItem>
</file>

<file path=customXml/itemProps7.xml><?xml version="1.0" encoding="utf-8"?>
<ds:datastoreItem xmlns:ds="http://schemas.openxmlformats.org/officeDocument/2006/customXml" ds:itemID="{00da0f7b-dccb-4f69-a2f2-0c4986bd592f}">
  <ds:schemaRefs/>
</ds:datastoreItem>
</file>

<file path=customXml/itemProps8.xml><?xml version="1.0" encoding="utf-8"?>
<ds:datastoreItem xmlns:ds="http://schemas.openxmlformats.org/officeDocument/2006/customXml" ds:itemID="{a1d37c3b-4894-4e4d-8d36-444ac6624110}">
  <ds:schemaRefs/>
</ds:datastoreItem>
</file>

<file path=customXml/itemProps9.xml><?xml version="1.0" encoding="utf-8"?>
<ds:datastoreItem xmlns:ds="http://schemas.openxmlformats.org/officeDocument/2006/customXml" ds:itemID="{c85ffe8f-14e7-4268-a31f-e623a6594197}">
  <ds:schemaRefs/>
</ds:datastoreItem>
</file>

<file path=docProps/app.xml><?xml version="1.0" encoding="utf-8"?>
<Properties xmlns="http://schemas.openxmlformats.org/officeDocument/2006/extended-properties" xmlns:vt="http://schemas.openxmlformats.org/officeDocument/2006/docPropsVTypes">
  <Pages>90</Pages>
  <Words>18731</Words>
  <Characters>21732</Characters>
  <TotalTime>15</TotalTime>
  <ScaleCrop>false</ScaleCrop>
  <LinksUpToDate>false</LinksUpToDate>
  <CharactersWithSpaces>22047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陈柏旬</dc:creator>
  <cp:lastModifiedBy>Administrator</cp:lastModifiedBy>
  <dcterms:modified xsi:type="dcterms:W3CDTF">2024-06-20T14:20:10Z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E2E06E7FA3D042EBBD50EAC5CF8F7C5B</vt:lpwstr>
  </property>
</Properties>
</file>