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一、无极县财政局本级收支预算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both"/>
      </w:pPr>
    </w:p>
    <w:p>
      <w:pPr>
        <w:jc w:val="center"/>
        <w:outlineLvl w:val="3"/>
      </w:pPr>
      <w:bookmarkStart w:id="0" w:name="_Toc_4_4_0000000019"/>
      <w:r>
        <w:rPr>
          <w:rFonts w:ascii="方正小标宋_GBK" w:hAnsi="方正小标宋_GBK" w:eastAsia="方正小标宋_GBK" w:cs="方正小标宋_GBK"/>
          <w:color w:val="000000"/>
          <w:sz w:val="44"/>
        </w:rPr>
        <w:t>一、无极县财政局本级收支预算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318001无极县财政局本级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1982.95</w:t>
            </w:r>
          </w:p>
        </w:tc>
        <w:tc>
          <w:tcPr>
            <w:tcW w:w="4535" w:type="dxa"/>
            <w:vAlign w:val="center"/>
          </w:tcPr>
          <w:p>
            <w:pPr>
              <w:pStyle w:val="12"/>
            </w:pPr>
            <w:r>
              <w:t>一、一般公共服务支出</w:t>
            </w:r>
          </w:p>
        </w:tc>
        <w:tc>
          <w:tcPr>
            <w:tcW w:w="2126" w:type="dxa"/>
            <w:vAlign w:val="center"/>
          </w:tcPr>
          <w:p>
            <w:pPr>
              <w:pStyle w:val="13"/>
            </w:pPr>
            <w:r>
              <w:t>1865.95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1982.95</w:t>
            </w:r>
          </w:p>
        </w:tc>
        <w:tc>
          <w:tcPr>
            <w:tcW w:w="4535" w:type="dxa"/>
            <w:vAlign w:val="center"/>
          </w:tcPr>
          <w:p>
            <w:pPr>
              <w:pStyle w:val="14"/>
            </w:pPr>
            <w:r>
              <w:t>本年支出合计</w:t>
            </w:r>
          </w:p>
        </w:tc>
        <w:tc>
          <w:tcPr>
            <w:tcW w:w="2126" w:type="dxa"/>
            <w:vAlign w:val="center"/>
          </w:tcPr>
          <w:p>
            <w:pPr>
              <w:pStyle w:val="15"/>
            </w:pPr>
            <w:r>
              <w:t>1982.95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1982.95</w:t>
            </w:r>
          </w:p>
        </w:tc>
        <w:tc>
          <w:tcPr>
            <w:tcW w:w="4535" w:type="dxa"/>
            <w:vAlign w:val="center"/>
          </w:tcPr>
          <w:p>
            <w:pPr>
              <w:pStyle w:val="14"/>
            </w:pPr>
            <w:r>
              <w:t>支出总计</w:t>
            </w:r>
          </w:p>
        </w:tc>
        <w:tc>
          <w:tcPr>
            <w:tcW w:w="2126" w:type="dxa"/>
            <w:vAlign w:val="center"/>
          </w:tcPr>
          <w:p>
            <w:pPr>
              <w:pStyle w:val="15"/>
            </w:pPr>
            <w:r>
              <w:t>1982.95</w:t>
            </w:r>
          </w:p>
        </w:tc>
      </w:tr>
    </w:tbl>
    <w:p>
      <w:pPr>
        <w:sectPr>
          <w:footerReference r:id="rId3" w:type="default"/>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318001无极县财政局本级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1982.95</w:t>
            </w:r>
          </w:p>
        </w:tc>
        <w:tc>
          <w:tcPr>
            <w:tcW w:w="1134" w:type="dxa"/>
            <w:vAlign w:val="center"/>
          </w:tcPr>
          <w:p>
            <w:pPr>
              <w:pStyle w:val="15"/>
            </w:pPr>
            <w:r>
              <w:t>1982.95</w:t>
            </w:r>
          </w:p>
        </w:tc>
        <w:tc>
          <w:tcPr>
            <w:tcW w:w="1134" w:type="dxa"/>
            <w:vAlign w:val="center"/>
          </w:tcPr>
          <w:p>
            <w:pPr>
              <w:pStyle w:val="15"/>
            </w:pPr>
            <w:r>
              <w:t>1982.95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r>
              <w:t>1865.95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3"/>
            </w:pPr>
            <w:r>
              <w:t>1163.95</w:t>
            </w:r>
          </w:p>
        </w:tc>
        <w:tc>
          <w:tcPr>
            <w:tcW w:w="1134" w:type="dxa"/>
            <w:vAlign w:val="center"/>
          </w:tcPr>
          <w:p>
            <w:pPr>
              <w:pStyle w:val="13"/>
            </w:pPr>
            <w:r>
              <w:t>1163.95</w:t>
            </w:r>
          </w:p>
        </w:tc>
        <w:tc>
          <w:tcPr>
            <w:tcW w:w="1134" w:type="dxa"/>
            <w:vAlign w:val="center"/>
          </w:tcPr>
          <w:p>
            <w:pPr>
              <w:pStyle w:val="13"/>
            </w:pPr>
            <w:r>
              <w:t>1163.95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3"/>
            </w:pPr>
            <w:r>
              <w:t>160.00</w:t>
            </w:r>
          </w:p>
        </w:tc>
        <w:tc>
          <w:tcPr>
            <w:tcW w:w="1134" w:type="dxa"/>
            <w:vAlign w:val="center"/>
          </w:tcPr>
          <w:p>
            <w:pPr>
              <w:pStyle w:val="13"/>
            </w:pPr>
            <w:r>
              <w:t>160.00</w:t>
            </w:r>
          </w:p>
        </w:tc>
        <w:tc>
          <w:tcPr>
            <w:tcW w:w="1134" w:type="dxa"/>
            <w:vAlign w:val="center"/>
          </w:tcPr>
          <w:p>
            <w:pPr>
              <w:pStyle w:val="13"/>
            </w:pPr>
            <w:r>
              <w:t>160.00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3"/>
            </w:pPr>
            <w:r>
              <w:t>534.00</w:t>
            </w:r>
          </w:p>
        </w:tc>
        <w:tc>
          <w:tcPr>
            <w:tcW w:w="1134" w:type="dxa"/>
            <w:vAlign w:val="center"/>
          </w:tcPr>
          <w:p>
            <w:pPr>
              <w:pStyle w:val="13"/>
            </w:pPr>
            <w:r>
              <w:t>534.00</w:t>
            </w:r>
          </w:p>
        </w:tc>
        <w:tc>
          <w:tcPr>
            <w:tcW w:w="1134" w:type="dxa"/>
            <w:vAlign w:val="center"/>
          </w:tcPr>
          <w:p>
            <w:pPr>
              <w:pStyle w:val="13"/>
            </w:pPr>
            <w:r>
              <w:t>534.00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1982.95</w:t>
            </w:r>
          </w:p>
        </w:tc>
        <w:tc>
          <w:tcPr>
            <w:tcW w:w="1361" w:type="dxa"/>
            <w:vAlign w:val="center"/>
          </w:tcPr>
          <w:p>
            <w:pPr>
              <w:pStyle w:val="15"/>
            </w:pPr>
            <w:r>
              <w:t>1135.95</w:t>
            </w:r>
          </w:p>
        </w:tc>
        <w:tc>
          <w:tcPr>
            <w:tcW w:w="1361" w:type="dxa"/>
            <w:vAlign w:val="center"/>
          </w:tcPr>
          <w:p>
            <w:pPr>
              <w:pStyle w:val="15"/>
            </w:pPr>
            <w:r>
              <w:t>847.00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1865.95</w:t>
            </w:r>
          </w:p>
        </w:tc>
        <w:tc>
          <w:tcPr>
            <w:tcW w:w="1361" w:type="dxa"/>
            <w:vAlign w:val="center"/>
          </w:tcPr>
          <w:p>
            <w:pPr>
              <w:pStyle w:val="13"/>
            </w:pPr>
            <w:r>
              <w:t>1030.95</w:t>
            </w:r>
          </w:p>
        </w:tc>
        <w:tc>
          <w:tcPr>
            <w:tcW w:w="1361" w:type="dxa"/>
            <w:vAlign w:val="center"/>
          </w:tcPr>
          <w:p>
            <w:pPr>
              <w:pStyle w:val="13"/>
            </w:pPr>
            <w:r>
              <w:t>835.00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3"/>
            </w:pPr>
            <w:r>
              <w:t>1865.95</w:t>
            </w:r>
          </w:p>
        </w:tc>
        <w:tc>
          <w:tcPr>
            <w:tcW w:w="1361" w:type="dxa"/>
            <w:vAlign w:val="center"/>
          </w:tcPr>
          <w:p>
            <w:pPr>
              <w:pStyle w:val="13"/>
            </w:pPr>
            <w:r>
              <w:t>1030.95</w:t>
            </w:r>
          </w:p>
        </w:tc>
        <w:tc>
          <w:tcPr>
            <w:tcW w:w="1361" w:type="dxa"/>
            <w:vAlign w:val="center"/>
          </w:tcPr>
          <w:p>
            <w:pPr>
              <w:pStyle w:val="13"/>
            </w:pPr>
            <w:r>
              <w:t>835.00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3"/>
            </w:pPr>
            <w:r>
              <w:t>1163.95</w:t>
            </w:r>
          </w:p>
        </w:tc>
        <w:tc>
          <w:tcPr>
            <w:tcW w:w="1361" w:type="dxa"/>
            <w:vAlign w:val="center"/>
          </w:tcPr>
          <w:p>
            <w:pPr>
              <w:pStyle w:val="13"/>
            </w:pPr>
            <w:r>
              <w:t>1030.95</w:t>
            </w:r>
          </w:p>
        </w:tc>
        <w:tc>
          <w:tcPr>
            <w:tcW w:w="1361" w:type="dxa"/>
            <w:vAlign w:val="center"/>
          </w:tcPr>
          <w:p>
            <w:pPr>
              <w:pStyle w:val="13"/>
            </w:pPr>
            <w:r>
              <w:t>133.00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3"/>
            </w:pPr>
            <w:r>
              <w:t>160.00</w:t>
            </w:r>
          </w:p>
        </w:tc>
        <w:tc>
          <w:tcPr>
            <w:tcW w:w="1361" w:type="dxa"/>
            <w:vAlign w:val="center"/>
          </w:tcPr>
          <w:p>
            <w:pPr>
              <w:pStyle w:val="13"/>
            </w:pPr>
          </w:p>
        </w:tc>
        <w:tc>
          <w:tcPr>
            <w:tcW w:w="1361" w:type="dxa"/>
            <w:vAlign w:val="center"/>
          </w:tcPr>
          <w:p>
            <w:pPr>
              <w:pStyle w:val="13"/>
            </w:pPr>
            <w:r>
              <w:t>160.00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3"/>
            </w:pPr>
            <w:r>
              <w:t>534.00</w:t>
            </w:r>
          </w:p>
        </w:tc>
        <w:tc>
          <w:tcPr>
            <w:tcW w:w="1361" w:type="dxa"/>
            <w:vAlign w:val="center"/>
          </w:tcPr>
          <w:p>
            <w:pPr>
              <w:pStyle w:val="13"/>
            </w:pPr>
          </w:p>
        </w:tc>
        <w:tc>
          <w:tcPr>
            <w:tcW w:w="1361" w:type="dxa"/>
            <w:vAlign w:val="center"/>
          </w:tcPr>
          <w:p>
            <w:pPr>
              <w:pStyle w:val="13"/>
            </w:pPr>
            <w:r>
              <w:t>534.00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2010699</w:t>
            </w:r>
          </w:p>
        </w:tc>
        <w:tc>
          <w:tcPr>
            <w:tcW w:w="4535" w:type="dxa"/>
            <w:vAlign w:val="center"/>
          </w:tcPr>
          <w:p>
            <w:pPr>
              <w:pStyle w:val="12"/>
            </w:pPr>
            <w:r>
              <w:t>其他财政事务支出</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70.00</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1982.95</w:t>
            </w:r>
          </w:p>
        </w:tc>
        <w:tc>
          <w:tcPr>
            <w:tcW w:w="3402" w:type="dxa"/>
            <w:vAlign w:val="center"/>
          </w:tcPr>
          <w:p>
            <w:pPr>
              <w:pStyle w:val="12"/>
            </w:pPr>
            <w:r>
              <w:t>一、一般公共服务支出</w:t>
            </w:r>
          </w:p>
        </w:tc>
        <w:tc>
          <w:tcPr>
            <w:tcW w:w="1474" w:type="dxa"/>
            <w:vAlign w:val="center"/>
          </w:tcPr>
          <w:p>
            <w:pPr>
              <w:pStyle w:val="13"/>
            </w:pPr>
            <w:r>
              <w:t>1865.95</w:t>
            </w:r>
          </w:p>
        </w:tc>
        <w:tc>
          <w:tcPr>
            <w:tcW w:w="1474" w:type="dxa"/>
            <w:vAlign w:val="center"/>
          </w:tcPr>
          <w:p>
            <w:pPr>
              <w:pStyle w:val="13"/>
            </w:pPr>
            <w:r>
              <w:t>1865.95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70.00</w:t>
            </w:r>
          </w:p>
        </w:tc>
        <w:tc>
          <w:tcPr>
            <w:tcW w:w="1474" w:type="dxa"/>
            <w:vAlign w:val="center"/>
          </w:tcPr>
          <w:p>
            <w:pPr>
              <w:pStyle w:val="13"/>
            </w:pPr>
            <w:r>
              <w:t>70.00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35.00</w:t>
            </w:r>
          </w:p>
        </w:tc>
        <w:tc>
          <w:tcPr>
            <w:tcW w:w="1474" w:type="dxa"/>
            <w:vAlign w:val="center"/>
          </w:tcPr>
          <w:p>
            <w:pPr>
              <w:pStyle w:val="13"/>
            </w:pPr>
            <w:r>
              <w:t>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r>
              <w:t>12.00</w:t>
            </w:r>
          </w:p>
        </w:tc>
        <w:tc>
          <w:tcPr>
            <w:tcW w:w="1474" w:type="dxa"/>
            <w:vAlign w:val="center"/>
          </w:tcPr>
          <w:p>
            <w:pPr>
              <w:pStyle w:val="13"/>
            </w:pPr>
            <w:r>
              <w:t>12.00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1982.95</w:t>
            </w:r>
          </w:p>
        </w:tc>
        <w:tc>
          <w:tcPr>
            <w:tcW w:w="3402" w:type="dxa"/>
            <w:vAlign w:val="center"/>
          </w:tcPr>
          <w:p>
            <w:pPr>
              <w:pStyle w:val="14"/>
            </w:pPr>
            <w:r>
              <w:t>本年支出合计</w:t>
            </w:r>
          </w:p>
        </w:tc>
        <w:tc>
          <w:tcPr>
            <w:tcW w:w="1474" w:type="dxa"/>
            <w:vAlign w:val="center"/>
          </w:tcPr>
          <w:p>
            <w:pPr>
              <w:pStyle w:val="15"/>
            </w:pPr>
            <w:r>
              <w:t>1982.95</w:t>
            </w:r>
          </w:p>
        </w:tc>
        <w:tc>
          <w:tcPr>
            <w:tcW w:w="1474" w:type="dxa"/>
            <w:vAlign w:val="center"/>
          </w:tcPr>
          <w:p>
            <w:pPr>
              <w:pStyle w:val="15"/>
            </w:pPr>
            <w:r>
              <w:t>1982.95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1982.95</w:t>
            </w:r>
          </w:p>
        </w:tc>
        <w:tc>
          <w:tcPr>
            <w:tcW w:w="3402" w:type="dxa"/>
            <w:vAlign w:val="center"/>
          </w:tcPr>
          <w:p>
            <w:pPr>
              <w:pStyle w:val="14"/>
            </w:pPr>
            <w:r>
              <w:t>支出总计</w:t>
            </w:r>
          </w:p>
        </w:tc>
        <w:tc>
          <w:tcPr>
            <w:tcW w:w="1474" w:type="dxa"/>
            <w:vAlign w:val="center"/>
          </w:tcPr>
          <w:p>
            <w:pPr>
              <w:pStyle w:val="15"/>
            </w:pPr>
            <w:r>
              <w:t>1982.95</w:t>
            </w:r>
          </w:p>
        </w:tc>
        <w:tc>
          <w:tcPr>
            <w:tcW w:w="1474" w:type="dxa"/>
            <w:vAlign w:val="center"/>
          </w:tcPr>
          <w:p>
            <w:pPr>
              <w:pStyle w:val="15"/>
            </w:pPr>
            <w:r>
              <w:t>1982.95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1982.95</w:t>
            </w:r>
          </w:p>
        </w:tc>
        <w:tc>
          <w:tcPr>
            <w:tcW w:w="2551" w:type="dxa"/>
            <w:vAlign w:val="center"/>
          </w:tcPr>
          <w:p>
            <w:pPr>
              <w:pStyle w:val="15"/>
            </w:pPr>
            <w:r>
              <w:t>1135.95</w:t>
            </w:r>
          </w:p>
        </w:tc>
        <w:tc>
          <w:tcPr>
            <w:tcW w:w="2551" w:type="dxa"/>
            <w:vAlign w:val="center"/>
          </w:tcPr>
          <w:p>
            <w:pPr>
              <w:pStyle w:val="15"/>
            </w:pPr>
            <w:r>
              <w:t>847.00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1865.95</w:t>
            </w:r>
          </w:p>
        </w:tc>
        <w:tc>
          <w:tcPr>
            <w:tcW w:w="2551" w:type="dxa"/>
            <w:vAlign w:val="center"/>
          </w:tcPr>
          <w:p>
            <w:pPr>
              <w:pStyle w:val="13"/>
            </w:pPr>
            <w:r>
              <w:t>1030.95</w:t>
            </w:r>
          </w:p>
        </w:tc>
        <w:tc>
          <w:tcPr>
            <w:tcW w:w="2551"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3"/>
            </w:pPr>
            <w:r>
              <w:t>1865.95</w:t>
            </w:r>
          </w:p>
        </w:tc>
        <w:tc>
          <w:tcPr>
            <w:tcW w:w="2551" w:type="dxa"/>
            <w:vAlign w:val="center"/>
          </w:tcPr>
          <w:p>
            <w:pPr>
              <w:pStyle w:val="13"/>
            </w:pPr>
            <w:r>
              <w:t>1030.95</w:t>
            </w:r>
          </w:p>
        </w:tc>
        <w:tc>
          <w:tcPr>
            <w:tcW w:w="2551"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3"/>
            </w:pPr>
            <w:r>
              <w:t>1163.95</w:t>
            </w:r>
          </w:p>
        </w:tc>
        <w:tc>
          <w:tcPr>
            <w:tcW w:w="2551" w:type="dxa"/>
            <w:vAlign w:val="center"/>
          </w:tcPr>
          <w:p>
            <w:pPr>
              <w:pStyle w:val="13"/>
            </w:pPr>
            <w:r>
              <w:t>1030.95</w:t>
            </w:r>
          </w:p>
        </w:tc>
        <w:tc>
          <w:tcPr>
            <w:tcW w:w="2551" w:type="dxa"/>
            <w:vAlign w:val="center"/>
          </w:tcPr>
          <w:p>
            <w:pPr>
              <w:pStyle w:val="13"/>
            </w:pPr>
            <w:r>
              <w:t>133.00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3"/>
            </w:pPr>
            <w:r>
              <w:t>160.00</w:t>
            </w:r>
          </w:p>
        </w:tc>
        <w:tc>
          <w:tcPr>
            <w:tcW w:w="2551" w:type="dxa"/>
            <w:vAlign w:val="center"/>
          </w:tcPr>
          <w:p>
            <w:pPr>
              <w:pStyle w:val="13"/>
            </w:pPr>
          </w:p>
        </w:tc>
        <w:tc>
          <w:tcPr>
            <w:tcW w:w="2551" w:type="dxa"/>
            <w:vAlign w:val="center"/>
          </w:tcPr>
          <w:p>
            <w:pPr>
              <w:pStyle w:val="13"/>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3"/>
            </w:pPr>
            <w:r>
              <w:t>534.00</w:t>
            </w:r>
          </w:p>
        </w:tc>
        <w:tc>
          <w:tcPr>
            <w:tcW w:w="2551" w:type="dxa"/>
            <w:vAlign w:val="center"/>
          </w:tcPr>
          <w:p>
            <w:pPr>
              <w:pStyle w:val="13"/>
            </w:pPr>
          </w:p>
        </w:tc>
        <w:tc>
          <w:tcPr>
            <w:tcW w:w="2551" w:type="dxa"/>
            <w:vAlign w:val="center"/>
          </w:tcPr>
          <w:p>
            <w:pPr>
              <w:pStyle w:val="13"/>
            </w:pPr>
            <w:r>
              <w:t>534.00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1135.95</w:t>
            </w:r>
          </w:p>
        </w:tc>
        <w:tc>
          <w:tcPr>
            <w:tcW w:w="2551" w:type="dxa"/>
            <w:vAlign w:val="center"/>
          </w:tcPr>
          <w:p>
            <w:pPr>
              <w:pStyle w:val="15"/>
            </w:pPr>
            <w:r>
              <w:t>1016.45</w:t>
            </w:r>
          </w:p>
        </w:tc>
        <w:tc>
          <w:tcPr>
            <w:tcW w:w="2551" w:type="dxa"/>
            <w:vAlign w:val="center"/>
          </w:tcPr>
          <w:p>
            <w:pPr>
              <w:pStyle w:val="15"/>
            </w:pPr>
            <w:r>
              <w:t>119.50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985.95</w:t>
            </w:r>
          </w:p>
        </w:tc>
        <w:tc>
          <w:tcPr>
            <w:tcW w:w="2551" w:type="dxa"/>
            <w:vAlign w:val="center"/>
          </w:tcPr>
          <w:p>
            <w:pPr>
              <w:pStyle w:val="13"/>
            </w:pPr>
            <w:r>
              <w:t>985.95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522.55</w:t>
            </w:r>
          </w:p>
        </w:tc>
        <w:tc>
          <w:tcPr>
            <w:tcW w:w="2551" w:type="dxa"/>
            <w:vAlign w:val="center"/>
          </w:tcPr>
          <w:p>
            <w:pPr>
              <w:pStyle w:val="13"/>
            </w:pPr>
            <w:r>
              <w:t>522.55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117.40</w:t>
            </w:r>
          </w:p>
        </w:tc>
        <w:tc>
          <w:tcPr>
            <w:tcW w:w="2551" w:type="dxa"/>
            <w:vAlign w:val="center"/>
          </w:tcPr>
          <w:p>
            <w:pPr>
              <w:pStyle w:val="13"/>
            </w:pPr>
            <w:r>
              <w:t>117.40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186.10</w:t>
            </w:r>
          </w:p>
        </w:tc>
        <w:tc>
          <w:tcPr>
            <w:tcW w:w="2551" w:type="dxa"/>
            <w:vAlign w:val="center"/>
          </w:tcPr>
          <w:p>
            <w:pPr>
              <w:pStyle w:val="13"/>
            </w:pPr>
            <w:r>
              <w:t>186.10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4.90</w:t>
            </w:r>
          </w:p>
        </w:tc>
        <w:tc>
          <w:tcPr>
            <w:tcW w:w="2551" w:type="dxa"/>
            <w:vAlign w:val="center"/>
          </w:tcPr>
          <w:p>
            <w:pPr>
              <w:pStyle w:val="13"/>
            </w:pPr>
            <w:r>
              <w:t>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119.50</w:t>
            </w:r>
          </w:p>
        </w:tc>
        <w:tc>
          <w:tcPr>
            <w:tcW w:w="2551" w:type="dxa"/>
            <w:vAlign w:val="center"/>
          </w:tcPr>
          <w:p>
            <w:pPr>
              <w:pStyle w:val="13"/>
            </w:pPr>
          </w:p>
        </w:tc>
        <w:tc>
          <w:tcPr>
            <w:tcW w:w="2551" w:type="dxa"/>
            <w:vAlign w:val="center"/>
          </w:tcPr>
          <w:p>
            <w:pPr>
              <w:pStyle w:val="13"/>
            </w:pPr>
            <w:r>
              <w:t>119.50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21.00</w:t>
            </w:r>
          </w:p>
        </w:tc>
        <w:tc>
          <w:tcPr>
            <w:tcW w:w="2551" w:type="dxa"/>
            <w:vAlign w:val="center"/>
          </w:tcPr>
          <w:p>
            <w:pPr>
              <w:pStyle w:val="13"/>
            </w:pPr>
          </w:p>
        </w:tc>
        <w:tc>
          <w:tcPr>
            <w:tcW w:w="2551"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25.00</w:t>
            </w:r>
          </w:p>
        </w:tc>
        <w:tc>
          <w:tcPr>
            <w:tcW w:w="2551" w:type="dxa"/>
            <w:vAlign w:val="center"/>
          </w:tcPr>
          <w:p>
            <w:pPr>
              <w:pStyle w:val="13"/>
            </w:pPr>
          </w:p>
        </w:tc>
        <w:tc>
          <w:tcPr>
            <w:tcW w:w="2551"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36.50</w:t>
            </w:r>
          </w:p>
        </w:tc>
        <w:tc>
          <w:tcPr>
            <w:tcW w:w="2551" w:type="dxa"/>
            <w:vAlign w:val="center"/>
          </w:tcPr>
          <w:p>
            <w:pPr>
              <w:pStyle w:val="13"/>
            </w:pPr>
          </w:p>
        </w:tc>
        <w:tc>
          <w:tcPr>
            <w:tcW w:w="2551" w:type="dxa"/>
            <w:vAlign w:val="center"/>
          </w:tcPr>
          <w:p>
            <w:pPr>
              <w:pStyle w:val="13"/>
            </w:pPr>
            <w:r>
              <w:t>36.50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30.50</w:t>
            </w:r>
          </w:p>
        </w:tc>
        <w:tc>
          <w:tcPr>
            <w:tcW w:w="2551" w:type="dxa"/>
            <w:vAlign w:val="center"/>
          </w:tcPr>
          <w:p>
            <w:pPr>
              <w:pStyle w:val="13"/>
            </w:pPr>
            <w:r>
              <w:t>30.50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30.50</w:t>
            </w:r>
          </w:p>
        </w:tc>
        <w:tc>
          <w:tcPr>
            <w:tcW w:w="2551" w:type="dxa"/>
            <w:vAlign w:val="center"/>
          </w:tcPr>
          <w:p>
            <w:pPr>
              <w:pStyle w:val="13"/>
            </w:pPr>
            <w:r>
              <w:t>30.50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jc w:val="left"/>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318001无极县财政局本级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“三公”经费小计</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无极县财政局本级2022年单位预算信息公开情况说明</w:t>
      </w:r>
    </w:p>
    <w:p>
      <w:pPr>
        <w:spacing w:line="500" w:lineRule="exact"/>
        <w:ind w:firstLine="560"/>
        <w:jc w:val="left"/>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、《地方预决算公开操作规程》和《关于进一步推进预算公开工作的实施意见》规定，现将无极县财政局本级2022年单位预算公开如下：</w:t>
      </w:r>
    </w:p>
    <w:p>
      <w:pPr>
        <w:spacing w:before="10" w:after="10"/>
        <w:ind w:firstLine="640"/>
        <w:jc w:val="left"/>
        <w:outlineLvl w:val="5"/>
      </w:pPr>
      <w:r>
        <w:rPr>
          <w:rFonts w:ascii="黑体" w:hAnsi="黑体" w:eastAsia="黑体" w:cs="黑体"/>
          <w:color w:val="000000"/>
          <w:sz w:val="32"/>
        </w:rPr>
        <w:t>一、单位职责及机构设置情况</w:t>
      </w:r>
    </w:p>
    <w:p>
      <w:pPr>
        <w:ind w:firstLine="640"/>
        <w:jc w:val="left"/>
      </w:pPr>
      <w:r>
        <w:rPr>
          <w:rFonts w:ascii="方正楷体_GBK" w:hAnsi="方正楷体_GBK" w:eastAsia="方正楷体_GBK" w:cs="方正楷体_GBK"/>
          <w:b/>
          <w:color w:val="000000"/>
          <w:sz w:val="32"/>
        </w:rPr>
        <w:t>单位职责：</w:t>
      </w:r>
    </w:p>
    <w:p>
      <w:pPr>
        <w:pStyle w:val="25"/>
      </w:pPr>
      <w:r>
        <w:t>（一）拟订财税发展规划、政策和改革方案并组织实施。分析预测宏观经济形势，参与</w:t>
      </w:r>
      <w:r>
        <w:rPr>
          <w:rFonts w:hint="eastAsia"/>
          <w:lang w:eastAsia="zh-CN"/>
        </w:rPr>
        <w:t>制订</w:t>
      </w:r>
      <w:r>
        <w:t>各项宏观经济政策，提出运用财税政策实施宏观调控和综合平衡社会财力的建议；拟订县与乡（镇）、政府与企业的分配政策，完善鼓励公益事业发展的财税政策。</w:t>
      </w:r>
    </w:p>
    <w:p>
      <w:pPr>
        <w:pStyle w:val="25"/>
      </w:pPr>
      <w:r>
        <w:t>（二）贯彻执行关于财政、税收、财务、会计管理方面的法律、法规、规章。</w:t>
      </w:r>
    </w:p>
    <w:p>
      <w:pPr>
        <w:pStyle w:val="25"/>
      </w:pPr>
      <w:r>
        <w:t>（三）负责管理县级各项财政收支。编制年度县级预决算草案并组织执行，汇编全县预决算草案。组织</w:t>
      </w:r>
      <w:r>
        <w:rPr>
          <w:rFonts w:hint="eastAsia"/>
          <w:lang w:eastAsia="zh-CN"/>
        </w:rPr>
        <w:t>制订</w:t>
      </w:r>
      <w:r>
        <w:t>经费开支标准、定额，审核批复</w:t>
      </w:r>
      <w:r>
        <w:rPr>
          <w:rFonts w:hint="eastAsia"/>
          <w:lang w:eastAsia="zh-CN"/>
        </w:rPr>
        <w:t>单位</w:t>
      </w:r>
      <w:r>
        <w:t>（单位）年度预决算。受县政府委托，向县人民代表大会及其常委会报告财政预算、执行和决算等情况。负责政府投资基金县级财政出资的资产管理。负责县级财政预决算公开。</w:t>
      </w:r>
    </w:p>
    <w:p>
      <w:pPr>
        <w:pStyle w:val="25"/>
      </w:pPr>
      <w:r>
        <w:t>（四）提出上级授权税目税率调整、减免和地方税收政策等重大事项的建议。组织推进税收制度改革。</w:t>
      </w:r>
    </w:p>
    <w:p>
      <w:pPr>
        <w:pStyle w:val="25"/>
      </w:pPr>
      <w:r>
        <w:t>（五）按分工负责政府非税收入管理。负责政府性基金管理，按规定管理行政事业性收费。管理财政票据。贯彻实施彩票管理政策和有关办法，参与管理彩票市场，按规定管理彩票资金。</w:t>
      </w:r>
    </w:p>
    <w:p>
      <w:pPr>
        <w:pStyle w:val="25"/>
      </w:pPr>
      <w:r>
        <w:t>（六）研究</w:t>
      </w:r>
      <w:r>
        <w:rPr>
          <w:rFonts w:hint="eastAsia"/>
          <w:lang w:eastAsia="zh-CN"/>
        </w:rPr>
        <w:t>制订</w:t>
      </w:r>
      <w:r>
        <w:t>国库管理制度、国库集中收付制度，按规定开展国库资金现金管理工作。</w:t>
      </w:r>
      <w:r>
        <w:rPr>
          <w:rFonts w:hint="eastAsia"/>
          <w:lang w:eastAsia="zh-CN"/>
        </w:rPr>
        <w:t>制订</w:t>
      </w:r>
      <w:r>
        <w:t>政府财务报告编制办法并组织实施。</w:t>
      </w:r>
      <w:r>
        <w:rPr>
          <w:rFonts w:hint="eastAsia"/>
          <w:lang w:eastAsia="zh-CN"/>
        </w:rPr>
        <w:t>制订</w:t>
      </w:r>
      <w:r>
        <w:t>政府采购制度并监督管理。</w:t>
      </w:r>
    </w:p>
    <w:p>
      <w:pPr>
        <w:pStyle w:val="25"/>
      </w:pPr>
      <w:r>
        <w:t>（七）拟订政府债务管理制度和办法并组织实施。负责政府债务限额管理，按规定组织政府债券申报、转贷和还本付息等工作。执行国家外债管理政策，管理县政府国外债务。开展对外财经交流。</w:t>
      </w:r>
    </w:p>
    <w:p>
      <w:pPr>
        <w:pStyle w:val="25"/>
      </w:pPr>
      <w:r>
        <w:t>（八）牵头编制国有资产管理情况报告。根据县政府授权，逐步履行县级国有金融资本出资人职责。执行国有金融资本管理规章制度。拟订行政事业单位国有资产管理制度并组织实施，</w:t>
      </w:r>
      <w:r>
        <w:rPr>
          <w:rFonts w:hint="eastAsia"/>
          <w:lang w:eastAsia="zh-CN"/>
        </w:rPr>
        <w:t>制订</w:t>
      </w:r>
      <w:r>
        <w:t>需要全县统一规定的开支标准和支出政策。</w:t>
      </w:r>
    </w:p>
    <w:p>
      <w:pPr>
        <w:ind w:firstLine="640"/>
        <w:jc w:val="left"/>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jc w:val="left"/>
        <w:outlineLvl w:val="5"/>
      </w:pPr>
      <w:r>
        <w:rPr>
          <w:rFonts w:ascii="黑体" w:hAnsi="黑体" w:eastAsia="黑体" w:cs="黑体"/>
          <w:color w:val="000000"/>
          <w:sz w:val="32"/>
        </w:rPr>
        <w:t>二、单位预算安排的总体情况</w:t>
      </w:r>
    </w:p>
    <w:p>
      <w:pPr>
        <w:pStyle w:val="20"/>
      </w:pPr>
      <w:r>
        <w:t>按照预算管理有关规定，目前我</w:t>
      </w:r>
      <w:r>
        <w:rPr>
          <w:rFonts w:hint="eastAsia"/>
          <w:lang w:val="en-US" w:eastAsia="zh-CN"/>
        </w:rPr>
        <w:t>县</w:t>
      </w:r>
      <w:r>
        <w:t>单位预算的编制实行综合预算管理，即全部收入和支出都反映在预算中。</w:t>
      </w:r>
    </w:p>
    <w:p>
      <w:pPr>
        <w:pStyle w:val="20"/>
      </w:pPr>
      <w:r>
        <w:t>1</w:t>
      </w:r>
      <w:r>
        <w:rPr>
          <w:rFonts w:hint="eastAsia"/>
        </w:rPr>
        <w:t>、收入说明</w:t>
      </w:r>
    </w:p>
    <w:p>
      <w:pPr>
        <w:pStyle w:val="20"/>
      </w:pPr>
      <w:r>
        <w:rPr>
          <w:rFonts w:hint="eastAsia"/>
        </w:rPr>
        <w:t>反映本</w:t>
      </w:r>
      <w:r>
        <w:rPr>
          <w:rFonts w:hint="eastAsia"/>
          <w:lang w:val="en-US" w:eastAsia="zh-CN"/>
        </w:rPr>
        <w:t>单位</w:t>
      </w:r>
      <w:r>
        <w:rPr>
          <w:rFonts w:hint="eastAsia"/>
        </w:rPr>
        <w:t>当年全部收入，</w:t>
      </w:r>
      <w:r>
        <w:t>2022</w:t>
      </w:r>
      <w:r>
        <w:rPr>
          <w:rFonts w:hint="eastAsia"/>
        </w:rPr>
        <w:t>年预算收入1982.95万元，其中：一般公共预算拨款1982.95万元，基金预算拨款</w:t>
      </w:r>
      <w:r>
        <w:t>0</w:t>
      </w:r>
      <w:r>
        <w:rPr>
          <w:rFonts w:hint="eastAsia"/>
        </w:rPr>
        <w:t>万元，财政专户核拨</w:t>
      </w:r>
      <w:r>
        <w:t>0</w:t>
      </w:r>
      <w:r>
        <w:rPr>
          <w:rFonts w:hint="eastAsia"/>
        </w:rPr>
        <w:t>万元，其他来源收入</w:t>
      </w:r>
      <w:r>
        <w:t>0</w:t>
      </w:r>
      <w:r>
        <w:rPr>
          <w:rFonts w:hint="eastAsia"/>
        </w:rPr>
        <w:t>万元。</w:t>
      </w:r>
    </w:p>
    <w:p>
      <w:pPr>
        <w:pStyle w:val="20"/>
      </w:pPr>
      <w:r>
        <w:t>2</w:t>
      </w:r>
      <w:r>
        <w:rPr>
          <w:rFonts w:hint="eastAsia"/>
        </w:rPr>
        <w:t>、支出说明</w:t>
      </w:r>
    </w:p>
    <w:p>
      <w:pPr>
        <w:pStyle w:val="20"/>
      </w:pPr>
      <w:r>
        <w:rPr>
          <w:rFonts w:hint="eastAsia"/>
        </w:rPr>
        <w:t>收支预算总表支出栏、基本支出表、项目支出表按经济分类和支出功能分类科目编制，反映财政年度</w:t>
      </w:r>
      <w:r>
        <w:rPr>
          <w:rFonts w:hint="eastAsia"/>
          <w:lang w:val="en-US" w:eastAsia="zh-CN"/>
        </w:rPr>
        <w:t>单位</w:t>
      </w:r>
      <w:r>
        <w:rPr>
          <w:rFonts w:hint="eastAsia"/>
        </w:rPr>
        <w:t>预算中支出预算的总体情况。</w:t>
      </w:r>
      <w:r>
        <w:t>2022</w:t>
      </w:r>
      <w:r>
        <w:rPr>
          <w:rFonts w:hint="eastAsia"/>
        </w:rPr>
        <w:t>年</w:t>
      </w:r>
      <w:r>
        <w:rPr>
          <w:rFonts w:hint="eastAsia"/>
          <w:lang w:val="en-US" w:eastAsia="zh-CN"/>
        </w:rPr>
        <w:t>单位</w:t>
      </w:r>
      <w:r>
        <w:rPr>
          <w:rFonts w:hint="eastAsia"/>
        </w:rPr>
        <w:t>支出预算为1982.95万元，其中基本支出1135.95元，包括人员经费1016.45万元和日常公用经费119.5万元；项目支出847万元,主要为财政委托业务、财政信息化建设、其他财政事务支出等847万元</w:t>
      </w:r>
      <w:r>
        <w:t>。</w:t>
      </w:r>
    </w:p>
    <w:p>
      <w:pPr>
        <w:pStyle w:val="20"/>
      </w:pPr>
      <w:r>
        <w:t>3</w:t>
      </w:r>
      <w:r>
        <w:rPr>
          <w:rFonts w:hint="eastAsia"/>
        </w:rPr>
        <w:t>、比上年增减情况</w:t>
      </w:r>
    </w:p>
    <w:p>
      <w:pPr>
        <w:pStyle w:val="20"/>
        <w:rPr>
          <w:rFonts w:hint="eastAsia" w:eastAsia="方正仿宋_GBK"/>
          <w:color w:val="000000"/>
          <w:sz w:val="28"/>
        </w:rPr>
      </w:pPr>
      <w:r>
        <w:t>2022</w:t>
      </w:r>
      <w:r>
        <w:rPr>
          <w:rFonts w:hint="eastAsia"/>
        </w:rPr>
        <w:t>年</w:t>
      </w:r>
      <w:r>
        <w:rPr>
          <w:rFonts w:hint="eastAsia"/>
          <w:lang w:val="en-US" w:eastAsia="zh-CN"/>
        </w:rPr>
        <w:t>单位</w:t>
      </w:r>
      <w:r>
        <w:rPr>
          <w:rFonts w:hint="eastAsia"/>
        </w:rPr>
        <w:t>预算支出较</w:t>
      </w:r>
      <w:r>
        <w:t>2021</w:t>
      </w:r>
      <w:r>
        <w:rPr>
          <w:rFonts w:hint="eastAsia"/>
        </w:rPr>
        <w:t>减少94.78</w:t>
      </w:r>
      <w:r>
        <w:t>万元，其中：基</w:t>
      </w:r>
      <w:r>
        <w:rPr>
          <w:rFonts w:hint="eastAsia"/>
        </w:rPr>
        <w:t>本支出减少101.2万元；项目支出增加6.42万元。</w:t>
      </w:r>
    </w:p>
    <w:p>
      <w:pPr>
        <w:spacing w:before="10" w:after="10"/>
        <w:ind w:firstLine="640"/>
        <w:jc w:val="left"/>
        <w:outlineLvl w:val="5"/>
      </w:pPr>
      <w:r>
        <w:rPr>
          <w:rFonts w:ascii="黑体" w:hAnsi="黑体" w:eastAsia="黑体" w:cs="黑体"/>
          <w:color w:val="000000"/>
          <w:sz w:val="32"/>
        </w:rPr>
        <w:t>三、机关运行经费安排情况</w:t>
      </w:r>
    </w:p>
    <w:p>
      <w:pPr>
        <w:pStyle w:val="27"/>
      </w:pPr>
      <w:r>
        <w:t>2022年，我单位机关运行经费共计安排119.5万元，主要用于保证机关正常运转的办公及印刷费、邮电费、差旅费、会议费、福利费、办公用房水电费、日常维修费等支出。</w:t>
      </w:r>
    </w:p>
    <w:p>
      <w:pPr>
        <w:spacing w:before="10" w:after="10"/>
        <w:ind w:firstLine="640"/>
        <w:jc w:val="left"/>
        <w:outlineLvl w:val="5"/>
      </w:pPr>
      <w:r>
        <w:rPr>
          <w:rFonts w:ascii="黑体" w:hAnsi="黑体" w:eastAsia="黑体" w:cs="黑体"/>
          <w:color w:val="000000"/>
          <w:sz w:val="32"/>
        </w:rPr>
        <w:t>四、财政拨款“三公”经费预算情况及增减变化原因</w:t>
      </w:r>
    </w:p>
    <w:p>
      <w:pPr>
        <w:pStyle w:val="20"/>
      </w:pPr>
      <w:r>
        <w:t>2022年，我单位财政拨款“三公”经费预算安排3万元，其中：因公出国（境）费0万元</w:t>
      </w:r>
      <w:r>
        <w:rPr>
          <w:rFonts w:hint="eastAsia"/>
          <w:lang w:eastAsia="zh-CN"/>
        </w:rPr>
        <w:t>，</w:t>
      </w:r>
      <w:r>
        <w:rPr>
          <w:rFonts w:hint="eastAsia"/>
          <w:lang w:val="en-US" w:eastAsia="zh-CN"/>
        </w:rPr>
        <w:t>与上年持平，原因为未安排因公出国出境经费</w:t>
      </w:r>
      <w:r>
        <w:t>；公务用车购置及运维费3万元（其中：公务用车购置费0万元，公务用车运行维护费3万元</w:t>
      </w:r>
      <w:r>
        <w:rPr>
          <w:rFonts w:hint="eastAsia"/>
          <w:lang w:eastAsia="zh-CN"/>
        </w:rPr>
        <w:t>，</w:t>
      </w:r>
      <w:r>
        <w:rPr>
          <w:rFonts w:hint="eastAsia"/>
          <w:lang w:val="en-US" w:eastAsia="zh-CN"/>
        </w:rPr>
        <w:t>与上年持平，原因为严格按照公务用车相关制度执行，厉行节约</w:t>
      </w:r>
      <w:r>
        <w:t>；公务接待费0万元</w:t>
      </w:r>
      <w:r>
        <w:rPr>
          <w:rFonts w:hint="eastAsia"/>
          <w:lang w:eastAsia="zh-CN"/>
        </w:rPr>
        <w:t>，</w:t>
      </w:r>
      <w:r>
        <w:rPr>
          <w:rFonts w:hint="eastAsia"/>
          <w:lang w:val="en-US" w:eastAsia="zh-CN"/>
        </w:rPr>
        <w:t>与上年持平，原因为未安排公务接待费</w:t>
      </w:r>
      <w:r>
        <w:t>。“三公”经费与上年持平，无增减变化。</w:t>
      </w:r>
    </w:p>
    <w:p>
      <w:pPr>
        <w:spacing w:before="10" w:after="10"/>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jc w:val="left"/>
      </w:pPr>
      <w:r>
        <w:rPr>
          <w:rFonts w:ascii="方正仿宋_GBK" w:hAnsi="方正仿宋_GBK" w:eastAsia="方正仿宋_GBK" w:cs="方正仿宋_GBK"/>
          <w:b/>
          <w:color w:val="000000"/>
          <w:sz w:val="28"/>
        </w:rPr>
        <w:t>1、2022年财政信息化建设绩效目标表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1.保障财政信息系统高效、平稳运行</w:t>
            </w:r>
          </w:p>
          <w:p>
            <w:pPr>
              <w:pStyle w:val="12"/>
            </w:pPr>
            <w:r>
              <w:t>2.满足财政工作需要</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按时支付各项信息化费用</w:t>
            </w:r>
          </w:p>
        </w:tc>
        <w:tc>
          <w:tcPr>
            <w:tcW w:w="2835" w:type="dxa"/>
            <w:vAlign w:val="center"/>
          </w:tcPr>
          <w:p>
            <w:pPr>
              <w:pStyle w:val="12"/>
            </w:pPr>
            <w:r>
              <w:t>按时支付各项信息化费用</w:t>
            </w:r>
          </w:p>
        </w:tc>
        <w:tc>
          <w:tcPr>
            <w:tcW w:w="2551" w:type="dxa"/>
            <w:vAlign w:val="center"/>
          </w:tcPr>
          <w:p>
            <w:pPr>
              <w:pStyle w:val="12"/>
            </w:pPr>
            <w:r>
              <w:t>按时支付</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2835" w:type="dxa"/>
            <w:vAlign w:val="center"/>
          </w:tcPr>
          <w:p>
            <w:pPr>
              <w:pStyle w:val="12"/>
            </w:pPr>
            <w:r>
              <w:t>正常财政业务完成及时率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保障正常财政业务正常进行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确保财政信息系统正常运行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保证财政工作正常开展</w:t>
            </w:r>
          </w:p>
        </w:tc>
        <w:tc>
          <w:tcPr>
            <w:tcW w:w="2835" w:type="dxa"/>
            <w:vAlign w:val="center"/>
          </w:tcPr>
          <w:p>
            <w:pPr>
              <w:pStyle w:val="12"/>
            </w:pPr>
            <w:r>
              <w:t>保证财政工作正常开展</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2、2022年财政综合治税经费绩效目标表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1.确保财政收入</w:t>
            </w:r>
          </w:p>
          <w:p>
            <w:pPr>
              <w:pStyle w:val="12"/>
            </w:pPr>
            <w:r>
              <w:t>2.更好的挖掘税源，及时纠正漏洞</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2835" w:type="dxa"/>
            <w:vAlign w:val="center"/>
          </w:tcPr>
          <w:p>
            <w:pPr>
              <w:pStyle w:val="12"/>
            </w:pPr>
            <w:r>
              <w:t>组织召开全县税源调查工作培训会</w:t>
            </w:r>
          </w:p>
        </w:tc>
        <w:tc>
          <w:tcPr>
            <w:tcW w:w="2551" w:type="dxa"/>
            <w:vAlign w:val="center"/>
          </w:tcPr>
          <w:p>
            <w:pPr>
              <w:pStyle w:val="12"/>
            </w:pPr>
            <w:r>
              <w:t>≥6次</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保障财政收入</w:t>
            </w:r>
          </w:p>
        </w:tc>
        <w:tc>
          <w:tcPr>
            <w:tcW w:w="2835" w:type="dxa"/>
            <w:vAlign w:val="center"/>
          </w:tcPr>
          <w:p>
            <w:pPr>
              <w:pStyle w:val="12"/>
            </w:pPr>
            <w:r>
              <w:t>保障财政收入程度</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按时完成数据采集和监测报告</w:t>
            </w:r>
          </w:p>
        </w:tc>
        <w:tc>
          <w:tcPr>
            <w:tcW w:w="2835" w:type="dxa"/>
            <w:vAlign w:val="center"/>
          </w:tcPr>
          <w:p>
            <w:pPr>
              <w:pStyle w:val="12"/>
            </w:pPr>
            <w:r>
              <w:t>按时完成涉税数据采集，统计监测和分析，编制监测报告</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项目预算金额</w:t>
            </w:r>
          </w:p>
        </w:tc>
        <w:tc>
          <w:tcPr>
            <w:tcW w:w="2551" w:type="dxa"/>
            <w:vAlign w:val="center"/>
          </w:tcPr>
          <w:p>
            <w:pPr>
              <w:pStyle w:val="12"/>
            </w:pPr>
            <w:r>
              <w:t>保障工作正常进行</w:t>
            </w:r>
          </w:p>
        </w:tc>
        <w:tc>
          <w:tcPr>
            <w:tcW w:w="226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确保治税工作正常进行</w:t>
            </w:r>
          </w:p>
        </w:tc>
        <w:tc>
          <w:tcPr>
            <w:tcW w:w="2551" w:type="dxa"/>
            <w:vAlign w:val="center"/>
          </w:tcPr>
          <w:p>
            <w:pPr>
              <w:pStyle w:val="12"/>
            </w:pPr>
            <w:r>
              <w:t>保障治税工作正常进行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保证治税工作正常进行</w:t>
            </w:r>
          </w:p>
        </w:tc>
        <w:tc>
          <w:tcPr>
            <w:tcW w:w="2835" w:type="dxa"/>
            <w:vAlign w:val="center"/>
          </w:tcPr>
          <w:p>
            <w:pPr>
              <w:pStyle w:val="12"/>
            </w:pPr>
            <w:r>
              <w:t>保证财政收入</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业务能力增强</w:t>
            </w:r>
          </w:p>
        </w:tc>
        <w:tc>
          <w:tcPr>
            <w:tcW w:w="2551" w:type="dxa"/>
            <w:vAlign w:val="center"/>
          </w:tcPr>
          <w:p>
            <w:pPr>
              <w:pStyle w:val="12"/>
            </w:pPr>
            <w:r>
              <w:t>自身工作业务能力增强</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3、2022年非税收入票据款绩效目标表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1.购买非税收入票据</w:t>
            </w:r>
          </w:p>
          <w:p>
            <w:pPr>
              <w:pStyle w:val="12"/>
            </w:pPr>
            <w:r>
              <w:t>2.免费提供非税收入票据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票据领用率</w:t>
            </w:r>
          </w:p>
        </w:tc>
        <w:tc>
          <w:tcPr>
            <w:tcW w:w="2835" w:type="dxa"/>
            <w:vAlign w:val="center"/>
          </w:tcPr>
          <w:p>
            <w:pPr>
              <w:pStyle w:val="12"/>
            </w:pPr>
            <w:r>
              <w:t>财政非税收入票据领用</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发票损耗率</w:t>
            </w:r>
          </w:p>
        </w:tc>
        <w:tc>
          <w:tcPr>
            <w:tcW w:w="2835" w:type="dxa"/>
            <w:vAlign w:val="center"/>
          </w:tcPr>
          <w:p>
            <w:pPr>
              <w:pStyle w:val="12"/>
            </w:pPr>
            <w:r>
              <w:t>发票损耗率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2835" w:type="dxa"/>
            <w:vAlign w:val="center"/>
          </w:tcPr>
          <w:p>
            <w:pPr>
              <w:pStyle w:val="12"/>
            </w:pPr>
            <w:r>
              <w:t>工作任务完成及时率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保障非税收入票据正常领用</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确保非税收入票据正常领用</w:t>
            </w:r>
          </w:p>
        </w:tc>
        <w:tc>
          <w:tcPr>
            <w:tcW w:w="2551" w:type="dxa"/>
            <w:vAlign w:val="center"/>
          </w:tcPr>
          <w:p>
            <w:pPr>
              <w:pStyle w:val="12"/>
            </w:pPr>
            <w:r>
              <w:t>保障非税收入票据正常领用</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工作完成率</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2835" w:type="dxa"/>
            <w:vAlign w:val="center"/>
          </w:tcPr>
          <w:p>
            <w:pPr>
              <w:pStyle w:val="12"/>
            </w:pPr>
            <w:r>
              <w:t>工作水平提高</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4、2022年两会材料费绩效目标表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1.保障人大政协两会召开</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计划印制数量</w:t>
            </w:r>
          </w:p>
        </w:tc>
        <w:tc>
          <w:tcPr>
            <w:tcW w:w="2835" w:type="dxa"/>
            <w:vAlign w:val="center"/>
          </w:tcPr>
          <w:p>
            <w:pPr>
              <w:pStyle w:val="12"/>
            </w:pPr>
            <w:r>
              <w:t>计划印制数量完成</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2835" w:type="dxa"/>
            <w:vAlign w:val="center"/>
          </w:tcPr>
          <w:p>
            <w:pPr>
              <w:pStyle w:val="12"/>
            </w:pPr>
            <w:r>
              <w:t>印刷合格率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印刷完成及时率</w:t>
            </w:r>
          </w:p>
        </w:tc>
        <w:tc>
          <w:tcPr>
            <w:tcW w:w="2835" w:type="dxa"/>
            <w:vAlign w:val="center"/>
          </w:tcPr>
          <w:p>
            <w:pPr>
              <w:pStyle w:val="12"/>
            </w:pPr>
            <w:r>
              <w:t>印刷完成及时率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预算控制金额</w:t>
            </w:r>
          </w:p>
        </w:tc>
        <w:tc>
          <w:tcPr>
            <w:tcW w:w="2551" w:type="dxa"/>
            <w:vAlign w:val="center"/>
          </w:tcPr>
          <w:p>
            <w:pPr>
              <w:pStyle w:val="12"/>
            </w:pPr>
            <w:r>
              <w:t>保障两会顺利召开</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确保两会正常召开</w:t>
            </w:r>
          </w:p>
        </w:tc>
        <w:tc>
          <w:tcPr>
            <w:tcW w:w="2551" w:type="dxa"/>
            <w:vAlign w:val="center"/>
          </w:tcPr>
          <w:p>
            <w:pPr>
              <w:pStyle w:val="12"/>
            </w:pPr>
            <w:r>
              <w:t>保障两会正常召开</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保证两会正常召开</w:t>
            </w:r>
          </w:p>
        </w:tc>
        <w:tc>
          <w:tcPr>
            <w:tcW w:w="2835" w:type="dxa"/>
            <w:vAlign w:val="center"/>
          </w:tcPr>
          <w:p>
            <w:pPr>
              <w:pStyle w:val="12"/>
            </w:pPr>
            <w:r>
              <w:t>保证两会正常召开</w:t>
            </w:r>
          </w:p>
        </w:tc>
        <w:tc>
          <w:tcPr>
            <w:tcW w:w="2551" w:type="dxa"/>
            <w:vAlign w:val="center"/>
          </w:tcPr>
          <w:p>
            <w:pPr>
              <w:pStyle w:val="12"/>
            </w:pPr>
            <w:r>
              <w:t>保证两会正常进行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为两会召开提供保障</w:t>
            </w:r>
          </w:p>
        </w:tc>
        <w:tc>
          <w:tcPr>
            <w:tcW w:w="2835" w:type="dxa"/>
            <w:vAlign w:val="center"/>
          </w:tcPr>
          <w:p>
            <w:pPr>
              <w:pStyle w:val="12"/>
            </w:pPr>
            <w:r>
              <w:t>为两会召开提供保障</w:t>
            </w:r>
          </w:p>
        </w:tc>
        <w:tc>
          <w:tcPr>
            <w:tcW w:w="2551" w:type="dxa"/>
            <w:vAlign w:val="center"/>
          </w:tcPr>
          <w:p>
            <w:pPr>
              <w:pStyle w:val="12"/>
            </w:pPr>
            <w:r>
              <w:t>为两会召开提供保障</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2835" w:type="dxa"/>
            <w:vAlign w:val="center"/>
          </w:tcPr>
          <w:p>
            <w:pPr>
              <w:pStyle w:val="12"/>
            </w:pPr>
            <w:r>
              <w:t>参会人员满意度</w:t>
            </w:r>
          </w:p>
        </w:tc>
        <w:tc>
          <w:tcPr>
            <w:tcW w:w="2551" w:type="dxa"/>
            <w:vAlign w:val="center"/>
          </w:tcPr>
          <w:p>
            <w:pPr>
              <w:pStyle w:val="12"/>
            </w:pPr>
            <w:r>
              <w:t>≥95%</w:t>
            </w:r>
          </w:p>
        </w:tc>
        <w:tc>
          <w:tcPr>
            <w:tcW w:w="2268" w:type="dxa"/>
            <w:vAlign w:val="center"/>
          </w:tcPr>
          <w:p>
            <w:pPr>
              <w:pStyle w:val="12"/>
            </w:pPr>
            <w:r>
              <w:t>根据工作需要</w:t>
            </w:r>
          </w:p>
        </w:tc>
      </w:tr>
    </w:tbl>
    <w:p>
      <w:pPr>
        <w:rPr>
          <w:rFonts w:eastAsia="宋体"/>
        </w:rPr>
        <w:sectPr>
          <w:pgSz w:w="16840" w:h="11900" w:orient="landscape"/>
          <w:pgMar w:top="1361" w:right="1020" w:bottom="1134" w:left="1020" w:header="720" w:footer="720" w:gutter="0"/>
          <w:cols w:space="720" w:num="1"/>
        </w:sectPr>
      </w:pPr>
    </w:p>
    <w:p>
      <w:pPr>
        <w:ind w:firstLine="560" w:firstLineChars="200"/>
        <w:jc w:val="left"/>
      </w:pPr>
      <w:r>
        <w:rPr>
          <w:rFonts w:hint="eastAsia" w:ascii="方正仿宋_GBK" w:hAnsi="方正仿宋_GBK" w:eastAsia="方正仿宋_GBK" w:cs="方正仿宋_GBK"/>
          <w:b/>
          <w:color w:val="000000"/>
          <w:sz w:val="28"/>
        </w:rPr>
        <w:t>5</w:t>
      </w:r>
      <w:r>
        <w:rPr>
          <w:rFonts w:ascii="方正仿宋_GBK" w:hAnsi="方正仿宋_GBK" w:eastAsia="方正仿宋_GBK" w:cs="方正仿宋_GBK"/>
          <w:b/>
          <w:color w:val="000000"/>
          <w:sz w:val="28"/>
        </w:rPr>
        <w:t>、2022年农村综改项目评审费绩效目标表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1.加强农村综改项目的预决算评审管理</w:t>
            </w:r>
          </w:p>
          <w:p>
            <w:pPr>
              <w:pStyle w:val="12"/>
            </w:pPr>
            <w:r>
              <w:t>2.监督检查农村综改资金使用效率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开展农村综改项目预决算评审个数</w:t>
            </w:r>
          </w:p>
        </w:tc>
        <w:tc>
          <w:tcPr>
            <w:tcW w:w="2835" w:type="dxa"/>
            <w:vAlign w:val="center"/>
          </w:tcPr>
          <w:p>
            <w:pPr>
              <w:pStyle w:val="12"/>
            </w:pPr>
            <w:r>
              <w:t>开展农村综改项目预决算评审个数</w:t>
            </w:r>
          </w:p>
        </w:tc>
        <w:tc>
          <w:tcPr>
            <w:tcW w:w="2551" w:type="dxa"/>
            <w:vAlign w:val="center"/>
          </w:tcPr>
          <w:p>
            <w:pPr>
              <w:pStyle w:val="12"/>
            </w:pPr>
            <w:r>
              <w:t>农村综改项目村</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农村综改项目预决算评审完成率</w:t>
            </w:r>
          </w:p>
        </w:tc>
        <w:tc>
          <w:tcPr>
            <w:tcW w:w="2835" w:type="dxa"/>
            <w:vAlign w:val="center"/>
          </w:tcPr>
          <w:p>
            <w:pPr>
              <w:pStyle w:val="12"/>
            </w:pPr>
            <w:r>
              <w:t>农村综改项目预决算评审完成率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农村综改项目预决算评审完成及时率</w:t>
            </w:r>
          </w:p>
        </w:tc>
        <w:tc>
          <w:tcPr>
            <w:tcW w:w="2835" w:type="dxa"/>
            <w:vAlign w:val="center"/>
          </w:tcPr>
          <w:p>
            <w:pPr>
              <w:pStyle w:val="12"/>
            </w:pPr>
            <w:r>
              <w:t>农村综改项目预决算评审完成及时率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保障农村综改项目预决算评审正常进行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确保农村综改项目预决算评审正常进行</w:t>
            </w:r>
          </w:p>
        </w:tc>
        <w:tc>
          <w:tcPr>
            <w:tcW w:w="2551" w:type="dxa"/>
            <w:vAlign w:val="center"/>
          </w:tcPr>
          <w:p>
            <w:pPr>
              <w:pStyle w:val="12"/>
            </w:pPr>
            <w:r>
              <w:t>保障农村综改项目预决算评审正常进行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保证农村综改项目预决算评审进行</w:t>
            </w:r>
          </w:p>
        </w:tc>
        <w:tc>
          <w:tcPr>
            <w:tcW w:w="2835" w:type="dxa"/>
            <w:vAlign w:val="center"/>
          </w:tcPr>
          <w:p>
            <w:pPr>
              <w:pStyle w:val="12"/>
            </w:pPr>
            <w:r>
              <w:t>保证农村综改项目预决算评审进行</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6</w:t>
      </w:r>
      <w:r>
        <w:rPr>
          <w:rFonts w:ascii="方正仿宋_GBK" w:hAnsi="方正仿宋_GBK" w:eastAsia="方正仿宋_GBK" w:cs="方正仿宋_GBK"/>
          <w:b/>
          <w:color w:val="000000"/>
          <w:sz w:val="28"/>
        </w:rPr>
        <w:t>、2022年农业保险监督检查评价经费绩效目标表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1.监督检查农业保险资金使用情况</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开展监督检查项目个数</w:t>
            </w:r>
          </w:p>
        </w:tc>
        <w:tc>
          <w:tcPr>
            <w:tcW w:w="2835" w:type="dxa"/>
            <w:vAlign w:val="center"/>
          </w:tcPr>
          <w:p>
            <w:pPr>
              <w:pStyle w:val="12"/>
            </w:pPr>
            <w:r>
              <w:t>开展监督检查项目个数</w:t>
            </w:r>
          </w:p>
        </w:tc>
        <w:tc>
          <w:tcPr>
            <w:tcW w:w="2551" w:type="dxa"/>
            <w:vAlign w:val="center"/>
          </w:tcPr>
          <w:p>
            <w:pPr>
              <w:pStyle w:val="12"/>
            </w:pPr>
            <w:r>
              <w:t>全县所有农户</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监督检查任务完成率</w:t>
            </w:r>
          </w:p>
        </w:tc>
        <w:tc>
          <w:tcPr>
            <w:tcW w:w="2835" w:type="dxa"/>
            <w:vAlign w:val="center"/>
          </w:tcPr>
          <w:p>
            <w:pPr>
              <w:pStyle w:val="12"/>
            </w:pPr>
            <w:r>
              <w:t>监督检查任务完成率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监督检查任务完成及时率</w:t>
            </w:r>
          </w:p>
        </w:tc>
        <w:tc>
          <w:tcPr>
            <w:tcW w:w="2835" w:type="dxa"/>
            <w:vAlign w:val="center"/>
          </w:tcPr>
          <w:p>
            <w:pPr>
              <w:pStyle w:val="12"/>
            </w:pPr>
            <w:r>
              <w:t>监督检查任务完成及时率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保障监督检查正常进行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确保监督检查正常进行</w:t>
            </w:r>
          </w:p>
        </w:tc>
        <w:tc>
          <w:tcPr>
            <w:tcW w:w="2551" w:type="dxa"/>
            <w:vAlign w:val="center"/>
          </w:tcPr>
          <w:p>
            <w:pPr>
              <w:pStyle w:val="12"/>
            </w:pPr>
            <w:r>
              <w:t>保障监督检查正常进行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保证监督检查正常进行</w:t>
            </w:r>
          </w:p>
        </w:tc>
        <w:tc>
          <w:tcPr>
            <w:tcW w:w="2835" w:type="dxa"/>
            <w:vAlign w:val="center"/>
          </w:tcPr>
          <w:p>
            <w:pPr>
              <w:pStyle w:val="12"/>
            </w:pPr>
            <w:r>
              <w:t>保证农业保险全部落实</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7</w:t>
      </w:r>
      <w:r>
        <w:rPr>
          <w:rFonts w:ascii="方正仿宋_GBK" w:hAnsi="方正仿宋_GBK" w:eastAsia="方正仿宋_GBK" w:cs="方正仿宋_GBK"/>
          <w:b/>
          <w:color w:val="000000"/>
          <w:sz w:val="28"/>
        </w:rPr>
        <w:t>、2022年银行手续费绩效目标表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1.财政业务支付银行手续费，保障正常财政业务正常进行</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按时支付银行手续费</w:t>
            </w:r>
          </w:p>
        </w:tc>
        <w:tc>
          <w:tcPr>
            <w:tcW w:w="2835" w:type="dxa"/>
            <w:vAlign w:val="center"/>
          </w:tcPr>
          <w:p>
            <w:pPr>
              <w:pStyle w:val="12"/>
            </w:pPr>
            <w:r>
              <w:t>按时支付银行手续费</w:t>
            </w:r>
          </w:p>
        </w:tc>
        <w:tc>
          <w:tcPr>
            <w:tcW w:w="2551" w:type="dxa"/>
            <w:vAlign w:val="center"/>
          </w:tcPr>
          <w:p>
            <w:pPr>
              <w:pStyle w:val="12"/>
            </w:pPr>
            <w:r>
              <w:t>按时支付</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完成正常业务</w:t>
            </w:r>
          </w:p>
        </w:tc>
        <w:tc>
          <w:tcPr>
            <w:tcW w:w="2835" w:type="dxa"/>
            <w:vAlign w:val="center"/>
          </w:tcPr>
          <w:p>
            <w:pPr>
              <w:pStyle w:val="12"/>
            </w:pPr>
            <w:r>
              <w:t>正常财政业务完成及时率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保障正常财政业务正常进行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确保监督检查正常进行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保障正常财政业务正常进行</w:t>
            </w:r>
          </w:p>
        </w:tc>
        <w:tc>
          <w:tcPr>
            <w:tcW w:w="2835" w:type="dxa"/>
            <w:vAlign w:val="center"/>
          </w:tcPr>
          <w:p>
            <w:pPr>
              <w:pStyle w:val="12"/>
            </w:pPr>
            <w:r>
              <w:t>保障正常财政业务正常进行</w:t>
            </w:r>
          </w:p>
        </w:tc>
        <w:tc>
          <w:tcPr>
            <w:tcW w:w="2551" w:type="dxa"/>
            <w:vAlign w:val="center"/>
          </w:tcPr>
          <w:p>
            <w:pPr>
              <w:pStyle w:val="12"/>
            </w:pPr>
            <w:r>
              <w:t>保障正常财政业务正常进行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8</w:t>
      </w:r>
      <w:r>
        <w:rPr>
          <w:rFonts w:ascii="方正仿宋_GBK" w:hAnsi="方正仿宋_GBK" w:eastAsia="方正仿宋_GBK" w:cs="方正仿宋_GBK"/>
          <w:b/>
          <w:color w:val="000000"/>
          <w:sz w:val="28"/>
        </w:rPr>
        <w:t>、2022年预算绩效第三方评估绩效目标表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1.监督检查资金使用效率</w:t>
            </w:r>
          </w:p>
          <w:p>
            <w:pPr>
              <w:pStyle w:val="12"/>
            </w:pPr>
            <w:r>
              <w:t>2.检查结果真实准确无误</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2835" w:type="dxa"/>
            <w:vAlign w:val="center"/>
          </w:tcPr>
          <w:p>
            <w:pPr>
              <w:pStyle w:val="12"/>
            </w:pPr>
            <w:r>
              <w:t>监督检查次数</w:t>
            </w:r>
          </w:p>
        </w:tc>
        <w:tc>
          <w:tcPr>
            <w:tcW w:w="2551" w:type="dxa"/>
            <w:vAlign w:val="center"/>
          </w:tcPr>
          <w:p>
            <w:pPr>
              <w:pStyle w:val="12"/>
            </w:pPr>
            <w:r>
              <w:t>≥20次</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监管覆盖率</w:t>
            </w:r>
          </w:p>
        </w:tc>
        <w:tc>
          <w:tcPr>
            <w:tcW w:w="2835" w:type="dxa"/>
            <w:vAlign w:val="center"/>
          </w:tcPr>
          <w:p>
            <w:pPr>
              <w:pStyle w:val="12"/>
            </w:pPr>
            <w:r>
              <w:t>监管覆盖率</w:t>
            </w:r>
          </w:p>
        </w:tc>
        <w:tc>
          <w:tcPr>
            <w:tcW w:w="2551" w:type="dxa"/>
            <w:vAlign w:val="center"/>
          </w:tcPr>
          <w:p>
            <w:pPr>
              <w:pStyle w:val="12"/>
            </w:pPr>
            <w:r>
              <w:t>100%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2835" w:type="dxa"/>
            <w:vAlign w:val="center"/>
          </w:tcPr>
          <w:p>
            <w:pPr>
              <w:pStyle w:val="12"/>
            </w:pPr>
            <w:r>
              <w:t>监督检查完成及时率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2835" w:type="dxa"/>
            <w:vAlign w:val="center"/>
          </w:tcPr>
          <w:p>
            <w:pPr>
              <w:pStyle w:val="12"/>
            </w:pPr>
            <w:r>
              <w:t>保障相关业务、工作等开展的情况</w:t>
            </w:r>
          </w:p>
        </w:tc>
        <w:tc>
          <w:tcPr>
            <w:tcW w:w="2551" w:type="dxa"/>
            <w:vAlign w:val="center"/>
          </w:tcPr>
          <w:p>
            <w:pPr>
              <w:pStyle w:val="12"/>
            </w:pPr>
            <w:r>
              <w:t>&gt;80%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2835" w:type="dxa"/>
            <w:vAlign w:val="center"/>
          </w:tcPr>
          <w:p>
            <w:pPr>
              <w:pStyle w:val="12"/>
            </w:pPr>
            <w:r>
              <w:t>反应使用数据采集终端减少纸质表的填报工作情况</w:t>
            </w:r>
          </w:p>
        </w:tc>
        <w:tc>
          <w:tcPr>
            <w:tcW w:w="2551" w:type="dxa"/>
            <w:vAlign w:val="center"/>
          </w:tcPr>
          <w:p>
            <w:pPr>
              <w:pStyle w:val="12"/>
            </w:pPr>
            <w:r>
              <w:t>无纸化办公节约率</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被审计对象满意度比例</w:t>
            </w:r>
          </w:p>
        </w:tc>
        <w:tc>
          <w:tcPr>
            <w:tcW w:w="2835" w:type="dxa"/>
            <w:vAlign w:val="center"/>
          </w:tcPr>
          <w:p>
            <w:pPr>
              <w:pStyle w:val="12"/>
            </w:pPr>
            <w:r>
              <w:t>被审计对象满意度比例</w:t>
            </w:r>
          </w:p>
        </w:tc>
        <w:tc>
          <w:tcPr>
            <w:tcW w:w="2551" w:type="dxa"/>
            <w:vAlign w:val="center"/>
          </w:tcPr>
          <w:p>
            <w:pPr>
              <w:pStyle w:val="12"/>
            </w:pPr>
            <w:r>
              <w:t>≥85%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≥85%</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jc w:val="left"/>
      </w:pPr>
      <w:r>
        <w:rPr>
          <w:rFonts w:hint="eastAsia" w:ascii="方正仿宋_GBK" w:hAnsi="方正仿宋_GBK" w:eastAsia="方正仿宋_GBK" w:cs="方正仿宋_GBK"/>
          <w:b/>
          <w:color w:val="000000"/>
          <w:sz w:val="28"/>
        </w:rPr>
        <w:t>9</w:t>
      </w:r>
      <w:r>
        <w:rPr>
          <w:rFonts w:ascii="方正仿宋_GBK" w:hAnsi="方正仿宋_GBK" w:eastAsia="方正仿宋_GBK" w:cs="方正仿宋_GBK"/>
          <w:b/>
          <w:color w:val="000000"/>
          <w:sz w:val="28"/>
        </w:rPr>
        <w:t>、2022年政府购买中介机构服务费绩效目标表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1.加强政府投资工程项目预算管理</w:t>
            </w:r>
          </w:p>
          <w:p>
            <w:pPr>
              <w:pStyle w:val="12"/>
            </w:pPr>
            <w:r>
              <w:t>2.为有效地上附着物项目工程进行测算</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预算管理、测算政府工程项目个数</w:t>
            </w:r>
          </w:p>
        </w:tc>
        <w:tc>
          <w:tcPr>
            <w:tcW w:w="2835" w:type="dxa"/>
            <w:vAlign w:val="center"/>
          </w:tcPr>
          <w:p>
            <w:pPr>
              <w:pStyle w:val="12"/>
            </w:pPr>
            <w:r>
              <w:t>开展政府工程项目个数</w:t>
            </w:r>
          </w:p>
        </w:tc>
        <w:tc>
          <w:tcPr>
            <w:tcW w:w="2551" w:type="dxa"/>
            <w:vAlign w:val="center"/>
          </w:tcPr>
          <w:p>
            <w:pPr>
              <w:pStyle w:val="12"/>
            </w:pPr>
            <w:r>
              <w:t>≥10个</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预算管理、测算政府工程完成率</w:t>
            </w:r>
          </w:p>
        </w:tc>
        <w:tc>
          <w:tcPr>
            <w:tcW w:w="2835" w:type="dxa"/>
            <w:vAlign w:val="center"/>
          </w:tcPr>
          <w:p>
            <w:pPr>
              <w:pStyle w:val="12"/>
            </w:pPr>
            <w:r>
              <w:t>政府工程项目任务完成率</w:t>
            </w:r>
          </w:p>
        </w:tc>
        <w:tc>
          <w:tcPr>
            <w:tcW w:w="2551" w:type="dxa"/>
            <w:vAlign w:val="center"/>
          </w:tcPr>
          <w:p>
            <w:pPr>
              <w:pStyle w:val="12"/>
            </w:pPr>
            <w:r>
              <w:t>≥95%</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政府工程项目任务完成及时率</w:t>
            </w:r>
          </w:p>
        </w:tc>
        <w:tc>
          <w:tcPr>
            <w:tcW w:w="2835" w:type="dxa"/>
            <w:vAlign w:val="center"/>
          </w:tcPr>
          <w:p>
            <w:pPr>
              <w:pStyle w:val="12"/>
            </w:pPr>
            <w:r>
              <w:t>监督检查完成效率</w:t>
            </w:r>
          </w:p>
        </w:tc>
        <w:tc>
          <w:tcPr>
            <w:tcW w:w="2551" w:type="dxa"/>
            <w:vAlign w:val="center"/>
          </w:tcPr>
          <w:p>
            <w:pPr>
              <w:pStyle w:val="12"/>
            </w:pPr>
            <w:r>
              <w:t>≥90%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政府工程项目预算金额</w:t>
            </w:r>
          </w:p>
        </w:tc>
        <w:tc>
          <w:tcPr>
            <w:tcW w:w="2551" w:type="dxa"/>
            <w:vAlign w:val="center"/>
          </w:tcPr>
          <w:p>
            <w:pPr>
              <w:pStyle w:val="12"/>
            </w:pPr>
            <w:r>
              <w:t>保障政府工程项目正常进行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确保政府工程项目正常进行</w:t>
            </w:r>
          </w:p>
        </w:tc>
        <w:tc>
          <w:tcPr>
            <w:tcW w:w="2551" w:type="dxa"/>
            <w:vAlign w:val="center"/>
          </w:tcPr>
          <w:p>
            <w:pPr>
              <w:pStyle w:val="12"/>
            </w:pPr>
            <w:r>
              <w:t>保障政府工程项目正常进行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保证项目正常运转</w:t>
            </w:r>
          </w:p>
        </w:tc>
        <w:tc>
          <w:tcPr>
            <w:tcW w:w="2835" w:type="dxa"/>
            <w:vAlign w:val="center"/>
          </w:tcPr>
          <w:p>
            <w:pPr>
              <w:pStyle w:val="12"/>
            </w:pPr>
            <w:r>
              <w:t>保持工作正常有序的进行</w:t>
            </w:r>
          </w:p>
        </w:tc>
        <w:tc>
          <w:tcPr>
            <w:tcW w:w="2551" w:type="dxa"/>
            <w:vAlign w:val="center"/>
          </w:tcPr>
          <w:p>
            <w:pPr>
              <w:pStyle w:val="12"/>
            </w:pPr>
            <w:r>
              <w:t>保证政府工程项目正常进行</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保障社会正常发展</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0</w:t>
      </w:r>
      <w:r>
        <w:rPr>
          <w:rFonts w:ascii="方正仿宋_GBK" w:hAnsi="方正仿宋_GBK" w:eastAsia="方正仿宋_GBK" w:cs="方正仿宋_GBK"/>
          <w:b/>
          <w:color w:val="000000"/>
          <w:sz w:val="28"/>
        </w:rPr>
        <w:t>、2022年资产评估拍卖经费绩效目标表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1.行政事业单位的资产进行评估转让及拍卖</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开展评估处置转让拍卖项目个数</w:t>
            </w:r>
          </w:p>
        </w:tc>
        <w:tc>
          <w:tcPr>
            <w:tcW w:w="2835" w:type="dxa"/>
            <w:vAlign w:val="center"/>
          </w:tcPr>
          <w:p>
            <w:pPr>
              <w:pStyle w:val="12"/>
            </w:pPr>
            <w:r>
              <w:t>开展评估处置转让拍卖项目个数</w:t>
            </w:r>
          </w:p>
        </w:tc>
        <w:tc>
          <w:tcPr>
            <w:tcW w:w="2551" w:type="dxa"/>
            <w:vAlign w:val="center"/>
          </w:tcPr>
          <w:p>
            <w:pPr>
              <w:pStyle w:val="12"/>
            </w:pPr>
            <w:r>
              <w:t>相关行政事业单位</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开展评估处置转让拍卖完成率</w:t>
            </w:r>
          </w:p>
        </w:tc>
        <w:tc>
          <w:tcPr>
            <w:tcW w:w="2835" w:type="dxa"/>
            <w:vAlign w:val="center"/>
          </w:tcPr>
          <w:p>
            <w:pPr>
              <w:pStyle w:val="12"/>
            </w:pPr>
            <w:r>
              <w:t>开展评估处置转让拍卖完成率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开展评估处置转让拍卖完成及时率</w:t>
            </w:r>
          </w:p>
        </w:tc>
        <w:tc>
          <w:tcPr>
            <w:tcW w:w="2835" w:type="dxa"/>
            <w:vAlign w:val="center"/>
          </w:tcPr>
          <w:p>
            <w:pPr>
              <w:pStyle w:val="12"/>
            </w:pPr>
            <w:r>
              <w:t>开展评估处置转让拍卖完成及时率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保障评估处置转让拍卖正常进行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确保评估处置转让拍卖正常进行</w:t>
            </w:r>
          </w:p>
        </w:tc>
        <w:tc>
          <w:tcPr>
            <w:tcW w:w="2551" w:type="dxa"/>
            <w:vAlign w:val="center"/>
          </w:tcPr>
          <w:p>
            <w:pPr>
              <w:pStyle w:val="12"/>
            </w:pPr>
            <w:r>
              <w:t>保障评估处置转让拍卖正常进行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保证评估处置转让拍卖进行</w:t>
            </w:r>
          </w:p>
        </w:tc>
        <w:tc>
          <w:tcPr>
            <w:tcW w:w="2835" w:type="dxa"/>
            <w:vAlign w:val="center"/>
          </w:tcPr>
          <w:p>
            <w:pPr>
              <w:pStyle w:val="12"/>
            </w:pPr>
            <w:r>
              <w:t>保证评估处置转让拍卖进行</w:t>
            </w:r>
          </w:p>
        </w:tc>
        <w:tc>
          <w:tcPr>
            <w:tcW w:w="2551" w:type="dxa"/>
            <w:vAlign w:val="center"/>
          </w:tcPr>
          <w:p>
            <w:pPr>
              <w:pStyle w:val="12"/>
            </w:pPr>
            <w:r>
              <w:t>保证工作正常进行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项目复测率</w:t>
            </w:r>
          </w:p>
        </w:tc>
        <w:tc>
          <w:tcPr>
            <w:tcW w:w="2835" w:type="dxa"/>
            <w:vAlign w:val="center"/>
          </w:tcPr>
          <w:p>
            <w:pPr>
              <w:pStyle w:val="12"/>
            </w:pPr>
            <w:r>
              <w:t>项目复测率</w:t>
            </w:r>
          </w:p>
        </w:tc>
        <w:tc>
          <w:tcPr>
            <w:tcW w:w="2551" w:type="dxa"/>
            <w:vAlign w:val="center"/>
          </w:tcPr>
          <w:p>
            <w:pPr>
              <w:pStyle w:val="12"/>
            </w:pPr>
            <w:r>
              <w:t>＜10%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委托方满意度</w:t>
            </w:r>
          </w:p>
        </w:tc>
        <w:tc>
          <w:tcPr>
            <w:tcW w:w="2835" w:type="dxa"/>
            <w:vAlign w:val="center"/>
          </w:tcPr>
          <w:p>
            <w:pPr>
              <w:pStyle w:val="12"/>
            </w:pPr>
            <w:r>
              <w:t>委托方满意度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1</w:t>
      </w:r>
      <w:r>
        <w:rPr>
          <w:rFonts w:ascii="方正仿宋_GBK" w:hAnsi="方正仿宋_GBK" w:eastAsia="方正仿宋_GBK" w:cs="方正仿宋_GBK"/>
          <w:b/>
          <w:color w:val="000000"/>
          <w:sz w:val="28"/>
        </w:rPr>
        <w:t>、单位办公取暖费绩效目标表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按时支付取暖费</w:t>
            </w:r>
          </w:p>
        </w:tc>
        <w:tc>
          <w:tcPr>
            <w:tcW w:w="2835" w:type="dxa"/>
            <w:vAlign w:val="center"/>
          </w:tcPr>
          <w:p>
            <w:pPr>
              <w:pStyle w:val="12"/>
            </w:pPr>
            <w:r>
              <w:t>按时支付取暖费</w:t>
            </w:r>
          </w:p>
        </w:tc>
        <w:tc>
          <w:tcPr>
            <w:tcW w:w="2551" w:type="dxa"/>
            <w:vAlign w:val="center"/>
          </w:tcPr>
          <w:p>
            <w:pPr>
              <w:pStyle w:val="12"/>
            </w:pPr>
            <w:r>
              <w:t>按时支付</w:t>
            </w:r>
          </w:p>
        </w:tc>
        <w:tc>
          <w:tcPr>
            <w:tcW w:w="2268" w:type="dxa"/>
            <w:vAlign w:val="center"/>
          </w:tcPr>
          <w:p>
            <w:pPr>
              <w:pStyle w:val="12"/>
            </w:pPr>
            <w:r>
              <w:t>支付取暖费是否及时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2835" w:type="dxa"/>
            <w:vAlign w:val="center"/>
          </w:tcPr>
          <w:p>
            <w:pPr>
              <w:pStyle w:val="12"/>
            </w:pPr>
            <w:r>
              <w:t>财政拨款专款专用情况</w:t>
            </w:r>
          </w:p>
        </w:tc>
        <w:tc>
          <w:tcPr>
            <w:tcW w:w="2551" w:type="dxa"/>
            <w:vAlign w:val="center"/>
          </w:tcPr>
          <w:p>
            <w:pPr>
              <w:pStyle w:val="12"/>
            </w:pPr>
            <w:r>
              <w:t>100%</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2835" w:type="dxa"/>
            <w:vAlign w:val="center"/>
          </w:tcPr>
          <w:p>
            <w:pPr>
              <w:pStyle w:val="12"/>
            </w:pPr>
            <w:r>
              <w:t>资金拨付及时率</w:t>
            </w:r>
          </w:p>
        </w:tc>
        <w:tc>
          <w:tcPr>
            <w:tcW w:w="2551" w:type="dxa"/>
            <w:vAlign w:val="center"/>
          </w:tcPr>
          <w:p>
            <w:pPr>
              <w:pStyle w:val="12"/>
            </w:pPr>
            <w:r>
              <w:t>≥90%</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项目预算金额</w:t>
            </w:r>
          </w:p>
        </w:tc>
        <w:tc>
          <w:tcPr>
            <w:tcW w:w="2551" w:type="dxa"/>
            <w:vAlign w:val="center"/>
          </w:tcPr>
          <w:p>
            <w:pPr>
              <w:pStyle w:val="12"/>
            </w:pPr>
            <w:r>
              <w:t>保障单位办公正常运行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确保单位办公正常进行</w:t>
            </w:r>
          </w:p>
        </w:tc>
        <w:tc>
          <w:tcPr>
            <w:tcW w:w="2551" w:type="dxa"/>
            <w:vAlign w:val="center"/>
          </w:tcPr>
          <w:p>
            <w:pPr>
              <w:pStyle w:val="12"/>
            </w:pPr>
            <w:r>
              <w:t>保障单位办公正常运行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保证机关单位正常运转</w:t>
            </w:r>
          </w:p>
        </w:tc>
        <w:tc>
          <w:tcPr>
            <w:tcW w:w="2835" w:type="dxa"/>
            <w:vAlign w:val="center"/>
          </w:tcPr>
          <w:p>
            <w:pPr>
              <w:pStyle w:val="12"/>
            </w:pPr>
            <w:r>
              <w:t>保证单位正常运转</w:t>
            </w:r>
          </w:p>
        </w:tc>
        <w:tc>
          <w:tcPr>
            <w:tcW w:w="2551" w:type="dxa"/>
            <w:vAlign w:val="center"/>
          </w:tcPr>
          <w:p>
            <w:pPr>
              <w:pStyle w:val="12"/>
            </w:pPr>
            <w:r>
              <w:t>保障单位办公正常运行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为单位正常开展财政业务提供保障</w:t>
            </w:r>
          </w:p>
        </w:tc>
        <w:tc>
          <w:tcPr>
            <w:tcW w:w="2551" w:type="dxa"/>
            <w:vAlign w:val="center"/>
          </w:tcPr>
          <w:p>
            <w:pPr>
              <w:pStyle w:val="12"/>
            </w:pPr>
            <w:r>
              <w:t>保障单位正常业务开展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2835" w:type="dxa"/>
            <w:vAlign w:val="center"/>
          </w:tcPr>
          <w:p>
            <w:pPr>
              <w:pStyle w:val="12"/>
            </w:pPr>
            <w:r>
              <w:t>干部职工满意度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2</w:t>
      </w:r>
      <w:r>
        <w:rPr>
          <w:rFonts w:ascii="方正仿宋_GBK" w:hAnsi="方正仿宋_GBK" w:eastAsia="方正仿宋_GBK" w:cs="方正仿宋_GBK"/>
          <w:b/>
          <w:color w:val="000000"/>
          <w:sz w:val="28"/>
        </w:rPr>
        <w:t>、农村财会人员培训绩效目标表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1.培训农村财会人员支农政策</w:t>
            </w:r>
          </w:p>
          <w:p>
            <w:pPr>
              <w:pStyle w:val="12"/>
            </w:pPr>
            <w:r>
              <w:t>2.提高农村财会人员业务水平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举办业务培训</w:t>
            </w:r>
          </w:p>
        </w:tc>
        <w:tc>
          <w:tcPr>
            <w:tcW w:w="2835" w:type="dxa"/>
            <w:vAlign w:val="center"/>
          </w:tcPr>
          <w:p>
            <w:pPr>
              <w:pStyle w:val="12"/>
            </w:pPr>
            <w:r>
              <w:t>组织召开全县农村财会人员培训会</w:t>
            </w:r>
          </w:p>
        </w:tc>
        <w:tc>
          <w:tcPr>
            <w:tcW w:w="2551" w:type="dxa"/>
            <w:vAlign w:val="center"/>
          </w:tcPr>
          <w:p>
            <w:pPr>
              <w:pStyle w:val="12"/>
            </w:pPr>
            <w:r>
              <w:t>≥2次</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保障培训工作顺利完成</w:t>
            </w:r>
          </w:p>
        </w:tc>
        <w:tc>
          <w:tcPr>
            <w:tcW w:w="2835" w:type="dxa"/>
            <w:vAlign w:val="center"/>
          </w:tcPr>
          <w:p>
            <w:pPr>
              <w:pStyle w:val="12"/>
            </w:pPr>
            <w:r>
              <w:t>培训工作完成程度</w:t>
            </w:r>
          </w:p>
        </w:tc>
        <w:tc>
          <w:tcPr>
            <w:tcW w:w="2551" w:type="dxa"/>
            <w:vAlign w:val="center"/>
          </w:tcPr>
          <w:p>
            <w:pPr>
              <w:pStyle w:val="12"/>
            </w:pPr>
            <w:r>
              <w:t>≥90%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相关培训工作完成时间</w:t>
            </w:r>
          </w:p>
        </w:tc>
        <w:tc>
          <w:tcPr>
            <w:tcW w:w="2835" w:type="dxa"/>
            <w:vAlign w:val="center"/>
          </w:tcPr>
          <w:p>
            <w:pPr>
              <w:pStyle w:val="12"/>
            </w:pPr>
            <w:r>
              <w:t>相关培训工作完成时间</w:t>
            </w:r>
          </w:p>
        </w:tc>
        <w:tc>
          <w:tcPr>
            <w:tcW w:w="2551" w:type="dxa"/>
            <w:vAlign w:val="center"/>
          </w:tcPr>
          <w:p>
            <w:pPr>
              <w:pStyle w:val="12"/>
            </w:pPr>
            <w:r>
              <w:t>保证农村财会人员工作正常进行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预算金额</w:t>
            </w:r>
          </w:p>
        </w:tc>
        <w:tc>
          <w:tcPr>
            <w:tcW w:w="2551" w:type="dxa"/>
            <w:vAlign w:val="center"/>
          </w:tcPr>
          <w:p>
            <w:pPr>
              <w:pStyle w:val="12"/>
            </w:pPr>
            <w:r>
              <w:t>保障农村财会人员工作正常进行</w:t>
            </w:r>
          </w:p>
        </w:tc>
        <w:tc>
          <w:tcPr>
            <w:tcW w:w="2268" w:type="dxa"/>
            <w:vAlign w:val="center"/>
          </w:tcPr>
          <w:p>
            <w:pPr>
              <w:pStyle w:val="12"/>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确保培训工作正常进行</w:t>
            </w:r>
          </w:p>
        </w:tc>
        <w:tc>
          <w:tcPr>
            <w:tcW w:w="2551" w:type="dxa"/>
            <w:vAlign w:val="center"/>
          </w:tcPr>
          <w:p>
            <w:pPr>
              <w:pStyle w:val="12"/>
            </w:pPr>
            <w:r>
              <w:t>保障农村财会人员工作正常进行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农村财会人员工作正常进行</w:t>
            </w:r>
          </w:p>
        </w:tc>
        <w:tc>
          <w:tcPr>
            <w:tcW w:w="2835" w:type="dxa"/>
            <w:vAlign w:val="center"/>
          </w:tcPr>
          <w:p>
            <w:pPr>
              <w:pStyle w:val="12"/>
            </w:pPr>
            <w:r>
              <w:t>保证农村财会人员工作正常进行</w:t>
            </w:r>
          </w:p>
        </w:tc>
        <w:tc>
          <w:tcPr>
            <w:tcW w:w="2551" w:type="dxa"/>
            <w:vAlign w:val="center"/>
          </w:tcPr>
          <w:p>
            <w:pPr>
              <w:pStyle w:val="12"/>
            </w:pPr>
            <w:r>
              <w:t>保证农村财会人员工作正常进行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2835" w:type="dxa"/>
            <w:vAlign w:val="center"/>
          </w:tcPr>
          <w:p>
            <w:pPr>
              <w:pStyle w:val="12"/>
            </w:pPr>
            <w:r>
              <w:t>提升农村财会人员业务能力</w:t>
            </w:r>
          </w:p>
        </w:tc>
        <w:tc>
          <w:tcPr>
            <w:tcW w:w="2551" w:type="dxa"/>
            <w:vAlign w:val="center"/>
          </w:tcPr>
          <w:p>
            <w:pPr>
              <w:pStyle w:val="12"/>
            </w:pPr>
            <w:r>
              <w:t>农村财会人员工作业务能力增强</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参训人员满意率</w:t>
            </w:r>
          </w:p>
        </w:tc>
        <w:tc>
          <w:tcPr>
            <w:tcW w:w="2835" w:type="dxa"/>
            <w:vAlign w:val="center"/>
          </w:tcPr>
          <w:p>
            <w:pPr>
              <w:pStyle w:val="12"/>
            </w:pPr>
            <w:r>
              <w:t>参训人员满意率</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jc w:val="left"/>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3</w:t>
      </w:r>
      <w:r>
        <w:rPr>
          <w:rFonts w:ascii="方正仿宋_GBK" w:hAnsi="方正仿宋_GBK" w:eastAsia="方正仿宋_GBK" w:cs="方正仿宋_GBK"/>
          <w:b/>
          <w:color w:val="000000"/>
          <w:sz w:val="28"/>
        </w:rPr>
        <w:t>、省级文明单位奖励绩效目标表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1.保证奖励正常发放</w:t>
            </w:r>
          </w:p>
          <w:p>
            <w:pPr>
              <w:pStyle w:val="12"/>
            </w:pPr>
            <w:r>
              <w:t>2.保障单位正常运转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实际发放奖励</w:t>
            </w:r>
          </w:p>
        </w:tc>
        <w:tc>
          <w:tcPr>
            <w:tcW w:w="2835" w:type="dxa"/>
            <w:vAlign w:val="center"/>
          </w:tcPr>
          <w:p>
            <w:pPr>
              <w:pStyle w:val="12"/>
            </w:pPr>
            <w:r>
              <w:t>实际发放奖励</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奖励发放准确率</w:t>
            </w:r>
          </w:p>
        </w:tc>
        <w:tc>
          <w:tcPr>
            <w:tcW w:w="2835" w:type="dxa"/>
            <w:vAlign w:val="center"/>
          </w:tcPr>
          <w:p>
            <w:pPr>
              <w:pStyle w:val="12"/>
            </w:pPr>
            <w:r>
              <w:t>奖励发放准确率</w:t>
            </w:r>
          </w:p>
        </w:tc>
        <w:tc>
          <w:tcPr>
            <w:tcW w:w="2551" w:type="dxa"/>
            <w:vAlign w:val="center"/>
          </w:tcPr>
          <w:p>
            <w:pPr>
              <w:pStyle w:val="12"/>
            </w:pPr>
            <w:r>
              <w:t>100%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奖励发放及时率</w:t>
            </w:r>
          </w:p>
        </w:tc>
        <w:tc>
          <w:tcPr>
            <w:tcW w:w="2835" w:type="dxa"/>
            <w:vAlign w:val="center"/>
          </w:tcPr>
          <w:p>
            <w:pPr>
              <w:pStyle w:val="12"/>
            </w:pPr>
            <w:r>
              <w:t>奖励发放及时率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奖励预算金额控制数</w:t>
            </w:r>
          </w:p>
        </w:tc>
        <w:tc>
          <w:tcPr>
            <w:tcW w:w="2835" w:type="dxa"/>
            <w:vAlign w:val="center"/>
          </w:tcPr>
          <w:p>
            <w:pPr>
              <w:pStyle w:val="12"/>
            </w:pPr>
            <w:r>
              <w:t>奖励预算金额</w:t>
            </w:r>
          </w:p>
        </w:tc>
        <w:tc>
          <w:tcPr>
            <w:tcW w:w="2551" w:type="dxa"/>
            <w:vAlign w:val="center"/>
          </w:tcPr>
          <w:p>
            <w:pPr>
              <w:pStyle w:val="12"/>
            </w:pPr>
            <w:r>
              <w:t>保障本单位工作正常进行</w:t>
            </w:r>
          </w:p>
        </w:tc>
        <w:tc>
          <w:tcPr>
            <w:tcW w:w="2268" w:type="dxa"/>
            <w:vAlign w:val="center"/>
          </w:tcPr>
          <w:p>
            <w:pPr>
              <w:pStyle w:val="12"/>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工作正常运转完成率</w:t>
            </w:r>
          </w:p>
        </w:tc>
        <w:tc>
          <w:tcPr>
            <w:tcW w:w="2835" w:type="dxa"/>
            <w:vAlign w:val="center"/>
          </w:tcPr>
          <w:p>
            <w:pPr>
              <w:pStyle w:val="12"/>
            </w:pPr>
            <w:r>
              <w:t>确保本单位工作正常进行</w:t>
            </w:r>
          </w:p>
        </w:tc>
        <w:tc>
          <w:tcPr>
            <w:tcW w:w="2551" w:type="dxa"/>
            <w:vAlign w:val="center"/>
          </w:tcPr>
          <w:p>
            <w:pPr>
              <w:pStyle w:val="12"/>
            </w:pPr>
            <w:r>
              <w:t>保障本单位工作正常进行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保证本单位工作正常进行</w:t>
            </w:r>
          </w:p>
        </w:tc>
        <w:tc>
          <w:tcPr>
            <w:tcW w:w="2835" w:type="dxa"/>
            <w:vAlign w:val="center"/>
          </w:tcPr>
          <w:p>
            <w:pPr>
              <w:pStyle w:val="12"/>
            </w:pPr>
            <w:r>
              <w:t>保证本单位工作正常进行</w:t>
            </w:r>
          </w:p>
        </w:tc>
        <w:tc>
          <w:tcPr>
            <w:tcW w:w="2551" w:type="dxa"/>
            <w:vAlign w:val="center"/>
          </w:tcPr>
          <w:p>
            <w:pPr>
              <w:pStyle w:val="12"/>
            </w:pPr>
            <w:r>
              <w:t>保障本单位工作正常进行</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社会发展保障力</w:t>
            </w:r>
          </w:p>
        </w:tc>
        <w:tc>
          <w:tcPr>
            <w:tcW w:w="2835" w:type="dxa"/>
            <w:vAlign w:val="center"/>
          </w:tcPr>
          <w:p>
            <w:pPr>
              <w:pStyle w:val="12"/>
            </w:pPr>
            <w:r>
              <w:t>社会发展保障力</w:t>
            </w:r>
          </w:p>
        </w:tc>
        <w:tc>
          <w:tcPr>
            <w:tcW w:w="2551" w:type="dxa"/>
            <w:vAlign w:val="center"/>
          </w:tcPr>
          <w:p>
            <w:pPr>
              <w:pStyle w:val="12"/>
            </w:pPr>
            <w:r>
              <w:t>保障社会发展</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2835" w:type="dxa"/>
            <w:vAlign w:val="center"/>
          </w:tcPr>
          <w:p>
            <w:pPr>
              <w:pStyle w:val="12"/>
            </w:pPr>
            <w:r>
              <w:t>为单位正常开展提供保障</w:t>
            </w:r>
          </w:p>
        </w:tc>
        <w:tc>
          <w:tcPr>
            <w:tcW w:w="2551" w:type="dxa"/>
            <w:vAlign w:val="center"/>
          </w:tcPr>
          <w:p>
            <w:pPr>
              <w:pStyle w:val="12"/>
            </w:pPr>
            <w:r>
              <w:t>保障本单位工作正常运转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干部职工满意度</w:t>
            </w:r>
          </w:p>
        </w:tc>
        <w:tc>
          <w:tcPr>
            <w:tcW w:w="2551" w:type="dxa"/>
            <w:vAlign w:val="center"/>
          </w:tcPr>
          <w:p>
            <w:pPr>
              <w:pStyle w:val="12"/>
            </w:pPr>
            <w:r>
              <w:t>≥95%</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10" w:after="10"/>
        <w:ind w:firstLine="640"/>
        <w:jc w:val="left"/>
        <w:outlineLvl w:val="5"/>
      </w:pPr>
      <w:r>
        <w:rPr>
          <w:rFonts w:ascii="黑体" w:hAnsi="黑体" w:eastAsia="黑体" w:cs="黑体"/>
          <w:color w:val="000000"/>
          <w:sz w:val="32"/>
        </w:rPr>
        <w:t>六、政府采购预算情况</w:t>
      </w:r>
    </w:p>
    <w:p>
      <w:pPr>
        <w:spacing w:line="500" w:lineRule="exact"/>
        <w:ind w:firstLine="560"/>
        <w:jc w:val="left"/>
      </w:pPr>
      <w:r>
        <w:rPr>
          <w:rFonts w:ascii="Times New Roman" w:hAnsi="Times New Roman" w:eastAsia="方正仿宋_GBK" w:cs="Times New Roman"/>
          <w:color w:val="000000"/>
          <w:sz w:val="28"/>
        </w:rPr>
        <w:t>2022年，无极县财政局本级安排政府采购预算0.00万元。具体内容见下表。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318001无极县财政局本级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jc w:val="left"/>
      </w:pPr>
      <w:r>
        <w:rPr>
          <w:rFonts w:ascii="方正书宋_GBK" w:hAnsi="方正书宋_GBK" w:eastAsia="方正书宋_GBK" w:cs="方正书宋_GBK"/>
          <w:color w:val="000000"/>
        </w:rPr>
        <w:t>注：同一采购目录序号的物品，其单价会因配置规格不同而变动，均符合资产配置标准。涉密采购事项按照相关规定执行。</w:t>
      </w:r>
    </w:p>
    <w:p>
      <w:pPr>
        <w:ind w:firstLine="420"/>
        <w:jc w:val="left"/>
      </w:pPr>
      <w:r>
        <w:rPr>
          <w:rFonts w:ascii="方正书宋_GBK" w:hAnsi="方正书宋_GBK" w:eastAsia="方正书宋_GBK" w:cs="方正书宋_GBK"/>
          <w:color w:val="000000"/>
        </w:rPr>
        <w:t>注：无政府采购预算，空表列示。</w:t>
      </w:r>
    </w:p>
    <w:p>
      <w:pPr>
        <w:ind w:firstLine="640"/>
        <w:jc w:val="left"/>
      </w:pPr>
    </w:p>
    <w:p>
      <w:pPr>
        <w:spacing w:before="10" w:after="10"/>
        <w:ind w:firstLine="640"/>
        <w:jc w:val="left"/>
        <w:outlineLvl w:val="5"/>
      </w:pPr>
      <w:r>
        <w:rPr>
          <w:rFonts w:ascii="黑体" w:hAnsi="黑体" w:eastAsia="黑体" w:cs="黑体"/>
          <w:color w:val="000000"/>
          <w:sz w:val="32"/>
        </w:rPr>
        <w:t>七、国有资产信息</w:t>
      </w:r>
    </w:p>
    <w:p>
      <w:pPr>
        <w:spacing w:line="500" w:lineRule="exact"/>
        <w:ind w:firstLine="560"/>
        <w:jc w:val="left"/>
      </w:pPr>
      <w:r>
        <w:rPr>
          <w:rFonts w:ascii="Times New Roman" w:hAnsi="Times New Roman" w:eastAsia="方正仿宋_GBK" w:cs="Times New Roman"/>
          <w:color w:val="000000"/>
          <w:sz w:val="28"/>
        </w:rPr>
        <w:t>无极县财政局本级上年末固定资产金额为307.77万元（详见下表）。本年度拟购置固定资产总额为0.00万元。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318001无极县财政局本级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307.77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1400.08</w:t>
            </w:r>
          </w:p>
        </w:tc>
        <w:tc>
          <w:tcPr>
            <w:tcW w:w="2835" w:type="dxa"/>
            <w:vAlign w:val="center"/>
          </w:tcPr>
          <w:p>
            <w:pPr>
              <w:pStyle w:val="13"/>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679</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w:t>
            </w:r>
          </w:p>
        </w:tc>
        <w:tc>
          <w:tcPr>
            <w:tcW w:w="2835" w:type="dxa"/>
            <w:vAlign w:val="center"/>
          </w:tcPr>
          <w:p>
            <w:pPr>
              <w:pStyle w:val="13"/>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ind w:firstLine="640"/>
        <w:jc w:val="left"/>
      </w:pPr>
    </w:p>
    <w:p>
      <w:pPr>
        <w:spacing w:before="10" w:after="10"/>
        <w:ind w:firstLine="640"/>
        <w:jc w:val="left"/>
        <w:outlineLvl w:val="5"/>
      </w:pPr>
      <w:r>
        <w:rPr>
          <w:rFonts w:ascii="黑体" w:hAnsi="黑体" w:eastAsia="黑体" w:cs="黑体"/>
          <w:color w:val="000000"/>
          <w:sz w:val="32"/>
        </w:rPr>
        <w:t>八、名词解释</w:t>
      </w:r>
    </w:p>
    <w:p>
      <w:pPr>
        <w:spacing w:line="500" w:lineRule="exact"/>
        <w:ind w:firstLine="560"/>
        <w:jc w:val="left"/>
      </w:pPr>
      <w:r>
        <w:rPr>
          <w:rFonts w:ascii="Times New Roman" w:hAnsi="Times New Roman" w:eastAsia="方正仿宋_GBK" w:cs="Times New Roman"/>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color w:val="000000"/>
          <w:sz w:val="28"/>
        </w:rPr>
        <w:t>指</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级财政当年拨付的资金。</w:t>
      </w:r>
    </w:p>
    <w:p>
      <w:pPr>
        <w:spacing w:line="500" w:lineRule="exact"/>
        <w:ind w:firstLine="560"/>
        <w:jc w:val="left"/>
      </w:pPr>
      <w:r>
        <w:rPr>
          <w:rFonts w:ascii="Times New Roman" w:hAnsi="Times New Roman" w:eastAsia="方正仿宋_GBK" w:cs="Times New Roman"/>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color w:val="000000"/>
          <w:sz w:val="28"/>
        </w:rPr>
        <w:t>指事业单位开展专业业务活动及辅助活动所取得的收入。</w:t>
      </w:r>
    </w:p>
    <w:p>
      <w:pPr>
        <w:spacing w:line="500" w:lineRule="exact"/>
        <w:ind w:firstLine="560"/>
        <w:jc w:val="left"/>
      </w:pPr>
      <w:r>
        <w:rPr>
          <w:rFonts w:ascii="Times New Roman" w:hAnsi="Times New Roman" w:eastAsia="方正仿宋_GBK" w:cs="Times New Roman"/>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color w:val="000000"/>
          <w:sz w:val="28"/>
        </w:rPr>
        <w:t>指除“一般公共预算拨款收入”、“事业收入”等以外的收入。主要是按规定动用的租房收入、存款利息收入等。</w:t>
      </w:r>
    </w:p>
    <w:p>
      <w:pPr>
        <w:spacing w:line="500" w:lineRule="exact"/>
        <w:ind w:firstLine="560"/>
        <w:jc w:val="left"/>
      </w:pPr>
      <w:r>
        <w:rPr>
          <w:rFonts w:ascii="Times New Roman" w:hAnsi="Times New Roman" w:eastAsia="方正仿宋_GBK" w:cs="Times New Roman"/>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color w:val="000000"/>
          <w:sz w:val="28"/>
        </w:rPr>
        <w:t>指为保障机构正常运转、完成日常工作任务而发生的人员支出和公用支出。</w:t>
      </w:r>
    </w:p>
    <w:p>
      <w:pPr>
        <w:spacing w:line="500" w:lineRule="exact"/>
        <w:ind w:firstLine="560"/>
        <w:jc w:val="left"/>
      </w:pPr>
      <w:r>
        <w:rPr>
          <w:rFonts w:ascii="Times New Roman" w:hAnsi="Times New Roman" w:eastAsia="方正仿宋_GBK" w:cs="Times New Roman"/>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color w:val="000000"/>
          <w:sz w:val="28"/>
        </w:rPr>
        <w:t>指在基本支出之外为完成特定行政任务和事业发展目标所发生的支出。</w:t>
      </w:r>
    </w:p>
    <w:p>
      <w:pPr>
        <w:spacing w:line="500" w:lineRule="exact"/>
        <w:ind w:firstLine="560"/>
        <w:jc w:val="left"/>
      </w:pPr>
      <w:r>
        <w:rPr>
          <w:rFonts w:ascii="Times New Roman" w:hAnsi="Times New Roman" w:eastAsia="方正仿宋_GBK" w:cs="Times New Roman"/>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color w:val="000000"/>
          <w:sz w:val="28"/>
        </w:rPr>
        <w:t>指下级单位上缴上级的支出。</w:t>
      </w:r>
    </w:p>
    <w:p>
      <w:pPr>
        <w:spacing w:line="500" w:lineRule="exact"/>
        <w:ind w:firstLine="560"/>
        <w:jc w:val="left"/>
      </w:pPr>
      <w:r>
        <w:rPr>
          <w:rFonts w:ascii="Times New Roman" w:hAnsi="Times New Roman" w:eastAsia="方正仿宋_GBK" w:cs="Times New Roman"/>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color w:val="000000"/>
          <w:sz w:val="28"/>
        </w:rPr>
        <w:t>纳入</w:t>
      </w:r>
      <w:r>
        <w:rPr>
          <w:rFonts w:hint="eastAsia" w:ascii="Times New Roman" w:hAnsi="Times New Roman" w:eastAsia="方正仿宋_GBK" w:cs="Times New Roman"/>
          <w:color w:val="000000"/>
          <w:sz w:val="28"/>
        </w:rPr>
        <w:t>县</w:t>
      </w:r>
      <w:r>
        <w:rPr>
          <w:rFonts w:ascii="Times New Roman" w:hAnsi="Times New Roman"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jc w:val="left"/>
      </w:pPr>
      <w:r>
        <w:rPr>
          <w:rFonts w:ascii="Times New Roman" w:hAnsi="Times New Roman" w:eastAsia="方正仿宋_GBK" w:cs="Times New Roman"/>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color w:val="000000"/>
          <w:sz w:val="28"/>
        </w:rPr>
        <w:t>是指各</w:t>
      </w:r>
      <w:r>
        <w:rPr>
          <w:rFonts w:hint="eastAsia" w:ascii="Times New Roman" w:hAnsi="Times New Roman" w:eastAsia="方正仿宋_GBK" w:cs="Times New Roman"/>
          <w:color w:val="000000"/>
          <w:sz w:val="28"/>
          <w:lang w:val="en-US" w:eastAsia="zh-CN"/>
        </w:rPr>
        <w:t>单位</w:t>
      </w:r>
      <w:r>
        <w:rPr>
          <w:rFonts w:ascii="Times New Roman" w:hAnsi="Times New Roman"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jc w:val="left"/>
      </w:pPr>
      <w:r>
        <w:rPr>
          <w:rFonts w:ascii="Times New Roman" w:hAnsi="Times New Roman" w:eastAsia="方正仿宋_GBK" w:cs="Times New Roman"/>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color w:val="000000"/>
          <w:sz w:val="28"/>
        </w:rPr>
        <w:t>指以前年度尚未完成、结转到本年仍按原规定用途继续使用的资金。</w:t>
      </w:r>
    </w:p>
    <w:p>
      <w:pPr>
        <w:spacing w:line="500" w:lineRule="exact"/>
        <w:ind w:firstLine="560"/>
        <w:jc w:val="left"/>
      </w:pPr>
      <w:r>
        <w:rPr>
          <w:rFonts w:ascii="Times New Roman" w:hAnsi="Times New Roman" w:eastAsia="方正仿宋_GBK" w:cs="Times New Roman"/>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color w:val="000000"/>
          <w:sz w:val="28"/>
        </w:rPr>
        <w:t>指事业单位在专业业务活动及其辅助活动之外开展非独立核算经营活动发生的支出。</w:t>
      </w:r>
    </w:p>
    <w:p>
      <w:pPr>
        <w:spacing w:before="10" w:after="10"/>
        <w:ind w:firstLine="640"/>
        <w:jc w:val="left"/>
        <w:outlineLvl w:val="5"/>
      </w:pPr>
      <w:r>
        <w:rPr>
          <w:rFonts w:ascii="黑体" w:hAnsi="黑体" w:eastAsia="黑体" w:cs="黑体"/>
          <w:color w:val="000000"/>
          <w:sz w:val="32"/>
        </w:rPr>
        <w:t>九、其他需要说明的事项</w:t>
      </w:r>
    </w:p>
    <w:p>
      <w:pPr>
        <w:spacing w:line="500" w:lineRule="exact"/>
        <w:ind w:firstLine="560"/>
        <w:jc w:val="left"/>
      </w:pPr>
      <w:r>
        <w:rPr>
          <w:rFonts w:ascii="Times New Roman" w:hAnsi="Times New Roman" w:eastAsia="方正仿宋_GBK" w:cs="Times New Roman"/>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M1NjRmYjc1NTEyNzMwOWFmODc4ZThiNDhkNmNlYzYifQ=="/>
  </w:docVars>
  <w:rsids>
    <w:rsidRoot w:val="00DD024A"/>
    <w:rsid w:val="00060962"/>
    <w:rsid w:val="0042691B"/>
    <w:rsid w:val="00476188"/>
    <w:rsid w:val="006D7D47"/>
    <w:rsid w:val="00AD65B0"/>
    <w:rsid w:val="00AD6748"/>
    <w:rsid w:val="00C009DE"/>
    <w:rsid w:val="00DB0A3B"/>
    <w:rsid w:val="00DD024A"/>
    <w:rsid w:val="00E03B1F"/>
    <w:rsid w:val="049634B7"/>
    <w:rsid w:val="094748DD"/>
    <w:rsid w:val="25A72B45"/>
    <w:rsid w:val="28544CD8"/>
    <w:rsid w:val="2D1333D6"/>
    <w:rsid w:val="405420AD"/>
    <w:rsid w:val="462F4E5B"/>
    <w:rsid w:val="4F470472"/>
    <w:rsid w:val="5D001ECA"/>
    <w:rsid w:val="5DD62508"/>
    <w:rsid w:val="6D7655E7"/>
    <w:rsid w:val="6EAE356F"/>
    <w:rsid w:val="7B343C0E"/>
    <w:rsid w:val="7B8F33EB"/>
    <w:rsid w:val="7E452AA4"/>
    <w:rsid w:val="7F861C92"/>
    <w:rsid w:val="7FD52D2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0"/>
    <w:qFormat/>
    <w:uiPriority w:val="0"/>
    <w:pPr>
      <w:tabs>
        <w:tab w:val="center" w:pos="4153"/>
        <w:tab w:val="right" w:pos="8306"/>
      </w:tabs>
      <w:snapToGrid w:val="0"/>
      <w:jc w:val="left"/>
    </w:pPr>
    <w:rPr>
      <w:sz w:val="18"/>
      <w:szCs w:val="18"/>
    </w:rPr>
  </w:style>
  <w:style w:type="paragraph" w:styleId="3">
    <w:name w:val="header"/>
    <w:basedOn w:val="1"/>
    <w:link w:val="29"/>
    <w:qFormat/>
    <w:uiPriority w:val="0"/>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ascii="Times New Roman" w:hAnsi="Times New Roman" w:eastAsia="方正仿宋_GBK" w:cs="Times New Roman"/>
      <w:color w:val="000000"/>
      <w:sz w:val="28"/>
    </w:rPr>
  </w:style>
  <w:style w:type="paragraph" w:customStyle="1" w:styleId="7">
    <w:name w:val="单元格样式20"/>
    <w:basedOn w:val="1"/>
    <w:qFormat/>
    <w:uiPriority w:val="0"/>
    <w:pPr>
      <w:jc w:val="left"/>
    </w:pPr>
    <w:rPr>
      <w:rFonts w:ascii="方正小标宋_GBK" w:hAnsi="方正小标宋_GBK" w:eastAsia="方正小标宋_GBK" w:cs="方正小标宋_GBK"/>
      <w:sz w:val="24"/>
    </w:rPr>
  </w:style>
  <w:style w:type="paragraph" w:customStyle="1" w:styleId="8">
    <w:name w:val="单元格样式21"/>
    <w:basedOn w:val="1"/>
    <w:qFormat/>
    <w:uiPriority w:val="0"/>
    <w:pPr>
      <w:jc w:val="center"/>
    </w:pPr>
    <w:rPr>
      <w:rFonts w:ascii="方正小标宋_GBK" w:hAnsi="方正小标宋_GBK" w:eastAsia="方正小标宋_GBK" w:cs="方正小标宋_GBK"/>
      <w:sz w:val="24"/>
    </w:rPr>
  </w:style>
  <w:style w:type="paragraph" w:customStyle="1" w:styleId="9">
    <w:name w:val="单元格样式22"/>
    <w:basedOn w:val="1"/>
    <w:qFormat/>
    <w:uiPriority w:val="0"/>
    <w:pPr>
      <w:jc w:val="right"/>
    </w:pPr>
    <w:rPr>
      <w:rFonts w:ascii="方正小标宋_GBK" w:hAnsi="方正小标宋_GBK" w:eastAsia="方正小标宋_GBK" w:cs="方正小标宋_GBK"/>
      <w:sz w:val="24"/>
    </w:rPr>
  </w:style>
  <w:style w:type="paragraph" w:customStyle="1" w:styleId="10">
    <w:name w:val="单元格样式1"/>
    <w:basedOn w:val="1"/>
    <w:qFormat/>
    <w:uiPriority w:val="0"/>
    <w:pPr>
      <w:jc w:val="center"/>
    </w:pPr>
    <w:rPr>
      <w:rFonts w:ascii="方正书宋_GBK" w:hAnsi="方正书宋_GBK" w:eastAsia="方正书宋_GBK" w:cs="方正书宋_GBK"/>
      <w:b/>
    </w:rPr>
  </w:style>
  <w:style w:type="paragraph" w:customStyle="1" w:styleId="11">
    <w:name w:val="单元格样式3"/>
    <w:basedOn w:val="1"/>
    <w:qFormat/>
    <w:uiPriority w:val="0"/>
    <w:pPr>
      <w:jc w:val="center"/>
    </w:pPr>
    <w:rPr>
      <w:rFonts w:ascii="方正书宋_GBK" w:hAnsi="方正书宋_GBK" w:eastAsia="方正书宋_GBK" w:cs="方正书宋_GBK"/>
    </w:rPr>
  </w:style>
  <w:style w:type="paragraph" w:customStyle="1" w:styleId="12">
    <w:name w:val="单元格样式2"/>
    <w:basedOn w:val="1"/>
    <w:qFormat/>
    <w:uiPriority w:val="0"/>
    <w:pPr>
      <w:jc w:val="left"/>
    </w:pPr>
    <w:rPr>
      <w:rFonts w:ascii="方正书宋_GBK" w:hAnsi="方正书宋_GBK" w:eastAsia="方正书宋_GBK" w:cs="方正书宋_GBK"/>
    </w:rPr>
  </w:style>
  <w:style w:type="paragraph" w:customStyle="1" w:styleId="13">
    <w:name w:val="单元格样式4"/>
    <w:basedOn w:val="1"/>
    <w:qFormat/>
    <w:uiPriority w:val="0"/>
    <w:pPr>
      <w:jc w:val="right"/>
    </w:pPr>
    <w:rPr>
      <w:rFonts w:ascii="方正书宋_GBK" w:hAnsi="方正书宋_GBK" w:eastAsia="方正书宋_GBK" w:cs="方正书宋_GBK"/>
    </w:rPr>
  </w:style>
  <w:style w:type="paragraph" w:customStyle="1" w:styleId="14">
    <w:name w:val="单元格样式6"/>
    <w:basedOn w:val="1"/>
    <w:qFormat/>
    <w:uiPriority w:val="0"/>
    <w:pPr>
      <w:jc w:val="center"/>
    </w:pPr>
    <w:rPr>
      <w:rFonts w:ascii="方正书宋_GBK" w:hAnsi="方正书宋_GBK" w:eastAsia="方正书宋_GBK" w:cs="方正书宋_GBK"/>
      <w:b/>
    </w:rPr>
  </w:style>
  <w:style w:type="paragraph" w:customStyle="1" w:styleId="15">
    <w:name w:val="单元格样式7"/>
    <w:basedOn w:val="1"/>
    <w:qFormat/>
    <w:uiPriority w:val="0"/>
    <w:pPr>
      <w:jc w:val="right"/>
    </w:pPr>
    <w:rPr>
      <w:rFonts w:ascii="方正书宋_GBK" w:hAnsi="方正书宋_GBK" w:eastAsia="方正书宋_GBK" w:cs="方正书宋_GBK"/>
      <w:b/>
    </w:rPr>
  </w:style>
  <w:style w:type="paragraph" w:customStyle="1" w:styleId="16">
    <w:name w:val="单元格样式5"/>
    <w:basedOn w:val="1"/>
    <w:qFormat/>
    <w:uiPriority w:val="0"/>
    <w:pPr>
      <w:jc w:val="left"/>
    </w:pPr>
    <w:rPr>
      <w:rFonts w:ascii="方正书宋_GBK" w:hAnsi="方正书宋_GBK" w:eastAsia="方正书宋_GBK" w:cs="方正书宋_GBK"/>
      <w:b/>
    </w:rPr>
  </w:style>
  <w:style w:type="paragraph" w:customStyle="1" w:styleId="17">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sz w:val="24"/>
    </w:rPr>
  </w:style>
  <w:style w:type="paragraph" w:customStyle="1" w:styleId="25">
    <w:name w:val="插入文本样式-插入单位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jc w:val="left"/>
    </w:pPr>
    <w:rPr>
      <w:rFonts w:ascii="Times New Roman" w:hAnsi="Times New Roman" w:eastAsia="方正仿宋_GBK" w:cs="Times New Roman"/>
      <w:sz w:val="28"/>
    </w:rPr>
  </w:style>
  <w:style w:type="character" w:customStyle="1" w:styleId="29">
    <w:name w:val="页眉 Char"/>
    <w:basedOn w:val="6"/>
    <w:link w:val="3"/>
    <w:qFormat/>
    <w:uiPriority w:val="0"/>
    <w:rPr>
      <w:kern w:val="2"/>
      <w:sz w:val="18"/>
      <w:szCs w:val="18"/>
    </w:rPr>
  </w:style>
  <w:style w:type="character" w:customStyle="1" w:styleId="30">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83</Pages>
  <Words>5367</Words>
  <Characters>30597</Characters>
  <Lines>254</Lines>
  <Paragraphs>71</Paragraphs>
  <TotalTime>0</TotalTime>
  <ScaleCrop>false</ScaleCrop>
  <LinksUpToDate>false</LinksUpToDate>
  <CharactersWithSpaces>35893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2022-06-22T05:50:00Z</dcterms:created>
  <dc:creator>8</dc:creator>
  <cp:lastModifiedBy>Administrator</cp:lastModifiedBy>
  <dcterms:modified xsi:type="dcterms:W3CDTF">2024-01-15T06:35:20Z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CCADDB2117FD4F379302313294305E36</vt:lpwstr>
  </property>
</Properties>
</file>