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bookmarkStart w:id="5" w:name="_GoBack"/>
      <w:bookmarkEnd w:id="5"/>
      <w:r>
        <w:rPr>
          <w:rFonts w:hint="eastAsia" w:ascii="方正小标宋_GBK" w:hAnsi="Times New Roman" w:eastAsia="方正小标宋_GBK" w:cs="Times New Roman"/>
          <w:bCs/>
          <w:sz w:val="44"/>
          <w:szCs w:val="44"/>
        </w:rPr>
        <w:t>河北无极经济开发区</w:t>
      </w:r>
    </w:p>
    <w:p>
      <w:pPr>
        <w:adjustRightInd w:val="0"/>
        <w:snapToGrid w:val="0"/>
        <w:jc w:val="center"/>
        <w:rPr>
          <w:rFonts w:ascii="方正小标宋_GBK" w:hAnsi="Times New Roman" w:eastAsia="方正小标宋_GBK" w:cs="Times New Roman"/>
          <w:bCs/>
          <w:sz w:val="44"/>
          <w:szCs w:val="44"/>
        </w:rPr>
      </w:pPr>
      <w:r>
        <w:rPr>
          <w:rFonts w:ascii="方正小标宋_GBK" w:hAnsi="Times New Roman" w:eastAsia="方正小标宋_GBK" w:cs="Times New Roman"/>
          <w:bCs/>
          <w:sz w:val="44"/>
          <w:szCs w:val="44"/>
        </w:rPr>
        <w:t>2020</w:t>
      </w:r>
      <w:r>
        <w:rPr>
          <w:rFonts w:hint="eastAsia" w:ascii="方正小标宋_GBK" w:hAnsi="Times New Roman" w:eastAsia="方正小标宋_GBK" w:cs="Times New Roman"/>
          <w:bCs/>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eastAsia="zh-CN"/>
        </w:rPr>
        <w:t>《中华人民共和国预算法》</w:t>
      </w:r>
      <w:r>
        <w:rPr>
          <w:rFonts w:hint="eastAsia" w:ascii="Times New Roman" w:hAnsi="Times New Roman" w:eastAsia="仿宋" w:cs="Times New Roman"/>
          <w:sz w:val="32"/>
          <w:szCs w:val="32"/>
        </w:rPr>
        <w:t>、《地方预决算公开操作规程》规定，现将河北无极经济开发区</w:t>
      </w: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adjustRightInd w:val="0"/>
        <w:snapToGrid w:val="0"/>
        <w:spacing w:line="560" w:lineRule="exact"/>
        <w:ind w:firstLine="630" w:firstLineChars="196"/>
        <w:jc w:val="left"/>
        <w:rPr>
          <w:rFonts w:ascii="仿宋_GB2312" w:hAnsi="仿宋" w:eastAsia="仿宋_GB2312"/>
          <w:sz w:val="32"/>
          <w:szCs w:val="32"/>
        </w:rPr>
      </w:pPr>
      <w:r>
        <w:rPr>
          <w:rFonts w:hint="eastAsia" w:ascii="仿宋" w:hAnsi="仿宋" w:eastAsia="仿宋" w:cs="Times New Roman"/>
          <w:b/>
          <w:sz w:val="32"/>
          <w:szCs w:val="32"/>
        </w:rPr>
        <w:t>部门职责：</w:t>
      </w:r>
      <w:r>
        <w:rPr>
          <w:rFonts w:hint="eastAsia" w:ascii="仿宋" w:hAnsi="仿宋" w:eastAsia="仿宋" w:cs="Times New Roman"/>
          <w:sz w:val="32"/>
          <w:szCs w:val="32"/>
        </w:rPr>
        <w:t>贯彻落实党的路线、方针、政策和上级党委的决议、指示，研究辖区内重大经济社会发展问题，负责辖区内党的建设和其他党务工作，组织协调辖区内社会管理综合治理和维护稳定的工作。编制辖区的总体规划和经济、社会发展规划，经批准后组织实施；编制辖区区域性城市发展规划、国土利用规划，经批准后组织实施；审批或审核辖区固定资产投资项目；负责辖区基础设施和公用设施的建设和管理；负责辖区财务管理，实施辖区内财政预算、决算、国有资产管理和财政监督工作；负责辖区环境保护和安全生产监督管理工作；负责辖区环境保护和安全生产监督管理工作。</w:t>
      </w:r>
    </w:p>
    <w:p>
      <w:pPr>
        <w:adjustRightInd w:val="0"/>
        <w:snapToGrid w:val="0"/>
        <w:spacing w:line="560" w:lineRule="exact"/>
        <w:ind w:firstLine="630" w:firstLineChars="196"/>
        <w:jc w:val="left"/>
        <w:rPr>
          <w:rFonts w:ascii="仿宋_GB2312" w:hAnsi="仿宋" w:eastAsia="仿宋_GB2312"/>
          <w:sz w:val="32"/>
          <w:szCs w:val="32"/>
        </w:rPr>
      </w:pPr>
      <w:r>
        <w:rPr>
          <w:rFonts w:hint="eastAsia" w:ascii="仿宋" w:hAnsi="仿宋" w:eastAsia="仿宋" w:cs="Times New Roman"/>
          <w:b/>
          <w:sz w:val="32"/>
          <w:szCs w:val="32"/>
        </w:rPr>
        <w:t>机构设置：</w:t>
      </w:r>
      <w:r>
        <w:rPr>
          <w:rFonts w:hint="eastAsia" w:ascii="仿宋_GB2312" w:hAnsi="仿宋" w:eastAsia="仿宋_GB2312"/>
          <w:sz w:val="32"/>
          <w:szCs w:val="32"/>
        </w:rPr>
        <w:t>按照“三定”方案要求，本部门分别设置：综合办公室，经济发展局，规划建设局，综合执法局，财税局，以上均为全额拨款单位。</w:t>
      </w:r>
    </w:p>
    <w:p>
      <w:pPr>
        <w:adjustRightInd w:val="0"/>
        <w:snapToGrid w:val="0"/>
        <w:spacing w:line="560" w:lineRule="exact"/>
        <w:jc w:val="left"/>
        <w:rPr>
          <w:rFonts w:ascii="仿宋_GB2312" w:hAnsi="仿宋" w:eastAsia="仿宋_GB2312"/>
          <w:b/>
          <w:sz w:val="32"/>
          <w:szCs w:val="32"/>
        </w:rPr>
      </w:pPr>
    </w:p>
    <w:p>
      <w:pPr>
        <w:ind w:firstLine="640" w:firstLineChars="200"/>
        <w:rPr>
          <w:rFonts w:hint="eastAsia" w:ascii="仿宋_GB2312" w:hAnsi="宋体" w:eastAsia="仿宋_GB2312"/>
          <w:sz w:val="32"/>
          <w:szCs w:val="32"/>
        </w:rPr>
      </w:pPr>
      <w:r>
        <w:rPr>
          <w:rFonts w:hint="eastAsia" w:ascii="仿宋_GB2312" w:hAnsi="宋体" w:eastAsia="仿宋_GB2312"/>
          <w:sz w:val="32"/>
          <w:szCs w:val="32"/>
        </w:rPr>
        <w:t>无极经济开发区机构设置见下表：</w:t>
      </w:r>
    </w:p>
    <w:p>
      <w:pPr>
        <w:ind w:firstLine="640" w:firstLineChars="200"/>
        <w:rPr>
          <w:rFonts w:hint="eastAsia" w:ascii="仿宋_GB2312" w:hAnsi="宋体" w:eastAsia="仿宋_GB2312"/>
          <w:sz w:val="32"/>
          <w:szCs w:val="32"/>
        </w:rPr>
      </w:pPr>
    </w:p>
    <w:p>
      <w:pPr>
        <w:ind w:firstLine="640" w:firstLineChars="200"/>
        <w:rPr>
          <w:rFonts w:ascii="仿宋_GB2312" w:hAnsi="宋体" w:eastAsia="仿宋_GB2312"/>
          <w:sz w:val="32"/>
          <w:szCs w:val="32"/>
        </w:rPr>
      </w:pPr>
    </w:p>
    <w:p>
      <w:pPr>
        <w:ind w:firstLine="643" w:firstLineChars="200"/>
        <w:rPr>
          <w:rFonts w:ascii="仿宋" w:hAnsi="仿宋" w:eastAsia="仿宋" w:cs="Times New Roman"/>
          <w:b/>
          <w:sz w:val="32"/>
          <w:szCs w:val="32"/>
        </w:rPr>
      </w:pPr>
    </w:p>
    <w:tbl>
      <w:tblPr>
        <w:tblStyle w:val="7"/>
        <w:tblW w:w="8760" w:type="dxa"/>
        <w:tblInd w:w="93" w:type="dxa"/>
        <w:tblLayout w:type="fixed"/>
        <w:tblCellMar>
          <w:top w:w="0" w:type="dxa"/>
          <w:left w:w="108" w:type="dxa"/>
          <w:bottom w:w="0" w:type="dxa"/>
          <w:right w:w="108" w:type="dxa"/>
        </w:tblCellMar>
      </w:tblPr>
      <w:tblGrid>
        <w:gridCol w:w="3481"/>
        <w:gridCol w:w="1099"/>
        <w:gridCol w:w="1320"/>
        <w:gridCol w:w="2860"/>
      </w:tblGrid>
      <w:tr>
        <w:tblPrEx>
          <w:tblCellMar>
            <w:top w:w="0" w:type="dxa"/>
            <w:left w:w="108" w:type="dxa"/>
            <w:bottom w:w="0" w:type="dxa"/>
            <w:right w:w="108" w:type="dxa"/>
          </w:tblCellMar>
        </w:tblPrEx>
        <w:trPr>
          <w:trHeight w:val="495" w:hRule="atLeast"/>
        </w:trPr>
        <w:tc>
          <w:tcPr>
            <w:tcW w:w="8760" w:type="dxa"/>
            <w:gridSpan w:val="4"/>
            <w:tcBorders>
              <w:top w:val="nil"/>
              <w:left w:val="nil"/>
              <w:bottom w:val="nil"/>
              <w:right w:val="nil"/>
            </w:tcBorders>
            <w:vAlign w:val="center"/>
          </w:tcPr>
          <w:p>
            <w:pPr>
              <w:widowControl/>
              <w:spacing w:line="560" w:lineRule="exact"/>
              <w:jc w:val="center"/>
              <w:rPr>
                <w:rFonts w:ascii="宋体" w:cs="宋体"/>
                <w:b/>
                <w:bCs/>
                <w:kern w:val="0"/>
                <w:sz w:val="36"/>
                <w:szCs w:val="36"/>
              </w:rPr>
            </w:pPr>
            <w:r>
              <w:rPr>
                <w:rFonts w:hint="eastAsia" w:ascii="宋体" w:hAnsi="宋体" w:cs="宋体"/>
                <w:b/>
                <w:bCs/>
                <w:kern w:val="0"/>
                <w:sz w:val="36"/>
                <w:szCs w:val="36"/>
              </w:rPr>
              <w:t>部门机构设置情况</w:t>
            </w:r>
          </w:p>
        </w:tc>
      </w:tr>
      <w:tr>
        <w:tblPrEx>
          <w:tblCellMar>
            <w:top w:w="0" w:type="dxa"/>
            <w:left w:w="108" w:type="dxa"/>
            <w:bottom w:w="0" w:type="dxa"/>
            <w:right w:w="108" w:type="dxa"/>
          </w:tblCellMar>
        </w:tblPrEx>
        <w:trPr>
          <w:trHeight w:val="435" w:hRule="atLeast"/>
        </w:trPr>
        <w:tc>
          <w:tcPr>
            <w:tcW w:w="3481" w:type="dxa"/>
            <w:tcBorders>
              <w:top w:val="single" w:color="auto" w:sz="4" w:space="0"/>
              <w:left w:val="single" w:color="auto" w:sz="4" w:space="0"/>
              <w:bottom w:val="single" w:color="auto" w:sz="4" w:space="0"/>
              <w:right w:val="single" w:color="auto" w:sz="4" w:space="0"/>
            </w:tcBorders>
            <w:vAlign w:val="center"/>
          </w:tcPr>
          <w:p>
            <w:pPr>
              <w:widowControl/>
              <w:spacing w:line="560" w:lineRule="exact"/>
              <w:jc w:val="center"/>
              <w:rPr>
                <w:rFonts w:ascii="仿宋_GB2312" w:hAnsi="宋体" w:eastAsia="仿宋_GB2312" w:cs="宋体"/>
                <w:b/>
                <w:bCs/>
                <w:kern w:val="0"/>
                <w:sz w:val="24"/>
              </w:rPr>
            </w:pPr>
            <w:r>
              <w:rPr>
                <w:rFonts w:hint="eastAsia" w:ascii="仿宋_GB2312" w:hAnsi="宋体" w:eastAsia="仿宋_GB2312" w:cs="宋体"/>
                <w:b/>
                <w:bCs/>
                <w:kern w:val="0"/>
                <w:sz w:val="24"/>
              </w:rPr>
              <w:t>单位名称</w:t>
            </w:r>
          </w:p>
        </w:tc>
        <w:tc>
          <w:tcPr>
            <w:tcW w:w="1099" w:type="dxa"/>
            <w:tcBorders>
              <w:top w:val="single" w:color="auto" w:sz="4" w:space="0"/>
              <w:left w:val="nil"/>
              <w:bottom w:val="single" w:color="auto" w:sz="4" w:space="0"/>
              <w:right w:val="single" w:color="auto" w:sz="4" w:space="0"/>
            </w:tcBorders>
            <w:vAlign w:val="center"/>
          </w:tcPr>
          <w:p>
            <w:pPr>
              <w:widowControl/>
              <w:spacing w:line="560" w:lineRule="exact"/>
              <w:jc w:val="center"/>
              <w:rPr>
                <w:rFonts w:ascii="仿宋_GB2312" w:hAnsi="宋体" w:eastAsia="仿宋_GB2312" w:cs="宋体"/>
                <w:b/>
                <w:bCs/>
                <w:kern w:val="0"/>
                <w:sz w:val="24"/>
              </w:rPr>
            </w:pPr>
            <w:r>
              <w:rPr>
                <w:rFonts w:hint="eastAsia" w:ascii="仿宋_GB2312" w:hAnsi="宋体" w:eastAsia="仿宋_GB2312" w:cs="宋体"/>
                <w:b/>
                <w:bCs/>
                <w:kern w:val="0"/>
                <w:sz w:val="24"/>
              </w:rPr>
              <w:t>单位性质</w:t>
            </w:r>
          </w:p>
        </w:tc>
        <w:tc>
          <w:tcPr>
            <w:tcW w:w="1320" w:type="dxa"/>
            <w:tcBorders>
              <w:top w:val="single" w:color="auto" w:sz="4" w:space="0"/>
              <w:left w:val="nil"/>
              <w:bottom w:val="single" w:color="auto" w:sz="4" w:space="0"/>
              <w:right w:val="single" w:color="auto" w:sz="4" w:space="0"/>
            </w:tcBorders>
            <w:vAlign w:val="center"/>
          </w:tcPr>
          <w:p>
            <w:pPr>
              <w:widowControl/>
              <w:spacing w:line="560" w:lineRule="exact"/>
              <w:jc w:val="center"/>
              <w:rPr>
                <w:rFonts w:ascii="仿宋_GB2312" w:hAnsi="宋体" w:eastAsia="仿宋_GB2312" w:cs="宋体"/>
                <w:b/>
                <w:bCs/>
                <w:kern w:val="0"/>
                <w:sz w:val="24"/>
              </w:rPr>
            </w:pPr>
            <w:r>
              <w:rPr>
                <w:rFonts w:hint="eastAsia" w:ascii="仿宋_GB2312" w:hAnsi="宋体" w:eastAsia="仿宋_GB2312" w:cs="宋体"/>
                <w:b/>
                <w:bCs/>
                <w:kern w:val="0"/>
                <w:sz w:val="24"/>
              </w:rPr>
              <w:t>单位规格</w:t>
            </w:r>
          </w:p>
        </w:tc>
        <w:tc>
          <w:tcPr>
            <w:tcW w:w="2860" w:type="dxa"/>
            <w:tcBorders>
              <w:top w:val="single" w:color="auto" w:sz="4" w:space="0"/>
              <w:left w:val="nil"/>
              <w:bottom w:val="single" w:color="auto" w:sz="4" w:space="0"/>
              <w:right w:val="single" w:color="auto" w:sz="4" w:space="0"/>
            </w:tcBorders>
            <w:vAlign w:val="center"/>
          </w:tcPr>
          <w:p>
            <w:pPr>
              <w:widowControl/>
              <w:spacing w:line="560" w:lineRule="exact"/>
              <w:jc w:val="center"/>
              <w:rPr>
                <w:rFonts w:ascii="仿宋_GB2312" w:hAnsi="宋体" w:eastAsia="仿宋_GB2312" w:cs="宋体"/>
                <w:b/>
                <w:bCs/>
                <w:kern w:val="0"/>
                <w:sz w:val="24"/>
              </w:rPr>
            </w:pPr>
            <w:r>
              <w:rPr>
                <w:rFonts w:hint="eastAsia" w:ascii="仿宋_GB2312" w:hAnsi="宋体" w:eastAsia="仿宋_GB2312" w:cs="宋体"/>
                <w:b/>
                <w:bCs/>
                <w:kern w:val="0"/>
                <w:sz w:val="24"/>
              </w:rPr>
              <w:t>经费保障形式</w:t>
            </w:r>
          </w:p>
        </w:tc>
      </w:tr>
      <w:tr>
        <w:tblPrEx>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综合办公室</w:t>
            </w:r>
          </w:p>
        </w:tc>
        <w:tc>
          <w:tcPr>
            <w:tcW w:w="1099"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行政</w:t>
            </w:r>
          </w:p>
        </w:tc>
        <w:tc>
          <w:tcPr>
            <w:tcW w:w="132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正科级</w:t>
            </w:r>
          </w:p>
        </w:tc>
        <w:tc>
          <w:tcPr>
            <w:tcW w:w="286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财政拨款</w:t>
            </w:r>
          </w:p>
        </w:tc>
      </w:tr>
      <w:tr>
        <w:tblPrEx>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经济发展局</w:t>
            </w:r>
          </w:p>
        </w:tc>
        <w:tc>
          <w:tcPr>
            <w:tcW w:w="1099"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行政</w:t>
            </w:r>
          </w:p>
        </w:tc>
        <w:tc>
          <w:tcPr>
            <w:tcW w:w="132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正科级</w:t>
            </w:r>
          </w:p>
        </w:tc>
        <w:tc>
          <w:tcPr>
            <w:tcW w:w="286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财政拨款</w:t>
            </w:r>
          </w:p>
        </w:tc>
      </w:tr>
      <w:tr>
        <w:tblPrEx>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规划建设局</w:t>
            </w:r>
          </w:p>
        </w:tc>
        <w:tc>
          <w:tcPr>
            <w:tcW w:w="1099"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行政</w:t>
            </w:r>
          </w:p>
        </w:tc>
        <w:tc>
          <w:tcPr>
            <w:tcW w:w="132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正科级</w:t>
            </w:r>
          </w:p>
        </w:tc>
        <w:tc>
          <w:tcPr>
            <w:tcW w:w="286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财政拨款</w:t>
            </w:r>
          </w:p>
        </w:tc>
      </w:tr>
      <w:tr>
        <w:tblPrEx>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综合执法局</w:t>
            </w:r>
          </w:p>
        </w:tc>
        <w:tc>
          <w:tcPr>
            <w:tcW w:w="1099"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行政</w:t>
            </w:r>
          </w:p>
        </w:tc>
        <w:tc>
          <w:tcPr>
            <w:tcW w:w="132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正科级</w:t>
            </w:r>
          </w:p>
        </w:tc>
        <w:tc>
          <w:tcPr>
            <w:tcW w:w="286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财政拨款</w:t>
            </w:r>
          </w:p>
        </w:tc>
      </w:tr>
      <w:tr>
        <w:tblPrEx>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财税局</w:t>
            </w:r>
          </w:p>
        </w:tc>
        <w:tc>
          <w:tcPr>
            <w:tcW w:w="1099"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行政</w:t>
            </w:r>
          </w:p>
        </w:tc>
        <w:tc>
          <w:tcPr>
            <w:tcW w:w="132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正科级</w:t>
            </w:r>
          </w:p>
        </w:tc>
        <w:tc>
          <w:tcPr>
            <w:tcW w:w="286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财政拨款</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按照预算管理有关规定，目前我部门预算的编制实行综合预算管理，即全部收入和支出都反映的预算中。河北无极经济开发区的收支包含在部门预算中。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w:t>
      </w: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年预算收入</w:t>
      </w:r>
      <w:r>
        <w:rPr>
          <w:rFonts w:ascii="Times New Roman" w:hAnsi="Times New Roman" w:eastAsia="仿宋" w:cs="Times New Roman"/>
          <w:sz w:val="32"/>
          <w:szCs w:val="32"/>
        </w:rPr>
        <w:t>264.1</w:t>
      </w:r>
      <w:r>
        <w:rPr>
          <w:rFonts w:hint="eastAsia" w:ascii="Times New Roman" w:hAnsi="Times New Roman" w:eastAsia="仿宋" w:cs="Times New Roman"/>
          <w:sz w:val="32"/>
          <w:szCs w:val="32"/>
        </w:rPr>
        <w:t>万元，其中：一般公共预算收入</w:t>
      </w:r>
      <w:r>
        <w:rPr>
          <w:rFonts w:ascii="Times New Roman" w:hAnsi="Times New Roman" w:eastAsia="仿宋" w:cs="Times New Roman"/>
          <w:sz w:val="32"/>
          <w:szCs w:val="32"/>
        </w:rPr>
        <w:t>264.1</w:t>
      </w:r>
      <w:r>
        <w:rPr>
          <w:rFonts w:hint="eastAsia" w:ascii="Times New Roman" w:hAnsi="Times New Roman" w:eastAsia="仿宋" w:cs="Times New Roman"/>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收支预算总表支出栏、基本支出表、项目支出表按经济分类和支出功能分类科目编制，反映河北无极经济开发区年度部门预算中支出预算的总体情况。</w:t>
      </w: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年部门支出预算为</w:t>
      </w:r>
      <w:r>
        <w:rPr>
          <w:rFonts w:ascii="Times New Roman" w:hAnsi="Times New Roman" w:eastAsia="仿宋" w:cs="Times New Roman"/>
          <w:sz w:val="32"/>
          <w:szCs w:val="32"/>
        </w:rPr>
        <w:t>264.1</w:t>
      </w:r>
      <w:r>
        <w:rPr>
          <w:rFonts w:hint="eastAsia" w:ascii="Times New Roman" w:hAnsi="Times New Roman" w:eastAsia="仿宋" w:cs="Times New Roman"/>
          <w:sz w:val="32"/>
          <w:szCs w:val="32"/>
        </w:rPr>
        <w:t>万元，其中基本支出</w:t>
      </w:r>
      <w:r>
        <w:rPr>
          <w:rFonts w:ascii="Times New Roman" w:hAnsi="Times New Roman" w:eastAsia="仿宋" w:cs="Times New Roman"/>
          <w:sz w:val="32"/>
          <w:szCs w:val="32"/>
        </w:rPr>
        <w:t>264.1</w:t>
      </w:r>
      <w:r>
        <w:rPr>
          <w:rFonts w:hint="eastAsia" w:ascii="Times New Roman" w:hAnsi="Times New Roman" w:eastAsia="仿宋" w:cs="Times New Roman"/>
          <w:sz w:val="32"/>
          <w:szCs w:val="32"/>
        </w:rPr>
        <w:t>万元，包括人员经费</w:t>
      </w:r>
      <w:r>
        <w:rPr>
          <w:rFonts w:ascii="Times New Roman" w:hAnsi="Times New Roman" w:eastAsia="仿宋" w:cs="Times New Roman"/>
          <w:sz w:val="32"/>
          <w:szCs w:val="32"/>
        </w:rPr>
        <w:t>216.1</w:t>
      </w:r>
      <w:r>
        <w:rPr>
          <w:rFonts w:hint="eastAsia" w:ascii="Times New Roman" w:hAnsi="Times New Roman" w:eastAsia="仿宋" w:cs="Times New Roman"/>
          <w:sz w:val="32"/>
          <w:szCs w:val="32"/>
        </w:rPr>
        <w:t>万元和日常公用经费</w:t>
      </w:r>
      <w:r>
        <w:rPr>
          <w:rFonts w:ascii="Times New Roman" w:hAnsi="Times New Roman" w:eastAsia="仿宋" w:cs="Times New Roman"/>
          <w:sz w:val="32"/>
          <w:szCs w:val="32"/>
        </w:rPr>
        <w:t>48</w:t>
      </w:r>
      <w:r>
        <w:rPr>
          <w:rFonts w:hint="eastAsia" w:ascii="Times New Roman" w:hAnsi="Times New Roman" w:eastAsia="仿宋" w:cs="Times New Roman"/>
          <w:sz w:val="32"/>
          <w:szCs w:val="32"/>
        </w:rPr>
        <w:t>万元；主要为工资福利支出</w:t>
      </w:r>
      <w:r>
        <w:rPr>
          <w:rFonts w:ascii="Times New Roman" w:hAnsi="Times New Roman" w:eastAsia="仿宋" w:cs="Times New Roman"/>
          <w:sz w:val="32"/>
          <w:szCs w:val="32"/>
        </w:rPr>
        <w:t>216.1</w:t>
      </w:r>
      <w:r>
        <w:rPr>
          <w:rFonts w:hint="eastAsia" w:ascii="Times New Roman" w:hAnsi="Times New Roman" w:eastAsia="仿宋" w:cs="Times New Roman"/>
          <w:sz w:val="32"/>
          <w:szCs w:val="32"/>
        </w:rPr>
        <w:t>万元，商品和服务支出</w:t>
      </w:r>
      <w:r>
        <w:rPr>
          <w:rFonts w:ascii="Times New Roman" w:hAnsi="Times New Roman" w:eastAsia="仿宋" w:cs="Times New Roman"/>
          <w:sz w:val="32"/>
          <w:szCs w:val="32"/>
        </w:rPr>
        <w:t>48</w:t>
      </w:r>
      <w:r>
        <w:rPr>
          <w:rFonts w:hint="eastAsia" w:ascii="Times New Roman" w:hAnsi="Times New Roman" w:eastAsia="仿宋" w:cs="Times New Roman"/>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2020</w:t>
      </w:r>
      <w:r>
        <w:rPr>
          <w:rFonts w:hint="eastAsia" w:ascii="Times New Roman" w:hAnsi="Times New Roman" w:eastAsia="仿宋" w:cs="Times New Roman"/>
          <w:color w:val="000000"/>
          <w:sz w:val="32"/>
          <w:szCs w:val="32"/>
        </w:rPr>
        <w:t>年部门预算收支安排</w:t>
      </w:r>
      <w:r>
        <w:rPr>
          <w:rFonts w:ascii="Times New Roman" w:hAnsi="Times New Roman" w:eastAsia="仿宋" w:cs="Times New Roman"/>
          <w:sz w:val="32"/>
          <w:szCs w:val="32"/>
        </w:rPr>
        <w:t>264.1</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w:t>
      </w:r>
      <w:r>
        <w:rPr>
          <w:rFonts w:ascii="Times New Roman" w:hAnsi="Times New Roman" w:eastAsia="仿宋" w:cs="Times New Roman"/>
          <w:sz w:val="32"/>
          <w:szCs w:val="32"/>
        </w:rPr>
        <w:t>2019</w:t>
      </w:r>
      <w:r>
        <w:rPr>
          <w:rFonts w:hint="eastAsia" w:ascii="Times New Roman" w:hAnsi="Times New Roman" w:eastAsia="仿宋" w:cs="Times New Roman"/>
          <w:sz w:val="32"/>
          <w:szCs w:val="32"/>
        </w:rPr>
        <w:t>年减少</w:t>
      </w:r>
      <w:r>
        <w:rPr>
          <w:rFonts w:ascii="Times New Roman" w:hAnsi="Times New Roman" w:eastAsia="仿宋" w:cs="Times New Roman"/>
          <w:sz w:val="32"/>
          <w:szCs w:val="32"/>
        </w:rPr>
        <w:t>518.79</w:t>
      </w:r>
      <w:r>
        <w:rPr>
          <w:rFonts w:hint="eastAsia" w:ascii="Times New Roman" w:hAnsi="Times New Roman" w:eastAsia="仿宋" w:cs="Times New Roman"/>
          <w:sz w:val="32"/>
          <w:szCs w:val="32"/>
        </w:rPr>
        <w:t>万元，其中：基本支出增加</w:t>
      </w:r>
      <w:r>
        <w:rPr>
          <w:rFonts w:ascii="Times New Roman" w:hAnsi="Times New Roman" w:eastAsia="仿宋" w:cs="Times New Roman"/>
          <w:sz w:val="32"/>
          <w:szCs w:val="32"/>
        </w:rPr>
        <w:t>80.19</w:t>
      </w:r>
      <w:r>
        <w:rPr>
          <w:rFonts w:hint="eastAsia" w:ascii="Times New Roman" w:hAnsi="Times New Roman" w:eastAsia="仿宋" w:cs="Times New Roman"/>
          <w:sz w:val="32"/>
          <w:szCs w:val="32"/>
        </w:rPr>
        <w:t>万元，主要是人员增加，相应增加人员经费和日常公用经费；项目支出减少</w:t>
      </w:r>
      <w:r>
        <w:rPr>
          <w:rFonts w:ascii="仿宋_GB2312" w:hAnsi="仿宋" w:eastAsia="仿宋_GB2312"/>
          <w:sz w:val="32"/>
          <w:szCs w:val="32"/>
        </w:rPr>
        <w:t>616.98</w:t>
      </w:r>
      <w:r>
        <w:rPr>
          <w:rFonts w:hint="eastAsia" w:ascii="Times New Roman" w:hAnsi="Times New Roman" w:eastAsia="仿宋" w:cs="Times New Roman"/>
          <w:sz w:val="32"/>
          <w:szCs w:val="32"/>
        </w:rPr>
        <w:t>万元，主要是</w:t>
      </w: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年无项目预算；其他支出无增减变化。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年，我部门机关运行经费共计安排</w:t>
      </w:r>
      <w:r>
        <w:rPr>
          <w:rFonts w:ascii="Times New Roman" w:hAnsi="Times New Roman" w:eastAsia="仿宋" w:cs="Times New Roman"/>
          <w:sz w:val="32"/>
          <w:szCs w:val="32"/>
        </w:rPr>
        <w:t>48</w:t>
      </w:r>
      <w:r>
        <w:rPr>
          <w:rFonts w:hint="eastAsia" w:ascii="Times New Roman" w:hAnsi="Times New Roman" w:eastAsia="仿宋" w:cs="Times New Roman"/>
          <w:sz w:val="32"/>
          <w:szCs w:val="32"/>
        </w:rPr>
        <w:t>万元，主要用于保证机关正常运转的办公及水费、电费、邮电费、差旅费、专用材料、劳务费、工会经费、公务车运行维护费等支出。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年，我部门财政拨款“三公”经费预算安排</w:t>
      </w:r>
      <w:r>
        <w:rPr>
          <w:rFonts w:ascii="Times New Roman" w:hAnsi="Times New Roman" w:eastAsia="仿宋" w:cs="Times New Roman"/>
          <w:sz w:val="32"/>
          <w:szCs w:val="32"/>
        </w:rPr>
        <w:t>3</w:t>
      </w:r>
      <w:r>
        <w:rPr>
          <w:rFonts w:hint="eastAsia" w:ascii="Times New Roman" w:hAnsi="Times New Roman" w:eastAsia="仿宋" w:cs="Times New Roman"/>
          <w:sz w:val="32"/>
          <w:szCs w:val="32"/>
        </w:rPr>
        <w:t>万元，其中：因公出国（境）费</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万元；公务用车购置及运维费</w:t>
      </w:r>
      <w:r>
        <w:rPr>
          <w:rFonts w:ascii="Times New Roman" w:hAnsi="Times New Roman" w:eastAsia="仿宋" w:cs="Times New Roman"/>
          <w:sz w:val="32"/>
          <w:szCs w:val="32"/>
        </w:rPr>
        <w:t>3</w:t>
      </w:r>
      <w:r>
        <w:rPr>
          <w:rFonts w:hint="eastAsia" w:ascii="Times New Roman" w:hAnsi="Times New Roman" w:eastAsia="仿宋" w:cs="Times New Roman"/>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万元，公务用车运行维护费</w:t>
      </w:r>
      <w:r>
        <w:rPr>
          <w:rFonts w:ascii="Times New Roman" w:hAnsi="Times New Roman" w:eastAsia="仿宋" w:cs="Times New Roman"/>
          <w:sz w:val="32"/>
          <w:szCs w:val="32"/>
        </w:rPr>
        <w:t>3</w:t>
      </w:r>
      <w:r>
        <w:rPr>
          <w:rFonts w:hint="eastAsia" w:ascii="Times New Roman" w:hAnsi="Times New Roman" w:eastAsia="仿宋" w:cs="Times New Roman"/>
          <w:sz w:val="32"/>
          <w:szCs w:val="32"/>
        </w:rPr>
        <w:t>万元</w:t>
      </w:r>
      <w:r>
        <w:rPr>
          <w:rFonts w:ascii="Times New Roman" w:hAnsi="Times New Roman" w:eastAsia="仿宋" w:cs="Times New Roman"/>
          <w:sz w:val="32"/>
          <w:szCs w:val="32"/>
        </w:rPr>
        <w:t>)</w:t>
      </w:r>
      <w:r>
        <w:rPr>
          <w:rFonts w:hint="eastAsia" w:ascii="Times New Roman" w:hAnsi="Times New Roman" w:eastAsia="仿宋" w:cs="Times New Roman"/>
          <w:sz w:val="32"/>
          <w:szCs w:val="32"/>
        </w:rPr>
        <w:t>；公务接待费</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第一部分部门整体绩效目标</w:t>
      </w:r>
    </w:p>
    <w:p>
      <w:pPr>
        <w:numPr>
          <w:ilvl w:val="0"/>
          <w:numId w:val="1"/>
        </w:numPr>
        <w:autoSpaceDE w:val="0"/>
        <w:autoSpaceDN w:val="0"/>
        <w:adjustRightInd w:val="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总体绩效目标</w:t>
      </w:r>
    </w:p>
    <w:p>
      <w:pPr>
        <w:autoSpaceDE w:val="0"/>
        <w:autoSpaceDN w:val="0"/>
        <w:adjustRightInd w:val="0"/>
        <w:ind w:left="841"/>
        <w:jc w:val="left"/>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、加大招商引资力度，加快园区主导产业转型升级步伐，优化发展结构。实现经济指标快速增长。</w:t>
      </w:r>
    </w:p>
    <w:p>
      <w:pPr>
        <w:autoSpaceDE w:val="0"/>
        <w:autoSpaceDN w:val="0"/>
        <w:adjustRightInd w:val="0"/>
        <w:ind w:left="841"/>
        <w:jc w:val="left"/>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、加大园区企业综合执法力度，做好环保、安监工作，确保园区环境质量持续好转。</w:t>
      </w:r>
    </w:p>
    <w:p>
      <w:pPr>
        <w:autoSpaceDE w:val="0"/>
        <w:autoSpaceDN w:val="0"/>
        <w:adjustRightInd w:val="0"/>
        <w:ind w:left="841"/>
        <w:jc w:val="left"/>
        <w:rPr>
          <w:rFonts w:ascii="仿宋" w:hAnsi="仿宋" w:eastAsia="仿宋"/>
          <w:sz w:val="32"/>
          <w:szCs w:val="32"/>
        </w:rPr>
      </w:pPr>
      <w:r>
        <w:rPr>
          <w:rFonts w:ascii="仿宋" w:hAnsi="仿宋" w:eastAsia="仿宋"/>
          <w:sz w:val="32"/>
          <w:szCs w:val="32"/>
        </w:rPr>
        <w:t>3</w:t>
      </w:r>
      <w:r>
        <w:rPr>
          <w:rFonts w:hint="eastAsia" w:ascii="仿宋" w:hAnsi="仿宋" w:eastAsia="仿宋"/>
          <w:sz w:val="32"/>
          <w:szCs w:val="32"/>
        </w:rPr>
        <w:t>、加大为企业帮办服务力度，提供一站式服务。</w:t>
      </w:r>
    </w:p>
    <w:p>
      <w:pPr>
        <w:autoSpaceDE w:val="0"/>
        <w:autoSpaceDN w:val="0"/>
        <w:adjustRightInd w:val="0"/>
        <w:ind w:left="841"/>
        <w:jc w:val="left"/>
        <w:rPr>
          <w:rFonts w:ascii="仿宋" w:hAnsi="仿宋" w:eastAsia="仿宋"/>
          <w:sz w:val="32"/>
          <w:szCs w:val="32"/>
        </w:rPr>
      </w:pPr>
      <w:r>
        <w:rPr>
          <w:rFonts w:ascii="仿宋" w:hAnsi="仿宋" w:eastAsia="仿宋"/>
          <w:sz w:val="32"/>
          <w:szCs w:val="32"/>
        </w:rPr>
        <w:t>4</w:t>
      </w:r>
      <w:r>
        <w:rPr>
          <w:rFonts w:hint="eastAsia" w:ascii="仿宋" w:hAnsi="仿宋" w:eastAsia="仿宋"/>
          <w:sz w:val="32"/>
          <w:szCs w:val="32"/>
        </w:rPr>
        <w:t>、预防减少不稳定因素的发生，有效化解不稳定隐患、群体性事件和突发事件，维护安全工作。</w:t>
      </w:r>
    </w:p>
    <w:p>
      <w:pPr>
        <w:autoSpaceDE w:val="0"/>
        <w:autoSpaceDN w:val="0"/>
        <w:adjustRightInd w:val="0"/>
        <w:ind w:left="841"/>
        <w:jc w:val="left"/>
        <w:rPr>
          <w:rFonts w:ascii="仿宋" w:hAnsi="仿宋" w:eastAsia="仿宋"/>
          <w:sz w:val="32"/>
          <w:szCs w:val="32"/>
        </w:rPr>
      </w:pPr>
      <w:r>
        <w:rPr>
          <w:rFonts w:ascii="仿宋" w:hAnsi="仿宋" w:eastAsia="仿宋"/>
          <w:sz w:val="32"/>
          <w:szCs w:val="32"/>
        </w:rPr>
        <w:t>5</w:t>
      </w:r>
      <w:r>
        <w:rPr>
          <w:rFonts w:hint="eastAsia" w:ascii="仿宋" w:hAnsi="仿宋" w:eastAsia="仿宋"/>
          <w:sz w:val="32"/>
          <w:szCs w:val="32"/>
        </w:rPr>
        <w:t>、加强管理，提高开发区承载能力。加强开发区基础设施建设，改善环境，实现统筹发展。</w:t>
      </w:r>
      <w:r>
        <w:rPr>
          <w:rFonts w:ascii="仿宋" w:hAnsi="仿宋" w:eastAsia="仿宋"/>
          <w:sz w:val="32"/>
          <w:szCs w:val="32"/>
        </w:rPr>
        <w:fldChar w:fldCharType="begin"/>
      </w:r>
      <w:r>
        <w:rPr>
          <w:rFonts w:ascii="仿宋" w:hAnsi="仿宋" w:eastAsia="仿宋" w:cs="Times New Roman"/>
          <w:b/>
          <w:sz w:val="32"/>
          <w:szCs w:val="32"/>
        </w:rPr>
        <w:instrText xml:space="preserve">tc "</w:instrText>
      </w:r>
      <w:bookmarkStart w:id="1" w:name="_Toc29484628"/>
      <w:r>
        <w:rPr>
          <w:rFonts w:hint="eastAsia" w:ascii="仿宋" w:hAnsi="仿宋" w:eastAsia="仿宋" w:cs="Times New Roman"/>
          <w:b/>
          <w:sz w:val="32"/>
          <w:szCs w:val="32"/>
        </w:rPr>
        <w:instrText xml:space="preserve">总体绩效目标</w:instrText>
      </w:r>
      <w:bookmarkEnd w:id="1"/>
      <w:r>
        <w:rPr>
          <w:rFonts w:ascii="仿宋" w:hAnsi="仿宋" w:eastAsia="仿宋" w:cs="Times New Roman"/>
          <w:b/>
          <w:sz w:val="32"/>
          <w:szCs w:val="32"/>
        </w:rPr>
        <w:instrText xml:space="preserve">" \f A \l 001</w:instrText>
      </w:r>
      <w:r>
        <w:rPr>
          <w:rFonts w:ascii="仿宋" w:hAnsi="仿宋" w:eastAsia="仿宋"/>
          <w:sz w:val="32"/>
          <w:szCs w:val="32"/>
        </w:rPr>
        <w:fldChar w:fldCharType="end"/>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ascii="Times New Roman" w:hAnsi="Times New Roman" w:eastAsia="方正仿宋_GBK" w:cs="Times New Roman"/>
          <w:b/>
          <w:sz w:val="32"/>
          <w:szCs w:val="32"/>
        </w:rPr>
        <w:fldChar w:fldCharType="begin"/>
      </w:r>
      <w:r>
        <w:rPr>
          <w:rFonts w:ascii="Times New Roman" w:hAnsi="Times New Roman" w:eastAsia="方正仿宋_GBK" w:cs="Times New Roman"/>
          <w:b/>
          <w:sz w:val="32"/>
          <w:szCs w:val="32"/>
        </w:rPr>
        <w:instrText xml:space="preserve">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ascii="Times New Roman" w:hAnsi="Times New Roman" w:eastAsia="方正仿宋_GBK" w:cs="Times New Roman"/>
          <w:b/>
          <w:sz w:val="32"/>
          <w:szCs w:val="32"/>
        </w:rPr>
        <w:instrText xml:space="preserve">" \f A \l 001</w:instrText>
      </w:r>
      <w:r>
        <w:rPr>
          <w:rFonts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w:t>
      </w:r>
      <w:r>
        <w:rPr>
          <w:rFonts w:hint="eastAsia" w:ascii="仿宋" w:hAnsi="仿宋" w:eastAsia="仿宋"/>
          <w:sz w:val="32"/>
          <w:szCs w:val="32"/>
        </w:rPr>
        <w:t>招商引资</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绩效目标：搞好产业规划，组织做好招商引资工作，做好引进项目的跟踪服务后续工作，</w:t>
      </w:r>
      <w:r>
        <w:rPr>
          <w:rFonts w:hint="eastAsia" w:ascii="仿宋" w:hAnsi="仿宋" w:eastAsia="仿宋"/>
          <w:sz w:val="32"/>
          <w:szCs w:val="32"/>
        </w:rPr>
        <w:t>加快园区主导产业转型升级步伐，优化产业结构</w:t>
      </w:r>
      <w:r>
        <w:rPr>
          <w:rFonts w:hint="eastAsia" w:ascii="Times New Roman" w:hAnsi="Times New Roman" w:eastAsia="仿宋" w:cs="Times New Roman"/>
          <w:sz w:val="32"/>
          <w:szCs w:val="32"/>
        </w:rPr>
        <w:t>。</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绩效指标：经济指标增长率。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、综合执法管理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绩效目标：采取各项有效措施，进一步加大管控力度，并加强对污染成因的分析研判，科学制定管控措施。严格按照网格化分包责任制，加大对企业的督查力度。</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绩效指标：工作完成率。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w:t>
      </w:r>
      <w:r>
        <w:rPr>
          <w:rFonts w:hint="eastAsia" w:ascii="仿宋" w:hAnsi="仿宋" w:eastAsia="仿宋"/>
          <w:sz w:val="32"/>
          <w:szCs w:val="32"/>
        </w:rPr>
        <w:t>综合事务管理：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绩效目标：满足园区内企业对公共服务的实际需求。</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绩效指标：企业满意度。</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Times New Roman"/>
          <w:sz w:val="32"/>
          <w:szCs w:val="32"/>
        </w:rPr>
        <w:t>、维护社会稳定</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绩效目标：提高治安防范整体水平；预防和减少重大矛盾纠纷和群体性事件的发生，提高企业法律意识和法律素养。</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绩效指标：安全隐患排查率、普法率等。</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Times New Roman"/>
          <w:sz w:val="32"/>
          <w:szCs w:val="32"/>
        </w:rPr>
        <w:t>、</w:t>
      </w:r>
      <w:r>
        <w:rPr>
          <w:rFonts w:hint="eastAsia" w:ascii="仿宋" w:hAnsi="仿宋" w:eastAsia="仿宋"/>
          <w:sz w:val="32"/>
          <w:szCs w:val="32"/>
        </w:rPr>
        <w:t>开发区建设</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绩效目标：实现开发区规划多规合一，科学合理布局，借助交通优势打造新型产业聚集区。加快推进全区基础设施工作，确保</w:t>
      </w: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年全区基础设施建设顺利进行。</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绩效指标：基础设施建设完工率。</w:t>
      </w:r>
    </w:p>
    <w:p>
      <w:pPr>
        <w:autoSpaceDE w:val="0"/>
        <w:autoSpaceDN w:val="0"/>
        <w:adjustRightInd w:val="0"/>
        <w:ind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ascii="Times New Roman" w:hAnsi="Times New Roman" w:eastAsia="方正仿宋_GBK" w:cs="Times New Roman"/>
          <w:b/>
          <w:sz w:val="32"/>
          <w:szCs w:val="32"/>
        </w:rPr>
        <w:fldChar w:fldCharType="begin"/>
      </w:r>
      <w:r>
        <w:rPr>
          <w:rFonts w:ascii="Times New Roman" w:hAnsi="Times New Roman" w:eastAsia="方正仿宋_GBK" w:cs="Times New Roman"/>
          <w:b/>
          <w:sz w:val="32"/>
          <w:szCs w:val="32"/>
        </w:rPr>
        <w:instrText xml:space="preserve">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ascii="Times New Roman" w:hAnsi="Times New Roman" w:eastAsia="方正仿宋_GBK" w:cs="Times New Roman"/>
          <w:b/>
          <w:sz w:val="32"/>
          <w:szCs w:val="32"/>
        </w:rPr>
        <w:instrText xml:space="preserve">" \f A \l 001</w:instrText>
      </w:r>
      <w:r>
        <w:rPr>
          <w:rFonts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、加强制度建设。建立健全机关预算绩效管理制度，为全年预算绩效目标的实现奠定制度基础。</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、规范财务管理。进一步完善财务管理制度，通过科学编制预算、优化支出结构、加快政府采购、加快项目建设、及时拨付资金，确保经费支出进度达到规定标准。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、加强内部监督。加强内部监督制度建设，对绩效运行、重大支出事项、资产处置及其他重要经济业务事项决策和执行进行监督，定期开展财务内部审计，确保财政资金使用安全合规。</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Times New Roman"/>
          <w:sz w:val="32"/>
          <w:szCs w:val="32"/>
        </w:rPr>
        <w:t>、加强绩效监控。积极开展绩效运行监控，发现问题及时采取措施，确保绩效目标如期保质实现。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Times New Roman"/>
          <w:sz w:val="32"/>
          <w:szCs w:val="32"/>
        </w:rPr>
        <w:t>、做好绩效自评。按要求开展部门预算绩效自评和重点项目评价工作，对评价中发现的问题及时整改。</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Times New Roman"/>
          <w:sz w:val="32"/>
          <w:szCs w:val="32"/>
        </w:rPr>
        <w:t>、加强宣传培训。加强人员培训，加大宣传力度，强化预算绩效管理意识，促进预算绩效管理水平提升。</w:t>
      </w: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第二部分预算项目绩效目标</w:t>
      </w:r>
    </w:p>
    <w:p>
      <w:pPr>
        <w:autoSpaceDE w:val="0"/>
        <w:autoSpaceDN w:val="0"/>
        <w:adjustRightInd w:val="0"/>
        <w:jc w:val="left"/>
        <w:rPr>
          <w:rFonts w:ascii="方正仿宋_GBK" w:eastAsia="方正仿宋_GBK"/>
          <w:b/>
          <w:sz w:val="28"/>
        </w:rPr>
      </w:pPr>
      <w:r>
        <w:rPr>
          <w:rFonts w:hint="eastAsia" w:ascii="方正仿宋_GBK" w:eastAsia="方正仿宋_GBK"/>
          <w:b/>
          <w:sz w:val="28"/>
        </w:rPr>
        <w:t>一、经济管理</w:t>
      </w:r>
    </w:p>
    <w:tbl>
      <w:tblPr>
        <w:tblStyle w:val="7"/>
        <w:tblpPr w:leftFromText="180" w:rightFromText="180" w:vertAnchor="text" w:horzAnchor="page" w:tblpXSpec="center" w:tblpY="511"/>
        <w:tblOverlap w:val="never"/>
        <w:tblW w:w="943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0"/>
        <w:gridCol w:w="6728"/>
        <w:gridCol w:w="15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868"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567"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0"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95" w:type="dxa"/>
            <w:gridSpan w:val="2"/>
            <w:tcBorders>
              <w:bottom w:val="nil"/>
            </w:tcBorders>
            <w:vAlign w:val="center"/>
          </w:tcPr>
          <w:p>
            <w:pPr>
              <w:spacing w:line="300" w:lineRule="exact"/>
              <w:jc w:val="left"/>
              <w:rPr>
                <w:rFonts w:ascii="方正书宋_GBK" w:eastAsia="方正书宋_GBK"/>
              </w:rPr>
            </w:pPr>
            <w:r>
              <w:rPr>
                <w:rFonts w:hint="eastAsia" w:ascii="方正书宋_GBK" w:eastAsia="方正书宋_GBK"/>
              </w:rPr>
              <w:t>搞好产业规划，组织做好招商引资工作，做好引进项目的跟踪服务后续工作，加快园区主导产业转型升级步伐，优化产业结构。</w:t>
            </w:r>
          </w:p>
        </w:tc>
      </w:tr>
    </w:tbl>
    <w:p>
      <w:pPr>
        <w:rPr>
          <w:vanish/>
        </w:rPr>
      </w:pPr>
    </w:p>
    <w:tbl>
      <w:tblPr>
        <w:tblStyle w:val="7"/>
        <w:tblpPr w:leftFromText="180" w:rightFromText="180" w:vertAnchor="text" w:horzAnchor="page" w:tblpXSpec="center" w:tblpY="983"/>
        <w:tblOverlap w:val="neve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计划完成数量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计划目标完成率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经济指标增长率</w:t>
            </w:r>
          </w:p>
        </w:tc>
        <w:tc>
          <w:tcPr>
            <w:tcW w:w="2891"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经济指标增长情况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相比去年同期增长</w:t>
            </w:r>
            <w:r>
              <w:rPr>
                <w:rFonts w:ascii="方正书宋_GBK" w:eastAsia="方正书宋_GBK"/>
              </w:rPr>
              <w:t>10%</w:t>
            </w:r>
            <w:r>
              <w:rPr>
                <w:rFonts w:hint="eastAsia" w:ascii="方正书宋_GBK" w:eastAsia="方正书宋_GBK"/>
              </w:rPr>
              <w:t>以上</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工作完成时间</w:t>
            </w:r>
          </w:p>
        </w:tc>
        <w:tc>
          <w:tcPr>
            <w:tcW w:w="1276"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资金绩效</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通过第三方绩效评估，发现被评估的财政专项资金存在的问题，提高资金使用绩效</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资金使用绩效提高</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群众调查满意率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autoSpaceDE w:val="0"/>
        <w:autoSpaceDN w:val="0"/>
        <w:adjustRightInd w:val="0"/>
        <w:jc w:val="left"/>
        <w:rPr>
          <w:rFonts w:ascii="方正仿宋_GBK" w:eastAsia="方正仿宋_GBK"/>
          <w:b/>
          <w:sz w:val="28"/>
        </w:rPr>
      </w:pPr>
    </w:p>
    <w:p>
      <w:pPr>
        <w:numPr>
          <w:ilvl w:val="0"/>
          <w:numId w:val="2"/>
        </w:numPr>
        <w:autoSpaceDE w:val="0"/>
        <w:autoSpaceDN w:val="0"/>
        <w:adjustRightInd w:val="0"/>
        <w:jc w:val="left"/>
        <w:rPr>
          <w:rFonts w:ascii="方正仿宋_GBK" w:eastAsia="方正仿宋_GBK"/>
          <w:b/>
          <w:sz w:val="28"/>
        </w:rPr>
      </w:pPr>
      <w:r>
        <w:rPr>
          <w:rFonts w:hint="eastAsia" w:ascii="方正仿宋_GBK" w:eastAsia="方正仿宋_GBK"/>
          <w:b/>
          <w:sz w:val="28"/>
        </w:rPr>
        <w:t>综合执法管理</w:t>
      </w:r>
    </w:p>
    <w:p>
      <w:pPr>
        <w:autoSpaceDE w:val="0"/>
        <w:autoSpaceDN w:val="0"/>
        <w:adjustRightInd w:val="0"/>
        <w:jc w:val="left"/>
        <w:rPr>
          <w:rFonts w:ascii="方正仿宋_GBK" w:eastAsia="方正仿宋_GBK"/>
          <w:b/>
          <w:sz w:val="28"/>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pPr>
              <w:spacing w:line="300" w:lineRule="exact"/>
              <w:jc w:val="left"/>
              <w:rPr>
                <w:rFonts w:ascii="方正书宋_GBK" w:eastAsia="方正书宋_GBK"/>
              </w:rPr>
            </w:pPr>
            <w:r>
              <w:rPr>
                <w:rFonts w:hint="eastAsia" w:ascii="方正书宋_GBK" w:eastAsia="方正书宋_GBK"/>
              </w:rPr>
              <w:t>督查企业安全生产及环保隐患排查治理到位，非法违法行为得到有效遏制，安全生产及环保法治秩序得到进一步完善，遏制重大安全生产事故，全区安全生产形势持续稳定好转。及时部署全区安全生产及环保工作，传达部署国家、省、市关于安全生产工作的要求，研究协调解决安全生产及环保工作中的重大问题。</w:t>
            </w:r>
          </w:p>
        </w:tc>
      </w:tr>
    </w:tbl>
    <w:p>
      <w:pPr>
        <w:rPr>
          <w:vanish/>
        </w:rPr>
      </w:pPr>
    </w:p>
    <w:tbl>
      <w:tblPr>
        <w:tblStyle w:val="7"/>
        <w:tblpPr w:leftFromText="180" w:rightFromText="180" w:vertAnchor="text" w:horzAnchor="page" w:tblpXSpec="center" w:tblpY="17"/>
        <w:tblOverlap w:val="neve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验收通过率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符合安全规定要求</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完工时间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督查企业时间</w:t>
            </w:r>
          </w:p>
        </w:tc>
        <w:tc>
          <w:tcPr>
            <w:tcW w:w="1276"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检查数量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安全检查数量比率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安全认知度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群众接受安全教育程度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安全认知度提高</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企业人员满意度；群众满意度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抽查的满意率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jc w:val="left"/>
        <w:outlineLvl w:val="1"/>
        <w:rPr>
          <w:rFonts w:ascii="方正仿宋_GBK" w:eastAsia="方正仿宋_GBK"/>
          <w:b/>
          <w:sz w:val="28"/>
        </w:rPr>
      </w:pPr>
    </w:p>
    <w:p>
      <w:pPr>
        <w:jc w:val="left"/>
        <w:outlineLvl w:val="1"/>
        <w:rPr>
          <w:rFonts w:ascii="方正仿宋_GBK" w:eastAsia="方正仿宋_GBK"/>
          <w:b/>
          <w:sz w:val="28"/>
        </w:rPr>
      </w:pPr>
      <w:r>
        <w:rPr>
          <w:rFonts w:hint="eastAsia" w:ascii="方正仿宋_GBK" w:eastAsia="方正仿宋_GBK"/>
          <w:b/>
          <w:sz w:val="28"/>
        </w:rPr>
        <w:t>三、综合事务管理</w:t>
      </w:r>
    </w:p>
    <w:tbl>
      <w:tblPr>
        <w:tblStyle w:val="7"/>
        <w:tblpPr w:leftFromText="180" w:rightFromText="180" w:vertAnchor="text" w:horzAnchor="page" w:tblpXSpec="center" w:tblpY="670"/>
        <w:tblOverlap w:val="neve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auto" w:sz="4" w:space="0"/>
              <w:left w:val="single" w:color="auto" w:sz="4" w:space="0"/>
              <w:bottom w:val="single" w:color="auto" w:sz="4" w:space="0"/>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top w:val="single" w:color="auto" w:sz="4" w:space="0"/>
              <w:bottom w:val="single" w:color="auto" w:sz="4" w:space="0"/>
              <w:right w:val="single" w:color="auto" w:sz="4" w:space="0"/>
            </w:tcBorders>
            <w:vAlign w:val="center"/>
          </w:tcPr>
          <w:p>
            <w:pPr>
              <w:spacing w:line="300" w:lineRule="exact"/>
              <w:jc w:val="left"/>
              <w:rPr>
                <w:rFonts w:ascii="方正书宋_GBK" w:eastAsia="方正书宋_GBK"/>
              </w:rPr>
            </w:pPr>
            <w:r>
              <w:rPr>
                <w:rFonts w:hint="eastAsia" w:ascii="方正书宋_GBK" w:eastAsia="方正书宋_GBK"/>
              </w:rPr>
              <w:t>满足园区内企业对公共服务的实际需求。</w:t>
            </w:r>
          </w:p>
        </w:tc>
      </w:tr>
    </w:tbl>
    <w:p>
      <w:pPr>
        <w:rPr>
          <w:vanish/>
        </w:rPr>
      </w:pPr>
    </w:p>
    <w:tbl>
      <w:tblPr>
        <w:tblStyle w:val="7"/>
        <w:tblpPr w:leftFromText="180" w:rightFromText="180" w:vertAnchor="text" w:horzAnchor="page" w:tblpXSpec="center" w:tblpY="60"/>
        <w:tblOverlap w:val="neve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计划完成数量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计划目标完成率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2020</w:t>
            </w:r>
            <w:r>
              <w:rPr>
                <w:rFonts w:hint="eastAsia" w:ascii="方正书宋_GBK" w:eastAsia="方正书宋_GBK"/>
              </w:rPr>
              <w:t>年制定目标第三方绩效评估工作的完成情况</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工作完成时间</w:t>
            </w:r>
          </w:p>
        </w:tc>
        <w:tc>
          <w:tcPr>
            <w:tcW w:w="1276"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满足人们对公共服务需求</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计划实施落实率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群众调查满意率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jc w:val="left"/>
        <w:outlineLvl w:val="1"/>
        <w:rPr>
          <w:rFonts w:ascii="方正仿宋_GBK" w:eastAsia="方正仿宋_GBK"/>
          <w:b/>
          <w:sz w:val="28"/>
        </w:rPr>
      </w:pPr>
    </w:p>
    <w:p>
      <w:pPr>
        <w:tabs>
          <w:tab w:val="left" w:pos="1047"/>
        </w:tabs>
        <w:jc w:val="left"/>
        <w:rPr>
          <w:rFonts w:ascii="方正仿宋_GBK" w:eastAsia="方正仿宋_GBK"/>
          <w:b/>
          <w:sz w:val="28"/>
        </w:rPr>
      </w:pPr>
    </w:p>
    <w:p>
      <w:pPr>
        <w:tabs>
          <w:tab w:val="left" w:pos="1047"/>
        </w:tabs>
        <w:jc w:val="left"/>
      </w:pPr>
      <w:r>
        <w:rPr>
          <w:rFonts w:hint="eastAsia" w:ascii="方正仿宋_GBK" w:eastAsia="方正仿宋_GBK"/>
          <w:b/>
          <w:sz w:val="28"/>
        </w:rPr>
        <w:t>四、维护社会稳定</w:t>
      </w:r>
    </w:p>
    <w:tbl>
      <w:tblPr>
        <w:tblStyle w:val="7"/>
        <w:tblpPr w:leftFromText="180" w:rightFromText="180" w:vertAnchor="text" w:horzAnchor="page" w:tblpXSpec="center" w:tblpY="670"/>
        <w:tblOverlap w:val="neve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auto" w:sz="4" w:space="0"/>
              <w:left w:val="single" w:color="auto" w:sz="4" w:space="0"/>
              <w:bottom w:val="single" w:color="auto" w:sz="4" w:space="0"/>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top w:val="single" w:color="auto" w:sz="4" w:space="0"/>
              <w:bottom w:val="single" w:color="auto" w:sz="4" w:space="0"/>
              <w:right w:val="single" w:color="auto" w:sz="4" w:space="0"/>
            </w:tcBorders>
            <w:vAlign w:val="center"/>
          </w:tcPr>
          <w:p>
            <w:pPr>
              <w:spacing w:line="300" w:lineRule="exact"/>
              <w:jc w:val="left"/>
              <w:rPr>
                <w:rFonts w:ascii="方正书宋_GBK" w:eastAsia="方正书宋_GBK"/>
              </w:rPr>
            </w:pPr>
            <w:r>
              <w:rPr>
                <w:rFonts w:hint="eastAsia" w:ascii="方正书宋_GBK" w:eastAsia="方正书宋_GBK"/>
              </w:rPr>
              <w:t>提高治安防范整体水平；预防和减少重大矛盾纠纷和群体性事件的发生，提高企业法律意识和法律素养。</w:t>
            </w:r>
          </w:p>
        </w:tc>
      </w:tr>
    </w:tbl>
    <w:p>
      <w:pPr>
        <w:rPr>
          <w:vanish/>
        </w:rPr>
      </w:pPr>
    </w:p>
    <w:tbl>
      <w:tblPr>
        <w:tblStyle w:val="7"/>
        <w:tblpPr w:leftFromText="180" w:rightFromText="180" w:vertAnchor="text" w:horzAnchor="page" w:tblpXSpec="center" w:tblpY="1316"/>
        <w:tblOverlap w:val="neve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计划宣传数量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计划目标完成率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社会稳定</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无重大事故发生</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年全年</w:t>
            </w:r>
          </w:p>
        </w:tc>
        <w:tc>
          <w:tcPr>
            <w:tcW w:w="1276"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法律意识、素养提升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计划实施落实率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群众调查满意率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tabs>
          <w:tab w:val="left" w:pos="1047"/>
        </w:tabs>
        <w:jc w:val="left"/>
      </w:pPr>
    </w:p>
    <w:p/>
    <w:p>
      <w:pPr>
        <w:rPr>
          <w:rFonts w:ascii="方正仿宋_GBK" w:eastAsia="方正仿宋_GBK"/>
          <w:b/>
          <w:sz w:val="28"/>
        </w:rPr>
      </w:pPr>
    </w:p>
    <w:p>
      <w:pPr>
        <w:rPr>
          <w:rFonts w:ascii="方正仿宋_GBK" w:eastAsia="方正仿宋_GBK"/>
          <w:b/>
          <w:sz w:val="28"/>
        </w:rPr>
      </w:pPr>
    </w:p>
    <w:p>
      <w:pPr>
        <w:rPr>
          <w:rFonts w:ascii="方正仿宋_GBK" w:eastAsia="方正仿宋_GBK"/>
          <w:b/>
          <w:sz w:val="28"/>
        </w:rPr>
      </w:pPr>
      <w:r>
        <w:rPr>
          <w:rFonts w:hint="eastAsia" w:ascii="方正仿宋_GBK" w:eastAsia="方正仿宋_GBK"/>
          <w:b/>
          <w:sz w:val="28"/>
        </w:rPr>
        <w:t>五、开发区建设</w:t>
      </w:r>
    </w:p>
    <w:tbl>
      <w:tblPr>
        <w:tblStyle w:val="7"/>
        <w:tblpPr w:leftFromText="180" w:rightFromText="180" w:vertAnchor="text" w:horzAnchor="page" w:tblpXSpec="center" w:tblpY="670"/>
        <w:tblOverlap w:val="neve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top w:val="single" w:color="auto" w:sz="4" w:space="0"/>
              <w:left w:val="single" w:color="auto" w:sz="4" w:space="0"/>
              <w:bottom w:val="single" w:color="auto" w:sz="4" w:space="0"/>
            </w:tcBorders>
            <w:vAlign w:val="center"/>
          </w:tcPr>
          <w:p>
            <w:pPr>
              <w:spacing w:line="300" w:lineRule="exact"/>
              <w:jc w:val="center"/>
              <w:rPr>
                <w:rFonts w:ascii="方正书宋_GBK" w:eastAsia="方正书宋_GBK"/>
              </w:rPr>
            </w:pPr>
            <w:r>
              <w:rPr>
                <w:rFonts w:hint="eastAsia" w:ascii="方正书宋_GBK" w:eastAsia="方正书宋_GBK"/>
              </w:rPr>
              <w:t>绩效目标</w:t>
            </w:r>
          </w:p>
        </w:tc>
        <w:tc>
          <w:tcPr>
            <w:tcW w:w="8278" w:type="dxa"/>
            <w:tcBorders>
              <w:top w:val="single" w:color="auto" w:sz="4" w:space="0"/>
              <w:bottom w:val="single" w:color="auto" w:sz="4" w:space="0"/>
              <w:right w:val="single" w:color="auto" w:sz="4" w:space="0"/>
            </w:tcBorders>
            <w:vAlign w:val="center"/>
          </w:tcPr>
          <w:p>
            <w:pPr>
              <w:spacing w:line="300" w:lineRule="exact"/>
              <w:jc w:val="left"/>
              <w:rPr>
                <w:rFonts w:ascii="方正书宋_GBK" w:eastAsia="方正书宋_GBK"/>
              </w:rPr>
            </w:pPr>
            <w:r>
              <w:rPr>
                <w:rFonts w:hint="eastAsia" w:ascii="方正书宋_GBK" w:eastAsia="方正书宋_GBK"/>
              </w:rPr>
              <w:t>实现开发区规划多规合一，科学合理布局，借助交通优势打造新型产业聚集区。加快推进全区基础设施工作，确保</w:t>
            </w:r>
            <w:r>
              <w:rPr>
                <w:rFonts w:ascii="方正书宋_GBK" w:eastAsia="方正书宋_GBK"/>
              </w:rPr>
              <w:t>2020</w:t>
            </w:r>
            <w:r>
              <w:rPr>
                <w:rFonts w:hint="eastAsia" w:ascii="方正书宋_GBK" w:eastAsia="方正书宋_GBK"/>
              </w:rPr>
              <w:t>年全区基础设施建设顺利进行。</w:t>
            </w:r>
          </w:p>
        </w:tc>
      </w:tr>
    </w:tbl>
    <w:p>
      <w:pPr>
        <w:rPr>
          <w:vanish/>
        </w:rPr>
      </w:pPr>
    </w:p>
    <w:tbl>
      <w:tblPr>
        <w:tblStyle w:val="7"/>
        <w:tblpPr w:leftFromText="180" w:rightFromText="180" w:vertAnchor="text" w:horzAnchor="page" w:tblpXSpec="center" w:tblpY="1316"/>
        <w:tblOverlap w:val="never"/>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一级指标</w:t>
            </w:r>
          </w:p>
        </w:tc>
        <w:tc>
          <w:tcPr>
            <w:tcW w:w="1134" w:type="dxa"/>
            <w:vAlign w:val="center"/>
          </w:tcPr>
          <w:p>
            <w:pPr>
              <w:spacing w:line="300" w:lineRule="exact"/>
              <w:jc w:val="center"/>
              <w:rPr>
                <w:rFonts w:ascii="方正书宋_GBK" w:eastAsia="方正书宋_GBK"/>
              </w:rPr>
            </w:pPr>
            <w:r>
              <w:rPr>
                <w:rFonts w:hint="eastAsia" w:ascii="方正书宋_GBK" w:eastAsia="方正书宋_GBK"/>
              </w:rPr>
              <w:t>二级指标</w:t>
            </w:r>
          </w:p>
        </w:tc>
        <w:tc>
          <w:tcPr>
            <w:tcW w:w="1276" w:type="dxa"/>
            <w:vAlign w:val="center"/>
          </w:tcPr>
          <w:p>
            <w:pPr>
              <w:spacing w:line="300" w:lineRule="exact"/>
              <w:jc w:val="center"/>
              <w:rPr>
                <w:rFonts w:ascii="方正书宋_GBK" w:eastAsia="方正书宋_GBK"/>
              </w:rPr>
            </w:pPr>
            <w:r>
              <w:rPr>
                <w:rFonts w:hint="eastAsia" w:ascii="方正书宋_GBK" w:eastAsia="方正书宋_GBK"/>
              </w:rPr>
              <w:t>三级指标</w:t>
            </w:r>
          </w:p>
        </w:tc>
        <w:tc>
          <w:tcPr>
            <w:tcW w:w="2891" w:type="dxa"/>
            <w:vAlign w:val="center"/>
          </w:tcPr>
          <w:p>
            <w:pPr>
              <w:spacing w:line="300" w:lineRule="exact"/>
              <w:jc w:val="center"/>
              <w:rPr>
                <w:rFonts w:ascii="方正书宋_GBK" w:eastAsia="方正书宋_GBK"/>
              </w:rPr>
            </w:pPr>
            <w:r>
              <w:rPr>
                <w:rFonts w:hint="eastAsia" w:ascii="方正书宋_GBK" w:eastAsia="方正书宋_GBK"/>
              </w:rPr>
              <w:t>绩效指标描述</w:t>
            </w:r>
          </w:p>
        </w:tc>
        <w:tc>
          <w:tcPr>
            <w:tcW w:w="1276" w:type="dxa"/>
            <w:vAlign w:val="center"/>
          </w:tcPr>
          <w:p>
            <w:pPr>
              <w:spacing w:line="300" w:lineRule="exact"/>
              <w:jc w:val="center"/>
              <w:rPr>
                <w:rFonts w:ascii="方正书宋_GBK" w:eastAsia="方正书宋_GBK"/>
              </w:rPr>
            </w:pPr>
            <w:r>
              <w:rPr>
                <w:rFonts w:hint="eastAsia" w:ascii="方正书宋_GBK" w:eastAsia="方正书宋_GBK"/>
              </w:rPr>
              <w:t>指标值</w:t>
            </w:r>
          </w:p>
        </w:tc>
        <w:tc>
          <w:tcPr>
            <w:tcW w:w="1701" w:type="dxa"/>
            <w:vAlign w:val="center"/>
          </w:tcPr>
          <w:p>
            <w:pPr>
              <w:spacing w:line="300" w:lineRule="exact"/>
              <w:jc w:val="center"/>
              <w:rPr>
                <w:rFonts w:ascii="方正书宋_GBK" w:eastAsia="方正书宋_GBK"/>
              </w:rPr>
            </w:pPr>
            <w:r>
              <w:rPr>
                <w:rFonts w:hint="eastAsia" w:ascii="方正书宋_GBK" w:eastAsia="方正书宋_GBK"/>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计划建设数量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计划目标完成率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基础设施建设</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工程合格率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年全年</w:t>
            </w:r>
          </w:p>
        </w:tc>
        <w:tc>
          <w:tcPr>
            <w:tcW w:w="1276"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群众调查满意率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bl>
    <w:p/>
    <w:p>
      <w:pPr>
        <w:tabs>
          <w:tab w:val="left" w:pos="2053"/>
        </w:tabs>
        <w:spacing w:line="300" w:lineRule="exact"/>
        <w:jc w:val="left"/>
        <w:rPr>
          <w:rFonts w:ascii="方正仿宋_GBK" w:eastAsia="方正仿宋_GBK"/>
          <w:b/>
          <w:sz w:val="28"/>
        </w:rPr>
      </w:pPr>
    </w:p>
    <w:p>
      <w:pPr>
        <w:tabs>
          <w:tab w:val="left" w:pos="867"/>
        </w:tabs>
        <w:jc w:val="left"/>
      </w:pPr>
    </w:p>
    <w:bookmarkEnd w:id="0"/>
    <w:p>
      <w:pPr>
        <w:spacing w:line="300" w:lineRule="exact"/>
        <w:ind w:firstLine="420" w:firstLineChars="200"/>
        <w:jc w:val="left"/>
        <w:sectPr>
          <w:headerReference r:id="rId3" w:type="default"/>
          <w:footerReference r:id="rId4" w:type="default"/>
          <w:pgSz w:w="11907" w:h="16839" w:orient="landscape"/>
          <w:pgMar w:top="1984" w:right="1304" w:bottom="1134" w:left="1304" w:header="851" w:footer="992" w:gutter="0"/>
          <w:cols w:space="720"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rPr>
          <w:rFonts w:ascii="仿宋" w:hAnsi="仿宋" w:eastAsia="仿宋"/>
        </w:rPr>
      </w:pPr>
      <w:bookmarkStart w:id="4" w:name="_Toc471398468"/>
      <w:r>
        <w:rPr>
          <w:rFonts w:hint="eastAsia" w:ascii="仿宋" w:hAnsi="仿宋" w:eastAsia="仿宋"/>
        </w:rPr>
        <w:t>2020年我单位没有安排政府采购预算，政府采购预算金额为0万元。</w:t>
      </w:r>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703" w:type="dxa"/>
            <w:gridSpan w:val="7"/>
            <w:tcBorders>
              <w:top w:val="single" w:color="FFFFFF" w:sz="6" w:space="0"/>
              <w:left w:val="single" w:color="FFFFFF" w:sz="6" w:space="0"/>
              <w:bottom w:val="single" w:color="000000" w:sz="6" w:space="0"/>
              <w:right w:val="single" w:color="FFFFFF" w:sz="6" w:space="0"/>
            </w:tcBorders>
            <w:vAlign w:val="center"/>
          </w:tcPr>
          <w:p>
            <w:pPr>
              <w:spacing w:line="300" w:lineRule="exact"/>
              <w:ind w:firstLine="480" w:firstLineChars="200"/>
              <w:jc w:val="left"/>
              <w:rPr>
                <w:rFonts w:ascii="方正小标宋_GBK" w:eastAsia="方正小标宋_GBK"/>
                <w:sz w:val="24"/>
                <w:szCs w:val="24"/>
              </w:rPr>
            </w:pPr>
          </w:p>
        </w:tc>
        <w:tc>
          <w:tcPr>
            <w:tcW w:w="6804" w:type="dxa"/>
            <w:gridSpan w:val="6"/>
            <w:tcBorders>
              <w:top w:val="single" w:color="FFFFFF" w:sz="6" w:space="0"/>
              <w:left w:val="nil"/>
              <w:bottom w:val="single" w:color="000000" w:sz="6" w:space="0"/>
              <w:right w:val="single" w:color="FFFFFF" w:sz="6" w:space="0"/>
            </w:tcBorders>
            <w:vAlign w:val="center"/>
          </w:tcPr>
          <w:p>
            <w:pPr>
              <w:spacing w:line="300" w:lineRule="exact"/>
              <w:ind w:firstLine="480" w:firstLineChars="200"/>
              <w:jc w:val="right"/>
              <w:rPr>
                <w:rFonts w:ascii="方正小标宋_GBK" w:eastAsia="方正小标宋_GBK"/>
                <w:sz w:val="24"/>
                <w:szCs w:val="24"/>
              </w:rPr>
            </w:pPr>
            <w:r>
              <w:rPr>
                <w:rFonts w:hint="eastAsia" w:ascii="方正小标宋_GBK" w:eastAsia="方正小标宋_GBK"/>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3118" w:type="dxa"/>
            <w:gridSpan w:val="2"/>
            <w:tcBorders>
              <w:top w:val="single" w:color="000000" w:sz="6" w:space="0"/>
              <w:left w:val="single" w:color="000000" w:sz="6" w:space="0"/>
              <w:bottom w:val="single" w:color="000000" w:sz="6" w:space="0"/>
              <w:right w:val="single" w:color="000000" w:sz="6" w:space="0"/>
            </w:tcBorders>
            <w:vAlign w:val="center"/>
          </w:tcPr>
          <w:p>
            <w:pPr>
              <w:spacing w:line="300" w:lineRule="exact"/>
              <w:ind w:firstLine="422" w:firstLineChars="200"/>
              <w:jc w:val="center"/>
              <w:rPr>
                <w:rFonts w:ascii="方正书宋_GBK" w:eastAsia="方正书宋_GBK"/>
                <w:b/>
                <w:bCs/>
                <w:szCs w:val="21"/>
              </w:rPr>
            </w:pPr>
            <w:r>
              <w:rPr>
                <w:rFonts w:hint="eastAsia" w:ascii="方正书宋_GBK" w:eastAsia="方正书宋_GBK"/>
                <w:b/>
                <w:bCs/>
              </w:rPr>
              <w:t>政府采购项目来源</w:t>
            </w:r>
          </w:p>
        </w:tc>
        <w:tc>
          <w:tcPr>
            <w:tcW w:w="1531" w:type="dxa"/>
            <w:vMerge w:val="restart"/>
            <w:tcBorders>
              <w:top w:val="nil"/>
              <w:left w:val="nil"/>
              <w:bottom w:val="single" w:color="000000" w:sz="6" w:space="0"/>
              <w:right w:val="single" w:color="000000" w:sz="6" w:space="0"/>
            </w:tcBorders>
            <w:vAlign w:val="center"/>
          </w:tcPr>
          <w:p>
            <w:pPr>
              <w:spacing w:line="300" w:lineRule="exact"/>
              <w:ind w:firstLine="422" w:firstLineChars="200"/>
              <w:jc w:val="center"/>
              <w:rPr>
                <w:rFonts w:ascii="方正书宋_GBK" w:eastAsia="方正书宋_GBK"/>
                <w:b/>
                <w:bCs/>
                <w:szCs w:val="21"/>
              </w:rPr>
            </w:pPr>
            <w:r>
              <w:rPr>
                <w:rFonts w:hint="eastAsia" w:ascii="方正书宋_GBK" w:eastAsia="方正书宋_GBK"/>
                <w:b/>
                <w:bCs/>
              </w:rPr>
              <w:t>采购物品名称</w:t>
            </w:r>
          </w:p>
        </w:tc>
        <w:tc>
          <w:tcPr>
            <w:tcW w:w="1531" w:type="dxa"/>
            <w:vMerge w:val="restart"/>
            <w:tcBorders>
              <w:top w:val="single" w:color="000000" w:sz="6" w:space="0"/>
              <w:left w:val="nil"/>
              <w:bottom w:val="single" w:color="000000" w:sz="6" w:space="0"/>
              <w:right w:val="single" w:color="000000" w:sz="6" w:space="0"/>
            </w:tcBorders>
            <w:vAlign w:val="center"/>
          </w:tcPr>
          <w:p>
            <w:pPr>
              <w:spacing w:line="300" w:lineRule="exact"/>
              <w:ind w:firstLine="422" w:firstLineChars="200"/>
              <w:jc w:val="center"/>
              <w:rPr>
                <w:rFonts w:ascii="方正书宋_GBK" w:eastAsia="方正书宋_GBK"/>
                <w:b/>
                <w:bCs/>
                <w:szCs w:val="21"/>
              </w:rPr>
            </w:pPr>
            <w:r>
              <w:rPr>
                <w:rFonts w:hint="eastAsia" w:ascii="方正书宋_GBK" w:eastAsia="方正书宋_GBK"/>
                <w:b/>
                <w:bCs/>
              </w:rPr>
              <w:t>政府采购目录序号</w:t>
            </w:r>
          </w:p>
        </w:tc>
        <w:tc>
          <w:tcPr>
            <w:tcW w:w="709" w:type="dxa"/>
            <w:vMerge w:val="restart"/>
            <w:tcBorders>
              <w:top w:val="single" w:color="000000" w:sz="6" w:space="0"/>
              <w:left w:val="nil"/>
              <w:bottom w:val="single" w:color="000000" w:sz="6" w:space="0"/>
              <w:right w:val="single" w:color="000000" w:sz="6" w:space="0"/>
            </w:tcBorders>
            <w:vAlign w:val="center"/>
          </w:tcPr>
          <w:p>
            <w:pPr>
              <w:spacing w:line="300" w:lineRule="exact"/>
              <w:ind w:firstLine="422" w:firstLineChars="200"/>
              <w:jc w:val="center"/>
              <w:rPr>
                <w:rFonts w:ascii="方正书宋_GBK" w:eastAsia="方正书宋_GBK"/>
                <w:b/>
                <w:bCs/>
                <w:szCs w:val="21"/>
              </w:rPr>
            </w:pPr>
            <w:r>
              <w:rPr>
                <w:rFonts w:hint="eastAsia" w:ascii="方正书宋_GBK" w:eastAsia="方正书宋_GBK"/>
                <w:b/>
                <w:bCs/>
              </w:rPr>
              <w:t>计量  单位</w:t>
            </w:r>
          </w:p>
        </w:tc>
        <w:tc>
          <w:tcPr>
            <w:tcW w:w="907" w:type="dxa"/>
            <w:vMerge w:val="restart"/>
            <w:tcBorders>
              <w:top w:val="single" w:color="000000" w:sz="6" w:space="0"/>
              <w:left w:val="nil"/>
              <w:bottom w:val="single" w:color="000000" w:sz="6" w:space="0"/>
              <w:right w:val="single" w:color="000000" w:sz="6" w:space="0"/>
            </w:tcBorders>
            <w:vAlign w:val="center"/>
          </w:tcPr>
          <w:p>
            <w:pPr>
              <w:spacing w:line="300" w:lineRule="exact"/>
              <w:ind w:firstLine="422" w:firstLineChars="200"/>
              <w:jc w:val="center"/>
              <w:rPr>
                <w:rFonts w:ascii="方正书宋_GBK" w:eastAsia="方正书宋_GBK"/>
                <w:b/>
                <w:bCs/>
                <w:szCs w:val="21"/>
              </w:rPr>
            </w:pPr>
            <w:r>
              <w:rPr>
                <w:rFonts w:hint="eastAsia" w:ascii="方正书宋_GBK" w:eastAsia="方正书宋_GBK"/>
                <w:b/>
                <w:bCs/>
              </w:rPr>
              <w:t>数量</w:t>
            </w:r>
          </w:p>
        </w:tc>
        <w:tc>
          <w:tcPr>
            <w:tcW w:w="907" w:type="dxa"/>
            <w:vMerge w:val="restart"/>
            <w:tcBorders>
              <w:top w:val="single" w:color="000000" w:sz="6" w:space="0"/>
              <w:left w:val="nil"/>
              <w:bottom w:val="single" w:color="000000" w:sz="6" w:space="0"/>
              <w:right w:val="single" w:color="000000" w:sz="6" w:space="0"/>
            </w:tcBorders>
            <w:vAlign w:val="center"/>
          </w:tcPr>
          <w:p>
            <w:pPr>
              <w:spacing w:line="300" w:lineRule="exact"/>
              <w:ind w:firstLine="422" w:firstLineChars="200"/>
              <w:jc w:val="center"/>
              <w:rPr>
                <w:rFonts w:ascii="方正书宋_GBK" w:eastAsia="方正书宋_GBK"/>
                <w:b/>
                <w:bCs/>
                <w:szCs w:val="21"/>
              </w:rPr>
            </w:pPr>
            <w:r>
              <w:rPr>
                <w:rFonts w:hint="eastAsia" w:ascii="方正书宋_GBK" w:eastAsia="方正书宋_GBK"/>
                <w:b/>
                <w:bCs/>
              </w:rPr>
              <w:t>单价</w:t>
            </w:r>
          </w:p>
        </w:tc>
        <w:tc>
          <w:tcPr>
            <w:tcW w:w="6804" w:type="dxa"/>
            <w:gridSpan w:val="6"/>
            <w:tcBorders>
              <w:top w:val="single" w:color="000000" w:sz="6" w:space="0"/>
              <w:left w:val="nil"/>
              <w:bottom w:val="nil"/>
              <w:right w:val="single" w:color="000000" w:sz="6" w:space="0"/>
            </w:tcBorders>
            <w:vAlign w:val="center"/>
          </w:tcPr>
          <w:p>
            <w:pPr>
              <w:spacing w:line="300" w:lineRule="exact"/>
              <w:ind w:firstLine="422" w:firstLineChars="200"/>
              <w:jc w:val="center"/>
              <w:rPr>
                <w:rFonts w:ascii="方正书宋_GBK" w:eastAsia="方正书宋_GBK"/>
                <w:b/>
                <w:bCs/>
                <w:szCs w:val="21"/>
              </w:rPr>
            </w:pPr>
            <w:r>
              <w:rPr>
                <w:rFonts w:hint="eastAsia" w:ascii="方正书宋_GBK" w:eastAsia="方正书宋_GBK"/>
                <w:b/>
                <w:bCs/>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tcBorders>
              <w:top w:val="single" w:color="000000" w:sz="6" w:space="0"/>
              <w:left w:val="single" w:color="000000" w:sz="6" w:space="0"/>
              <w:bottom w:val="single" w:color="000000" w:sz="6" w:space="0"/>
              <w:right w:val="single" w:color="000000" w:sz="6" w:space="0"/>
            </w:tcBorders>
            <w:vAlign w:val="center"/>
          </w:tcPr>
          <w:p>
            <w:pPr>
              <w:spacing w:line="300" w:lineRule="exact"/>
              <w:ind w:firstLine="422" w:firstLineChars="200"/>
              <w:jc w:val="center"/>
              <w:rPr>
                <w:rFonts w:ascii="方正书宋_GBK" w:eastAsia="方正书宋_GBK"/>
                <w:b/>
                <w:bCs/>
                <w:szCs w:val="21"/>
              </w:rPr>
            </w:pPr>
            <w:r>
              <w:rPr>
                <w:rFonts w:hint="eastAsia" w:ascii="方正书宋_GBK" w:eastAsia="方正书宋_GBK"/>
                <w:b/>
                <w:bCs/>
              </w:rPr>
              <w:t>项目名称</w:t>
            </w:r>
          </w:p>
        </w:tc>
        <w:tc>
          <w:tcPr>
            <w:tcW w:w="1134" w:type="dxa"/>
            <w:tcBorders>
              <w:top w:val="single" w:color="000000" w:sz="6" w:space="0"/>
              <w:left w:val="nil"/>
              <w:bottom w:val="single" w:color="000000" w:sz="6" w:space="0"/>
              <w:right w:val="single" w:color="000000" w:sz="6" w:space="0"/>
            </w:tcBorders>
            <w:vAlign w:val="center"/>
          </w:tcPr>
          <w:p>
            <w:pPr>
              <w:spacing w:line="300" w:lineRule="exact"/>
              <w:ind w:firstLine="422" w:firstLineChars="200"/>
              <w:jc w:val="center"/>
              <w:rPr>
                <w:rFonts w:ascii="方正书宋_GBK" w:eastAsia="方正书宋_GBK"/>
                <w:b/>
                <w:bCs/>
                <w:szCs w:val="21"/>
              </w:rPr>
            </w:pPr>
            <w:r>
              <w:rPr>
                <w:rFonts w:hint="eastAsia" w:ascii="方正书宋_GBK" w:eastAsia="方正书宋_GBK"/>
                <w:b/>
                <w:bCs/>
              </w:rPr>
              <w:t>预算资金</w:t>
            </w:r>
          </w:p>
        </w:tc>
        <w:tc>
          <w:tcPr>
            <w:tcW w:w="1531" w:type="dxa"/>
            <w:vMerge w:val="continue"/>
            <w:tcBorders>
              <w:top w:val="nil"/>
              <w:left w:val="nil"/>
              <w:bottom w:val="single" w:color="000000" w:sz="6" w:space="0"/>
              <w:right w:val="single" w:color="000000" w:sz="6" w:space="0"/>
            </w:tcBorders>
            <w:vAlign w:val="center"/>
          </w:tcPr>
          <w:p>
            <w:pPr>
              <w:widowControl/>
              <w:jc w:val="left"/>
              <w:rPr>
                <w:rFonts w:ascii="方正书宋_GBK" w:eastAsia="方正书宋_GBK"/>
                <w:b/>
                <w:bCs/>
                <w:szCs w:val="21"/>
              </w:rPr>
            </w:pPr>
          </w:p>
        </w:tc>
        <w:tc>
          <w:tcPr>
            <w:tcW w:w="1531" w:type="dxa"/>
            <w:vMerge w:val="continue"/>
            <w:tcBorders>
              <w:top w:val="single" w:color="000000" w:sz="6" w:space="0"/>
              <w:left w:val="nil"/>
              <w:bottom w:val="single" w:color="000000" w:sz="6" w:space="0"/>
              <w:right w:val="single" w:color="000000" w:sz="6" w:space="0"/>
            </w:tcBorders>
            <w:vAlign w:val="center"/>
          </w:tcPr>
          <w:p>
            <w:pPr>
              <w:widowControl/>
              <w:jc w:val="left"/>
              <w:rPr>
                <w:rFonts w:ascii="方正书宋_GBK" w:eastAsia="方正书宋_GBK"/>
                <w:b/>
                <w:bCs/>
                <w:szCs w:val="21"/>
              </w:rPr>
            </w:pPr>
          </w:p>
        </w:tc>
        <w:tc>
          <w:tcPr>
            <w:tcW w:w="709" w:type="dxa"/>
            <w:vMerge w:val="continue"/>
            <w:tcBorders>
              <w:top w:val="single" w:color="000000" w:sz="6" w:space="0"/>
              <w:left w:val="nil"/>
              <w:bottom w:val="single" w:color="000000" w:sz="6" w:space="0"/>
              <w:right w:val="single" w:color="000000" w:sz="6" w:space="0"/>
            </w:tcBorders>
            <w:vAlign w:val="center"/>
          </w:tcPr>
          <w:p>
            <w:pPr>
              <w:widowControl/>
              <w:jc w:val="left"/>
              <w:rPr>
                <w:rFonts w:ascii="方正书宋_GBK" w:eastAsia="方正书宋_GBK"/>
                <w:b/>
                <w:bCs/>
                <w:szCs w:val="21"/>
              </w:rPr>
            </w:pPr>
          </w:p>
        </w:tc>
        <w:tc>
          <w:tcPr>
            <w:tcW w:w="907" w:type="dxa"/>
            <w:vMerge w:val="continue"/>
            <w:tcBorders>
              <w:top w:val="single" w:color="000000" w:sz="6" w:space="0"/>
              <w:left w:val="nil"/>
              <w:bottom w:val="single" w:color="000000" w:sz="6" w:space="0"/>
              <w:right w:val="single" w:color="000000" w:sz="6" w:space="0"/>
            </w:tcBorders>
            <w:vAlign w:val="center"/>
          </w:tcPr>
          <w:p>
            <w:pPr>
              <w:widowControl/>
              <w:jc w:val="left"/>
              <w:rPr>
                <w:rFonts w:ascii="方正书宋_GBK" w:eastAsia="方正书宋_GBK"/>
                <w:b/>
                <w:bCs/>
                <w:szCs w:val="21"/>
              </w:rPr>
            </w:pPr>
          </w:p>
        </w:tc>
        <w:tc>
          <w:tcPr>
            <w:tcW w:w="907" w:type="dxa"/>
            <w:vMerge w:val="continue"/>
            <w:tcBorders>
              <w:top w:val="single" w:color="000000" w:sz="6" w:space="0"/>
              <w:left w:val="nil"/>
              <w:bottom w:val="single" w:color="000000" w:sz="6" w:space="0"/>
              <w:right w:val="single" w:color="000000" w:sz="6" w:space="0"/>
            </w:tcBorders>
            <w:vAlign w:val="center"/>
          </w:tcPr>
          <w:p>
            <w:pPr>
              <w:widowControl/>
              <w:jc w:val="left"/>
              <w:rPr>
                <w:rFonts w:ascii="方正书宋_GBK" w:eastAsia="方正书宋_GBK"/>
                <w:b/>
                <w:bCs/>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ind w:firstLine="422" w:firstLineChars="200"/>
              <w:jc w:val="center"/>
              <w:rPr>
                <w:rFonts w:ascii="方正书宋_GBK" w:eastAsia="方正书宋_GBK"/>
                <w:b/>
                <w:bCs/>
                <w:szCs w:val="21"/>
              </w:rPr>
            </w:pPr>
            <w:r>
              <w:rPr>
                <w:rFonts w:hint="eastAsia" w:ascii="方正书宋_GBK" w:eastAsia="方正书宋_GBK"/>
                <w:b/>
                <w:bCs/>
              </w:rPr>
              <w:t>合计</w:t>
            </w:r>
          </w:p>
        </w:tc>
        <w:tc>
          <w:tcPr>
            <w:tcW w:w="1134" w:type="dxa"/>
            <w:tcBorders>
              <w:top w:val="single" w:color="000000" w:sz="6" w:space="0"/>
              <w:left w:val="nil"/>
              <w:bottom w:val="single" w:color="000000" w:sz="6" w:space="0"/>
              <w:right w:val="single" w:color="000000" w:sz="6" w:space="0"/>
            </w:tcBorders>
            <w:vAlign w:val="center"/>
          </w:tcPr>
          <w:p>
            <w:pPr>
              <w:spacing w:line="300" w:lineRule="exact"/>
              <w:ind w:firstLine="422" w:firstLineChars="200"/>
              <w:jc w:val="center"/>
              <w:rPr>
                <w:rFonts w:ascii="方正书宋_GBK" w:eastAsia="方正书宋_GBK"/>
                <w:b/>
                <w:bCs/>
                <w:szCs w:val="21"/>
              </w:rPr>
            </w:pPr>
            <w:r>
              <w:rPr>
                <w:rFonts w:hint="eastAsia" w:ascii="方正书宋_GBK" w:eastAsia="方正书宋_GBK"/>
                <w:b/>
                <w:bCs/>
              </w:rPr>
              <w:t>一般公共预算拨款</w:t>
            </w:r>
          </w:p>
        </w:tc>
        <w:tc>
          <w:tcPr>
            <w:tcW w:w="1134" w:type="dxa"/>
            <w:tcBorders>
              <w:top w:val="single" w:color="000000" w:sz="6" w:space="0"/>
              <w:left w:val="nil"/>
              <w:bottom w:val="single" w:color="000000" w:sz="6" w:space="0"/>
              <w:right w:val="single" w:color="000000" w:sz="6" w:space="0"/>
            </w:tcBorders>
            <w:vAlign w:val="center"/>
          </w:tcPr>
          <w:p>
            <w:pPr>
              <w:spacing w:line="300" w:lineRule="exact"/>
              <w:ind w:firstLine="422" w:firstLineChars="200"/>
              <w:jc w:val="center"/>
              <w:rPr>
                <w:rFonts w:ascii="方正书宋_GBK" w:eastAsia="方正书宋_GBK"/>
                <w:b/>
                <w:bCs/>
                <w:szCs w:val="21"/>
              </w:rPr>
            </w:pPr>
            <w:r>
              <w:rPr>
                <w:rFonts w:hint="eastAsia" w:ascii="方正书宋_GBK" w:eastAsia="方正书宋_GBK"/>
                <w:b/>
                <w:bCs/>
              </w:rPr>
              <w:t>基金预算拨款</w:t>
            </w:r>
          </w:p>
        </w:tc>
        <w:tc>
          <w:tcPr>
            <w:tcW w:w="1134" w:type="dxa"/>
            <w:tcBorders>
              <w:top w:val="single" w:color="000000" w:sz="6" w:space="0"/>
              <w:left w:val="nil"/>
              <w:bottom w:val="single" w:color="000000" w:sz="6" w:space="0"/>
              <w:right w:val="single" w:color="000000" w:sz="6" w:space="0"/>
            </w:tcBorders>
            <w:vAlign w:val="center"/>
          </w:tcPr>
          <w:p>
            <w:pPr>
              <w:spacing w:line="300" w:lineRule="exact"/>
              <w:ind w:firstLine="422" w:firstLineChars="200"/>
              <w:jc w:val="center"/>
              <w:rPr>
                <w:rFonts w:ascii="方正书宋_GBK" w:eastAsia="方正书宋_GBK"/>
                <w:b/>
                <w:bCs/>
                <w:szCs w:val="21"/>
              </w:rPr>
            </w:pPr>
            <w:r>
              <w:rPr>
                <w:rFonts w:hint="eastAsia" w:ascii="方正书宋_GBK" w:eastAsia="方正书宋_GBK"/>
                <w:b/>
                <w:bCs/>
              </w:rPr>
              <w:t>国有资本经营预算拨款</w:t>
            </w:r>
          </w:p>
        </w:tc>
        <w:tc>
          <w:tcPr>
            <w:tcW w:w="1134" w:type="dxa"/>
            <w:tcBorders>
              <w:top w:val="single" w:color="000000" w:sz="6" w:space="0"/>
              <w:left w:val="nil"/>
              <w:bottom w:val="single" w:color="000000" w:sz="6" w:space="0"/>
              <w:right w:val="single" w:color="000000" w:sz="6" w:space="0"/>
            </w:tcBorders>
            <w:vAlign w:val="center"/>
          </w:tcPr>
          <w:p>
            <w:pPr>
              <w:spacing w:line="300" w:lineRule="exact"/>
              <w:ind w:firstLine="422" w:firstLineChars="200"/>
              <w:jc w:val="center"/>
              <w:rPr>
                <w:rFonts w:ascii="方正书宋_GBK" w:eastAsia="方正书宋_GBK"/>
                <w:b/>
                <w:bCs/>
                <w:szCs w:val="21"/>
              </w:rPr>
            </w:pPr>
            <w:r>
              <w:rPr>
                <w:rFonts w:hint="eastAsia" w:ascii="方正书宋_GBK" w:eastAsia="方正书宋_GBK"/>
                <w:b/>
                <w:bCs/>
              </w:rPr>
              <w:t>财政专户核拨</w:t>
            </w:r>
          </w:p>
        </w:tc>
        <w:tc>
          <w:tcPr>
            <w:tcW w:w="1134" w:type="dxa"/>
            <w:tcBorders>
              <w:top w:val="single" w:color="000000" w:sz="6" w:space="0"/>
              <w:left w:val="nil"/>
              <w:bottom w:val="single" w:color="000000" w:sz="6" w:space="0"/>
              <w:right w:val="single" w:color="000000" w:sz="6" w:space="0"/>
            </w:tcBorders>
            <w:vAlign w:val="center"/>
          </w:tcPr>
          <w:p>
            <w:pPr>
              <w:spacing w:line="300" w:lineRule="exact"/>
              <w:ind w:firstLine="422" w:firstLineChars="200"/>
              <w:jc w:val="center"/>
              <w:rPr>
                <w:rFonts w:ascii="方正书宋_GBK" w:eastAsia="方正书宋_GBK"/>
                <w:b/>
                <w:bCs/>
                <w:szCs w:val="21"/>
              </w:rPr>
            </w:pPr>
            <w:r>
              <w:rPr>
                <w:rFonts w:hint="eastAsia" w:ascii="方正书宋_GBK" w:eastAsia="方正书宋_GBK"/>
                <w:b/>
                <w:bCs/>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tcBorders>
              <w:top w:val="single" w:color="000000" w:sz="6" w:space="0"/>
              <w:left w:val="single" w:color="000000" w:sz="6" w:space="0"/>
              <w:bottom w:val="single" w:color="000000" w:sz="6" w:space="0"/>
              <w:right w:val="single" w:color="000000" w:sz="6" w:space="0"/>
            </w:tcBorders>
            <w:vAlign w:val="center"/>
          </w:tcPr>
          <w:p>
            <w:pPr>
              <w:spacing w:line="300" w:lineRule="exact"/>
              <w:ind w:firstLine="422" w:firstLineChars="200"/>
              <w:jc w:val="center"/>
              <w:rPr>
                <w:rFonts w:ascii="方正书宋_GBK" w:eastAsia="方正书宋_GBK"/>
                <w:b/>
                <w:bCs/>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ind w:firstLine="422" w:firstLineChars="200"/>
              <w:jc w:val="right"/>
              <w:rPr>
                <w:rFonts w:ascii="方正书宋_GBK" w:eastAsia="方正书宋_GBK"/>
                <w:b/>
                <w:bCs/>
                <w:szCs w:val="21"/>
              </w:rPr>
            </w:pPr>
          </w:p>
        </w:tc>
        <w:tc>
          <w:tcPr>
            <w:tcW w:w="1531" w:type="dxa"/>
            <w:tcBorders>
              <w:top w:val="single" w:color="000000" w:sz="6" w:space="0"/>
              <w:left w:val="nil"/>
              <w:bottom w:val="single" w:color="000000" w:sz="6" w:space="0"/>
              <w:right w:val="single" w:color="000000" w:sz="6" w:space="0"/>
            </w:tcBorders>
            <w:vAlign w:val="center"/>
          </w:tcPr>
          <w:p>
            <w:pPr>
              <w:spacing w:line="300" w:lineRule="exact"/>
              <w:ind w:firstLine="422" w:firstLineChars="200"/>
              <w:jc w:val="left"/>
              <w:rPr>
                <w:rFonts w:ascii="方正书宋_GBK" w:eastAsia="方正书宋_GBK"/>
                <w:b/>
                <w:bCs/>
                <w:szCs w:val="21"/>
              </w:rPr>
            </w:pPr>
          </w:p>
        </w:tc>
        <w:tc>
          <w:tcPr>
            <w:tcW w:w="1531" w:type="dxa"/>
            <w:tcBorders>
              <w:top w:val="single" w:color="000000" w:sz="6" w:space="0"/>
              <w:left w:val="nil"/>
              <w:bottom w:val="single" w:color="000000" w:sz="6" w:space="0"/>
              <w:right w:val="single" w:color="000000" w:sz="6" w:space="0"/>
            </w:tcBorders>
            <w:vAlign w:val="center"/>
          </w:tcPr>
          <w:p>
            <w:pPr>
              <w:spacing w:line="300" w:lineRule="exact"/>
              <w:ind w:firstLine="422" w:firstLineChars="200"/>
              <w:jc w:val="left"/>
              <w:rPr>
                <w:rFonts w:ascii="方正书宋_GBK" w:eastAsia="方正书宋_GBK"/>
                <w:b/>
                <w:bCs/>
                <w:szCs w:val="21"/>
              </w:rPr>
            </w:pPr>
          </w:p>
        </w:tc>
        <w:tc>
          <w:tcPr>
            <w:tcW w:w="709" w:type="dxa"/>
            <w:tcBorders>
              <w:top w:val="single" w:color="000000" w:sz="6" w:space="0"/>
              <w:left w:val="nil"/>
              <w:bottom w:val="single" w:color="000000" w:sz="6" w:space="0"/>
              <w:right w:val="single" w:color="000000" w:sz="6" w:space="0"/>
            </w:tcBorders>
            <w:vAlign w:val="center"/>
          </w:tcPr>
          <w:p>
            <w:pPr>
              <w:spacing w:line="300" w:lineRule="exact"/>
              <w:ind w:firstLine="422" w:firstLineChars="200"/>
              <w:jc w:val="center"/>
              <w:rPr>
                <w:rFonts w:ascii="方正书宋_GBK" w:eastAsia="方正书宋_GBK"/>
                <w:b/>
                <w:bCs/>
                <w:szCs w:val="21"/>
              </w:rPr>
            </w:pPr>
          </w:p>
        </w:tc>
        <w:tc>
          <w:tcPr>
            <w:tcW w:w="907" w:type="dxa"/>
            <w:tcBorders>
              <w:top w:val="single" w:color="000000" w:sz="6" w:space="0"/>
              <w:left w:val="nil"/>
              <w:bottom w:val="single" w:color="000000" w:sz="6" w:space="0"/>
              <w:right w:val="single" w:color="000000" w:sz="6" w:space="0"/>
            </w:tcBorders>
            <w:vAlign w:val="center"/>
          </w:tcPr>
          <w:p>
            <w:pPr>
              <w:spacing w:line="300" w:lineRule="exact"/>
              <w:ind w:firstLine="422" w:firstLineChars="200"/>
              <w:jc w:val="right"/>
              <w:rPr>
                <w:rFonts w:ascii="方正书宋_GBK" w:eastAsia="方正书宋_GBK"/>
                <w:b/>
                <w:bCs/>
                <w:szCs w:val="21"/>
              </w:rPr>
            </w:pPr>
          </w:p>
        </w:tc>
        <w:tc>
          <w:tcPr>
            <w:tcW w:w="907" w:type="dxa"/>
            <w:tcBorders>
              <w:top w:val="single" w:color="000000" w:sz="6" w:space="0"/>
              <w:left w:val="nil"/>
              <w:bottom w:val="single" w:color="000000" w:sz="6" w:space="0"/>
              <w:right w:val="single" w:color="000000" w:sz="6" w:space="0"/>
            </w:tcBorders>
            <w:vAlign w:val="center"/>
          </w:tcPr>
          <w:p>
            <w:pPr>
              <w:spacing w:line="300" w:lineRule="exact"/>
              <w:ind w:firstLine="422" w:firstLineChars="200"/>
              <w:jc w:val="right"/>
              <w:rPr>
                <w:rFonts w:ascii="方正书宋_GBK" w:eastAsia="方正书宋_GBK"/>
                <w:b/>
                <w:bCs/>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ind w:firstLine="422" w:firstLineChars="200"/>
              <w:jc w:val="right"/>
              <w:rPr>
                <w:rFonts w:ascii="方正书宋_GBK" w:eastAsia="方正书宋_GBK"/>
                <w:b/>
                <w:bCs/>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ind w:firstLine="422" w:firstLineChars="200"/>
              <w:jc w:val="right"/>
              <w:rPr>
                <w:rFonts w:ascii="方正书宋_GBK" w:eastAsia="方正书宋_GBK"/>
                <w:b/>
                <w:bCs/>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ind w:firstLine="422" w:firstLineChars="200"/>
              <w:jc w:val="right"/>
              <w:rPr>
                <w:rFonts w:ascii="方正书宋_GBK" w:eastAsia="方正书宋_GBK"/>
                <w:b/>
                <w:bCs/>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ind w:firstLine="422" w:firstLineChars="200"/>
              <w:jc w:val="right"/>
              <w:rPr>
                <w:rFonts w:ascii="方正书宋_GBK" w:eastAsia="方正书宋_GBK"/>
                <w:b/>
                <w:bCs/>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ind w:firstLine="422" w:firstLineChars="200"/>
              <w:jc w:val="right"/>
              <w:rPr>
                <w:rFonts w:ascii="方正书宋_GBK" w:eastAsia="方正书宋_GBK"/>
                <w:b/>
                <w:bCs/>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ind w:firstLine="422" w:firstLineChars="200"/>
              <w:jc w:val="right"/>
              <w:rPr>
                <w:rFonts w:ascii="方正书宋_GBK" w:eastAsia="方正书宋_GBK"/>
                <w:b/>
                <w:bCs/>
                <w:szCs w:val="21"/>
              </w:rPr>
            </w:pPr>
          </w:p>
        </w:tc>
      </w:tr>
    </w:tbl>
    <w:p>
      <w:pPr>
        <w:ind w:firstLine="640"/>
        <w:jc w:val="left"/>
        <w:rPr>
          <w:rFonts w:hAnsi="宋体" w:eastAsia="仿宋_GB2312"/>
          <w:szCs w:val="21"/>
        </w:rPr>
      </w:pPr>
      <w:r>
        <w:rPr>
          <w:rFonts w:hint="eastAsia" w:ascii="方正书宋_GBK" w:eastAsia="方正书宋_GBK"/>
        </w:rPr>
        <w:t>注：无政府采购预算，空表列示。</w:t>
      </w:r>
    </w:p>
    <w:p>
      <w:pPr>
        <w:ind w:firstLine="640" w:firstLineChars="200"/>
        <w:outlineLvl w:val="0"/>
        <w:rPr>
          <w:rFonts w:ascii="Times New Roman" w:hAnsi="Times New Roman" w:eastAsia="仿宋" w:cs="Times New Roman"/>
          <w:sz w:val="32"/>
          <w:szCs w:val="24"/>
        </w:rPr>
      </w:pPr>
      <w:r>
        <w:rPr>
          <w:rFonts w:hint="eastAsia" w:ascii="Times New Roman" w:hAnsi="Times New Roman" w:eastAsia="仿宋" w:cs="Times New Roman"/>
          <w:sz w:val="32"/>
          <w:szCs w:val="24"/>
        </w:rPr>
        <w:t>。</w:t>
      </w:r>
      <w:bookmarkEnd w:id="4"/>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无极经济开发区</w:t>
      </w:r>
      <w:r>
        <w:rPr>
          <w:rFonts w:ascii="Times New Roman" w:hAnsi="Times New Roman" w:eastAsia="仿宋" w:cs="Times New Roman"/>
          <w:color w:val="000000"/>
          <w:sz w:val="32"/>
          <w:szCs w:val="32"/>
        </w:rPr>
        <w:t>2019</w:t>
      </w:r>
      <w:r>
        <w:rPr>
          <w:rFonts w:hint="eastAsia" w:ascii="Times New Roman" w:hAnsi="Times New Roman" w:eastAsia="仿宋" w:cs="Times New Roman"/>
          <w:color w:val="000000"/>
          <w:sz w:val="32"/>
          <w:szCs w:val="32"/>
        </w:rPr>
        <w:t>年末固定资产金额为</w:t>
      </w:r>
      <w:r>
        <w:rPr>
          <w:rFonts w:ascii="Times New Roman" w:hAnsi="Times New Roman" w:eastAsia="仿宋" w:cs="Times New Roman"/>
          <w:color w:val="000000"/>
          <w:sz w:val="32"/>
          <w:szCs w:val="32"/>
        </w:rPr>
        <w:t>213.08</w:t>
      </w:r>
      <w:r>
        <w:rPr>
          <w:rFonts w:hint="eastAsia" w:ascii="Times New Roman" w:hAnsi="Times New Roman" w:eastAsia="仿宋" w:cs="Times New Roman"/>
          <w:color w:val="000000"/>
          <w:sz w:val="32"/>
          <w:szCs w:val="32"/>
        </w:rPr>
        <w:t>万元（详见下表），本年度无购置固定资产预算。</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585" w:hRule="atLeast"/>
        </w:trPr>
        <w:tc>
          <w:tcPr>
            <w:tcW w:w="13482" w:type="dxa"/>
            <w:gridSpan w:val="3"/>
            <w:tcBorders>
              <w:top w:val="nil"/>
              <w:left w:val="nil"/>
              <w:bottom w:val="nil"/>
              <w:right w:val="nil"/>
            </w:tcBorders>
            <w:vAlign w:val="center"/>
          </w:tcPr>
          <w:p>
            <w:pPr>
              <w:widowControl/>
              <w:jc w:val="center"/>
              <w:rPr>
                <w:rFonts w:ascii="宋体" w:cs="宋体"/>
                <w:b/>
                <w:bCs/>
                <w:kern w:val="0"/>
                <w:sz w:val="32"/>
                <w:szCs w:val="32"/>
              </w:rPr>
            </w:pPr>
            <w:r>
              <w:rPr>
                <w:rFonts w:hint="eastAsia" w:ascii="宋体" w:hAnsi="宋体"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编制部门：郭庄镇</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Times New Roman"/>
                <w:kern w:val="0"/>
                <w:sz w:val="22"/>
              </w:rPr>
              <w:t>截止时间：</w:t>
            </w:r>
            <w:r>
              <w:rPr>
                <w:rFonts w:ascii="Times New Roman" w:hAnsi="Times New Roman" w:eastAsia="仿宋" w:cs="Times New Roman"/>
                <w:kern w:val="0"/>
                <w:sz w:val="22"/>
              </w:rPr>
              <w:t>2019</w:t>
            </w:r>
            <w:r>
              <w:rPr>
                <w:rFonts w:hint="eastAsia" w:ascii="Times New Roman" w:hAnsi="Times New Roman" w:eastAsia="仿宋" w:cs="Times New Roman"/>
                <w:kern w:val="0"/>
                <w:sz w:val="22"/>
              </w:rPr>
              <w:t>年</w:t>
            </w:r>
            <w:r>
              <w:rPr>
                <w:rFonts w:ascii="Times New Roman" w:hAnsi="Times New Roman" w:eastAsia="仿宋" w:cs="Times New Roman"/>
                <w:kern w:val="0"/>
                <w:sz w:val="22"/>
              </w:rPr>
              <w:t>12</w:t>
            </w:r>
            <w:r>
              <w:rPr>
                <w:rFonts w:hint="eastAsia" w:ascii="Times New Roman" w:hAnsi="Times New Roman" w:eastAsia="仿宋" w:cs="Times New Roman"/>
                <w:kern w:val="0"/>
                <w:sz w:val="22"/>
              </w:rPr>
              <w:t>月</w:t>
            </w:r>
            <w:r>
              <w:rPr>
                <w:rFonts w:ascii="Times New Roman" w:hAnsi="Times New Roman" w:eastAsia="仿宋" w:cs="Times New Roman"/>
                <w:kern w:val="0"/>
                <w:sz w:val="22"/>
              </w:rPr>
              <w:t>31</w:t>
            </w:r>
            <w:r>
              <w:rPr>
                <w:rFonts w:hint="eastAsia" w:ascii="Times New Roman" w:hAnsi="Times New Roman" w:eastAsia="仿宋" w:cs="Times New Roman"/>
                <w:kern w:val="0"/>
                <w:sz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213.08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w:t>
            </w:r>
            <w:r>
              <w:rPr>
                <w:rFonts w:hint="eastAsia" w:ascii="Times New Roman" w:hAnsi="Times New Roman" w:eastAsia="仿宋" w:cs="Times New Roman"/>
                <w:kern w:val="0"/>
                <w:sz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w:t>
            </w:r>
            <w:r>
              <w:rPr>
                <w:rFonts w:hint="eastAsia" w:ascii="Times New Roman" w:hAnsi="Times New Roman" w:eastAsia="仿宋" w:cs="Times New Roman"/>
                <w:kern w:val="0"/>
                <w:sz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1</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17.4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、单价在</w:t>
            </w:r>
            <w:r>
              <w:rPr>
                <w:rFonts w:ascii="Times New Roman" w:hAnsi="Times New Roman" w:eastAsia="仿宋" w:cs="Times New Roman"/>
                <w:kern w:val="0"/>
                <w:sz w:val="22"/>
              </w:rPr>
              <w:t>20</w:t>
            </w:r>
            <w:r>
              <w:rPr>
                <w:rFonts w:hint="eastAsia" w:ascii="Times New Roman" w:hAnsi="Times New Roman" w:eastAsia="仿宋" w:cs="Times New Roman"/>
                <w:kern w:val="0"/>
                <w:sz w:val="22"/>
              </w:rPr>
              <w:t>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w:t>
            </w:r>
            <w:r>
              <w:rPr>
                <w:rFonts w:hint="eastAsia" w:ascii="Times New Roman" w:hAnsi="Times New Roman" w:eastAsia="仿宋" w:cs="Times New Roman"/>
                <w:kern w:val="0"/>
                <w:sz w:val="22"/>
              </w:rPr>
              <w:t>、其他固定资产</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195.68</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、一般公共预算拨款收入：指省级财政当年拨付的资金。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Times New Roman"/>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Times New Roman"/>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Times New Roman"/>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Times New Roman"/>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Times New Roman"/>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Times New Roman"/>
          <w:sz w:val="32"/>
          <w:szCs w:val="32"/>
        </w:rPr>
        <w:t>、上年结转：指以前年度尚未完成、结转到本年仍按原规定用途继续使用的资金。</w:t>
      </w:r>
    </w:p>
    <w:p>
      <w:pPr>
        <w:ind w:firstLine="640"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5"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方正仿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宋体-方正超大字符集">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3"/>
    <w:multiLevelType w:val="singleLevel"/>
    <w:tmpl w:val="00000003"/>
    <w:lvl w:ilvl="0" w:tentative="0">
      <w:start w:val="2"/>
      <w:numFmt w:val="chineseCounting"/>
      <w:suff w:val="nothing"/>
      <w:lvlText w:val="%1、"/>
      <w:lvlJc w:val="left"/>
      <w:rPr>
        <w:rFonts w:cs="Times New Roman"/>
      </w:rPr>
    </w:lvl>
  </w:abstractNum>
  <w:abstractNum w:abstractNumId="1">
    <w:nsid w:val="00000005"/>
    <w:multiLevelType w:val="multilevel"/>
    <w:tmpl w:val="00000005"/>
    <w:lvl w:ilvl="0" w:tentative="0">
      <w:start w:val="1"/>
      <w:numFmt w:val="japaneseCounting"/>
      <w:lvlText w:val="（%1）"/>
      <w:lvlJc w:val="left"/>
      <w:pPr>
        <w:ind w:left="1921" w:hanging="1080"/>
      </w:pPr>
      <w:rPr>
        <w:rFonts w:hint="default" w:cs="Times New Roman"/>
      </w:rPr>
    </w:lvl>
    <w:lvl w:ilvl="1" w:tentative="0">
      <w:start w:val="1"/>
      <w:numFmt w:val="lowerLetter"/>
      <w:lvlText w:val="%2)"/>
      <w:lvlJc w:val="left"/>
      <w:pPr>
        <w:ind w:left="1681" w:hanging="420"/>
      </w:pPr>
      <w:rPr>
        <w:rFonts w:cs="Times New Roman"/>
      </w:rPr>
    </w:lvl>
    <w:lvl w:ilvl="2" w:tentative="0">
      <w:start w:val="1"/>
      <w:numFmt w:val="lowerRoman"/>
      <w:lvlText w:val="%3."/>
      <w:lvlJc w:val="right"/>
      <w:pPr>
        <w:ind w:left="2101" w:hanging="420"/>
      </w:pPr>
      <w:rPr>
        <w:rFonts w:cs="Times New Roman"/>
      </w:rPr>
    </w:lvl>
    <w:lvl w:ilvl="3" w:tentative="0">
      <w:start w:val="1"/>
      <w:numFmt w:val="decimal"/>
      <w:lvlText w:val="%4."/>
      <w:lvlJc w:val="left"/>
      <w:pPr>
        <w:ind w:left="2521" w:hanging="420"/>
      </w:pPr>
      <w:rPr>
        <w:rFonts w:cs="Times New Roman"/>
      </w:rPr>
    </w:lvl>
    <w:lvl w:ilvl="4" w:tentative="0">
      <w:start w:val="1"/>
      <w:numFmt w:val="lowerLetter"/>
      <w:lvlText w:val="%5)"/>
      <w:lvlJc w:val="left"/>
      <w:pPr>
        <w:ind w:left="2941" w:hanging="420"/>
      </w:pPr>
      <w:rPr>
        <w:rFonts w:cs="Times New Roman"/>
      </w:rPr>
    </w:lvl>
    <w:lvl w:ilvl="5" w:tentative="0">
      <w:start w:val="1"/>
      <w:numFmt w:val="lowerRoman"/>
      <w:lvlText w:val="%6."/>
      <w:lvlJc w:val="right"/>
      <w:pPr>
        <w:ind w:left="3361" w:hanging="420"/>
      </w:pPr>
      <w:rPr>
        <w:rFonts w:cs="Times New Roman"/>
      </w:rPr>
    </w:lvl>
    <w:lvl w:ilvl="6" w:tentative="0">
      <w:start w:val="1"/>
      <w:numFmt w:val="decimal"/>
      <w:lvlText w:val="%7."/>
      <w:lvlJc w:val="left"/>
      <w:pPr>
        <w:ind w:left="3781" w:hanging="420"/>
      </w:pPr>
      <w:rPr>
        <w:rFonts w:cs="Times New Roman"/>
      </w:rPr>
    </w:lvl>
    <w:lvl w:ilvl="7" w:tentative="0">
      <w:start w:val="1"/>
      <w:numFmt w:val="lowerLetter"/>
      <w:lvlText w:val="%8)"/>
      <w:lvlJc w:val="left"/>
      <w:pPr>
        <w:ind w:left="4201" w:hanging="420"/>
      </w:pPr>
      <w:rPr>
        <w:rFonts w:cs="Times New Roman"/>
      </w:rPr>
    </w:lvl>
    <w:lvl w:ilvl="8" w:tentative="0">
      <w:start w:val="1"/>
      <w:numFmt w:val="lowerRoman"/>
      <w:lvlText w:val="%9."/>
      <w:lvlJc w:val="right"/>
      <w:pPr>
        <w:ind w:left="4621" w:hanging="420"/>
      </w:pPr>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41046"/>
    <w:rsid w:val="003A4A07"/>
    <w:rsid w:val="00841046"/>
    <w:rsid w:val="00A0564C"/>
    <w:rsid w:val="00DA43B6"/>
    <w:rsid w:val="00F21F54"/>
    <w:rsid w:val="185A72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nhideWhenUsed="0" w:uiPriority="0" w:semiHidden="0"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footer"/>
    <w:basedOn w:val="1"/>
    <w:link w:val="11"/>
    <w:uiPriority w:val="0"/>
    <w:pPr>
      <w:tabs>
        <w:tab w:val="center" w:pos="4153"/>
        <w:tab w:val="right" w:pos="8306"/>
      </w:tabs>
      <w:snapToGrid w:val="0"/>
      <w:jc w:val="left"/>
    </w:pPr>
    <w:rPr>
      <w:rFonts w:ascii="Times New Roman" w:hAnsi="Times New Roman" w:cs="Times New Roman"/>
      <w:sz w:val="18"/>
    </w:rPr>
  </w:style>
  <w:style w:type="paragraph" w:styleId="3">
    <w:name w:val="header"/>
    <w:basedOn w:val="1"/>
    <w:link w:val="12"/>
    <w:uiPriority w:val="0"/>
    <w:pPr>
      <w:pBdr>
        <w:bottom w:val="single" w:color="auto" w:sz="6" w:space="1"/>
      </w:pBdr>
      <w:tabs>
        <w:tab w:val="center" w:pos="4153"/>
        <w:tab w:val="right" w:pos="8306"/>
      </w:tabs>
      <w:snapToGrid w:val="0"/>
      <w:jc w:val="center"/>
    </w:pPr>
    <w:rPr>
      <w:rFonts w:ascii="Times New Roman" w:hAnsi="Times New Roman" w:cs="Times New Roman"/>
      <w:sz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link w:val="13"/>
    <w:uiPriority w:val="0"/>
    <w:pPr>
      <w:snapToGrid w:val="0"/>
      <w:jc w:val="left"/>
    </w:pPr>
    <w:rPr>
      <w:sz w:val="18"/>
      <w:szCs w:val="18"/>
    </w:rPr>
  </w:style>
  <w:style w:type="paragraph" w:styleId="6">
    <w:name w:val="toc 2"/>
    <w:basedOn w:val="1"/>
    <w:next w:val="1"/>
    <w:uiPriority w:val="0"/>
    <w:pPr>
      <w:ind w:left="420" w:leftChars="200"/>
    </w:pPr>
    <w:rPr>
      <w:rFonts w:ascii="Times New Roman" w:hAnsi="Times New Roman" w:cs="Times New Roman"/>
      <w:szCs w:val="24"/>
    </w:rPr>
  </w:style>
  <w:style w:type="character" w:styleId="9">
    <w:name w:val="footnote reference"/>
    <w:qFormat/>
    <w:uiPriority w:val="0"/>
    <w:rPr>
      <w:rFonts w:cs="Times New Roman"/>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脚 Char"/>
    <w:link w:val="2"/>
    <w:semiHidden/>
    <w:uiPriority w:val="0"/>
    <w:rPr>
      <w:rFonts w:ascii="Times New Roman" w:hAnsi="Times New Roman" w:eastAsia="宋体" w:cs="Times New Roman"/>
      <w:sz w:val="18"/>
    </w:rPr>
  </w:style>
  <w:style w:type="character" w:customStyle="1" w:styleId="12">
    <w:name w:val="页眉 Char"/>
    <w:link w:val="3"/>
    <w:semiHidden/>
    <w:qFormat/>
    <w:uiPriority w:val="0"/>
    <w:rPr>
      <w:rFonts w:ascii="Times New Roman" w:hAnsi="Times New Roman" w:eastAsia="宋体" w:cs="Times New Roman"/>
      <w:sz w:val="18"/>
    </w:rPr>
  </w:style>
  <w:style w:type="character" w:customStyle="1" w:styleId="13">
    <w:name w:val="脚注文本 Char"/>
    <w:link w:val="5"/>
    <w:semiHidden/>
    <w:uiPriority w:val="0"/>
    <w:rPr>
      <w:rFonts w:ascii="Calibri" w:hAnsi="Calibri" w:cs="黑体"/>
      <w:sz w:val="18"/>
      <w:szCs w:val="18"/>
    </w:rPr>
  </w:style>
  <w:style w:type="character" w:customStyle="1" w:styleId="14">
    <w:name w:val="页码1"/>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11</Pages>
  <Words>729</Words>
  <Characters>4156</Characters>
  <Lines>34</Lines>
  <Paragraphs>9</Paragraphs>
  <TotalTime>2</TotalTime>
  <ScaleCrop>false</ScaleCrop>
  <LinksUpToDate>false</LinksUpToDate>
  <CharactersWithSpaces>4876</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Administrator</cp:lastModifiedBy>
  <cp:lastPrinted>2020-01-10T23:53:00Z</cp:lastPrinted>
  <dcterms:modified xsi:type="dcterms:W3CDTF">2024-01-16T03:26:14Z</dcterms:modified>
  <dc:title>o</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68D2F512A1214D6B85DE40A573DA378C</vt:lpwstr>
  </property>
</Properties>
</file>