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jc w:val="center"/>
        <w:rPr>
          <w:rFonts w:ascii="宋体" w:hAnsi="宋体" w:cs="宋体"/>
          <w:b/>
          <w:bCs/>
          <w:sz w:val="44"/>
          <w:szCs w:val="44"/>
        </w:rPr>
      </w:pPr>
      <w:r>
        <w:rPr>
          <w:rFonts w:hint="eastAsia" w:ascii="宋体" w:hAnsi="宋体" w:cs="宋体"/>
          <w:b/>
          <w:bCs/>
          <w:sz w:val="44"/>
          <w:szCs w:val="44"/>
        </w:rPr>
        <w:t>河北无极经济开发区</w:t>
      </w:r>
    </w:p>
    <w:p>
      <w:pPr>
        <w:jc w:val="center"/>
        <w:rPr>
          <w:rFonts w:ascii="宋体" w:hAnsi="宋体" w:cs="宋体"/>
          <w:b/>
          <w:bCs/>
          <w:sz w:val="44"/>
          <w:szCs w:val="44"/>
        </w:rPr>
      </w:pPr>
      <w:bookmarkStart w:id="1" w:name="_GoBack"/>
      <w:r>
        <w:rPr>
          <w:rFonts w:hint="eastAsia" w:ascii="宋体" w:hAnsi="宋体" w:cs="宋体"/>
          <w:b/>
          <w:bCs/>
          <w:sz w:val="44"/>
          <w:szCs w:val="44"/>
        </w:rPr>
        <w:t>201</w:t>
      </w:r>
      <w:r>
        <w:rPr>
          <w:rFonts w:ascii="宋体" w:hAnsi="宋体" w:cs="宋体"/>
          <w:b/>
          <w:bCs/>
          <w:sz w:val="44"/>
          <w:szCs w:val="44"/>
        </w:rPr>
        <w:t>9</w:t>
      </w:r>
      <w:r>
        <w:rPr>
          <w:rFonts w:hint="eastAsia" w:ascii="宋体" w:hAnsi="宋体" w:cs="宋体"/>
          <w:b/>
          <w:bCs/>
          <w:sz w:val="44"/>
          <w:szCs w:val="44"/>
        </w:rPr>
        <w:t>年部门预算信息公开说明目录</w:t>
      </w:r>
    </w:p>
    <w:p/>
    <w:bookmarkEnd w:id="1"/>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、《地方预决算公开操作规程》和《河北省省级预算公开办法》规定，现将河北无极经济开发区201</w:t>
      </w:r>
      <w:r>
        <w:rPr>
          <w:rFonts w:ascii="仿宋_GB2312" w:hAnsi="仿宋" w:eastAsia="仿宋_GB2312" w:cs="仿宋"/>
          <w:sz w:val="32"/>
          <w:szCs w:val="32"/>
        </w:rPr>
        <w:t>9</w:t>
      </w:r>
      <w:r>
        <w:rPr>
          <w:rFonts w:hint="eastAsia" w:ascii="仿宋_GB2312" w:hAnsi="仿宋" w:eastAsia="仿宋_GB2312" w:cs="仿宋"/>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5"/>
        <w:rPr>
          <w:rFonts w:ascii="仿宋" w:hAnsi="仿宋" w:eastAsia="仿宋" w:cs="仿宋_GB2312"/>
          <w:sz w:val="32"/>
          <w:szCs w:val="32"/>
        </w:rPr>
      </w:pPr>
      <w:r>
        <w:rPr>
          <w:rFonts w:hint="eastAsia" w:ascii="仿宋_GB2312" w:hAnsi="仿宋" w:eastAsia="仿宋_GB2312" w:cs="仿宋"/>
          <w:sz w:val="32"/>
          <w:szCs w:val="32"/>
        </w:rPr>
        <w:t>编制辖区的总体规划和经济、社会发展规划，经批准后组织实施；编制辖区区域性城市发展规划、国土利用规划，经批准后组织实施；审核或审批辖区固定资产投资项目；负责辖区基础设施、公用设施的建设与管理；负责辖区财政管理，实施辖区内财政预算、决算、国有资产管理和财政监督工作；负责招商引资、进出口贸易和国内外经济技术合作工作；对区内上级有关部门派驻机构实施双重领导；负责无极县政府交办的其他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p>
    <w:p>
      <w:pPr>
        <w:jc w:val="center"/>
        <w:rPr>
          <w:rFonts w:ascii="仿宋" w:hAnsi="仿宋" w:eastAsia="仿宋"/>
          <w:sz w:val="32"/>
          <w:szCs w:val="32"/>
        </w:rPr>
      </w:pPr>
    </w:p>
    <w:p>
      <w:pPr>
        <w:jc w:val="center"/>
        <w:rPr>
          <w:rFonts w:ascii="仿宋" w:hAnsi="仿宋" w:eastAsia="仿宋"/>
          <w:sz w:val="32"/>
          <w:szCs w:val="32"/>
        </w:rPr>
      </w:pPr>
    </w:p>
    <w:p>
      <w:pPr>
        <w:jc w:val="center"/>
        <w:rPr>
          <w:rFonts w:ascii="仿宋" w:hAnsi="仿宋" w:eastAsia="仿宋"/>
          <w:sz w:val="32"/>
          <w:szCs w:val="32"/>
        </w:rPr>
      </w:pPr>
      <w:r>
        <w:rPr>
          <w:rFonts w:hint="eastAsia" w:ascii="仿宋" w:hAnsi="仿宋" w:eastAsia="仿宋"/>
          <w:sz w:val="32"/>
          <w:szCs w:val="32"/>
        </w:rPr>
        <w:t>部门机构设置情况</w:t>
      </w:r>
    </w:p>
    <w:tbl>
      <w:tblPr>
        <w:tblStyle w:val="6"/>
        <w:tblW w:w="89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9"/>
        <w:gridCol w:w="1601"/>
        <w:gridCol w:w="1418"/>
        <w:gridCol w:w="20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9"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b/>
                <w:sz w:val="24"/>
              </w:rPr>
            </w:pPr>
            <w:r>
              <w:rPr>
                <w:rFonts w:hint="eastAsia" w:ascii="宋体" w:hAnsi="宋体" w:cs="宋体"/>
                <w:b/>
                <w:sz w:val="24"/>
              </w:rPr>
              <w:t>单位名称</w:t>
            </w:r>
          </w:p>
        </w:tc>
        <w:tc>
          <w:tcPr>
            <w:tcW w:w="160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b/>
                <w:sz w:val="24"/>
              </w:rPr>
            </w:pPr>
            <w:r>
              <w:rPr>
                <w:rFonts w:hint="eastAsia" w:ascii="宋体" w:hAnsi="宋体" w:cs="宋体"/>
                <w:b/>
                <w:sz w:val="24"/>
              </w:rPr>
              <w:t>单位性质</w:t>
            </w:r>
          </w:p>
        </w:tc>
        <w:tc>
          <w:tcPr>
            <w:tcW w:w="1418"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b/>
                <w:sz w:val="24"/>
              </w:rPr>
            </w:pPr>
            <w:r>
              <w:rPr>
                <w:rFonts w:hint="eastAsia" w:ascii="宋体" w:hAnsi="宋体" w:cs="宋体"/>
                <w:b/>
                <w:sz w:val="24"/>
              </w:rPr>
              <w:t>单位规格</w:t>
            </w:r>
          </w:p>
        </w:tc>
        <w:tc>
          <w:tcPr>
            <w:tcW w:w="2094"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b/>
                <w:sz w:val="24"/>
              </w:rPr>
            </w:pPr>
            <w:r>
              <w:rPr>
                <w:rFonts w:hint="eastAsia" w:ascii="宋体" w:hAnsi="宋体" w:cs="宋体"/>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tblHeader/>
          <w:jc w:val="center"/>
        </w:trPr>
        <w:tc>
          <w:tcPr>
            <w:tcW w:w="3829"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hAnsi="Calibri" w:eastAsia="方正书宋_GBK"/>
                <w:b/>
                <w:sz w:val="24"/>
              </w:rPr>
            </w:pPr>
          </w:p>
        </w:tc>
        <w:tc>
          <w:tcPr>
            <w:tcW w:w="1601"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hAnsi="Calibri" w:eastAsia="方正书宋_GBK"/>
                <w:b/>
                <w:sz w:val="24"/>
              </w:rPr>
            </w:pPr>
          </w:p>
        </w:tc>
        <w:tc>
          <w:tcPr>
            <w:tcW w:w="141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hAnsi="Calibri" w:eastAsia="方正书宋_GBK"/>
                <w:b/>
                <w:sz w:val="24"/>
              </w:rPr>
            </w:pPr>
          </w:p>
        </w:tc>
        <w:tc>
          <w:tcPr>
            <w:tcW w:w="2094"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hAnsi="Calibri" w:eastAsia="方正书宋_GBK"/>
                <w:b/>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4" w:hRule="atLeast"/>
          <w:jc w:val="center"/>
        </w:trPr>
        <w:tc>
          <w:tcPr>
            <w:tcW w:w="382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hAnsi="Calibri" w:eastAsia="方正书宋_GBK"/>
                <w:sz w:val="24"/>
              </w:rPr>
            </w:pPr>
            <w:r>
              <w:rPr>
                <w:rFonts w:hint="eastAsia" w:ascii="宋体" w:hAnsi="宋体" w:cs="宋体"/>
                <w:sz w:val="24"/>
              </w:rPr>
              <w:t>河北无极经济开发区管理委员会</w:t>
            </w:r>
          </w:p>
        </w:tc>
        <w:tc>
          <w:tcPr>
            <w:tcW w:w="160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sz w:val="24"/>
              </w:rPr>
            </w:pPr>
            <w:r>
              <w:rPr>
                <w:rFonts w:hint="eastAsia" w:ascii="宋体" w:hAnsi="宋体" w:cs="宋体"/>
                <w:sz w:val="24"/>
              </w:rPr>
              <w:t>行政</w:t>
            </w:r>
          </w:p>
        </w:tc>
        <w:tc>
          <w:tcPr>
            <w:tcW w:w="141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sz w:val="24"/>
              </w:rPr>
            </w:pPr>
            <w:r>
              <w:rPr>
                <w:rFonts w:hint="eastAsia" w:ascii="宋体" w:hAnsi="宋体" w:cs="宋体"/>
                <w:sz w:val="24"/>
              </w:rPr>
              <w:t>副处级</w:t>
            </w:r>
          </w:p>
        </w:tc>
        <w:tc>
          <w:tcPr>
            <w:tcW w:w="209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Calibri" w:eastAsia="方正书宋_GBK"/>
                <w:sz w:val="24"/>
              </w:rPr>
            </w:pPr>
            <w:r>
              <w:rPr>
                <w:rFonts w:hint="eastAsia" w:ascii="宋体" w:hAnsi="宋体" w:cs="宋体"/>
                <w:sz w:val="24"/>
              </w:rPr>
              <w:t>财政拨款</w:t>
            </w:r>
          </w:p>
        </w:tc>
      </w:tr>
    </w:tbl>
    <w:p>
      <w:pP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adjustRightInd w:val="0"/>
        <w:snapToGrid w:val="0"/>
        <w:spacing w:line="600" w:lineRule="exact"/>
        <w:ind w:firstLine="640" w:firstLineChars="200"/>
        <w:jc w:val="left"/>
        <w:rPr>
          <w:rFonts w:ascii="仿宋_GB2312" w:hAnsi="Calibri" w:eastAsia="仿宋_GB2312" w:cs="仿宋_GB2312"/>
          <w:bCs/>
          <w:sz w:val="32"/>
          <w:szCs w:val="32"/>
        </w:rPr>
      </w:pPr>
      <w:r>
        <w:rPr>
          <w:rFonts w:hint="eastAsia" w:ascii="仿宋_GB2312" w:hAnsi="Calibri" w:eastAsia="仿宋_GB2312" w:cs="仿宋_GB2312"/>
          <w:bCs/>
          <w:sz w:val="32"/>
          <w:szCs w:val="32"/>
        </w:rPr>
        <w:t>无极县开发区201</w:t>
      </w:r>
      <w:r>
        <w:rPr>
          <w:rFonts w:ascii="仿宋_GB2312" w:hAnsi="Calibri" w:eastAsia="仿宋_GB2312" w:cs="仿宋_GB2312"/>
          <w:bCs/>
          <w:sz w:val="32"/>
          <w:szCs w:val="32"/>
        </w:rPr>
        <w:t>9</w:t>
      </w:r>
      <w:r>
        <w:rPr>
          <w:rFonts w:hint="eastAsia" w:ascii="仿宋_GB2312" w:hAnsi="Calibri" w:eastAsia="仿宋_GB2312" w:cs="仿宋_GB2312"/>
          <w:bCs/>
          <w:sz w:val="32"/>
          <w:szCs w:val="32"/>
        </w:rPr>
        <w:t>年预算收入总计</w:t>
      </w:r>
      <w:r>
        <w:rPr>
          <w:rFonts w:ascii="仿宋_GB2312" w:hAnsi="Calibri" w:eastAsia="仿宋_GB2312" w:cs="仿宋_GB2312"/>
          <w:bCs/>
          <w:sz w:val="32"/>
          <w:szCs w:val="32"/>
        </w:rPr>
        <w:t>782.89</w:t>
      </w:r>
      <w:r>
        <w:rPr>
          <w:rFonts w:hint="eastAsia" w:ascii="仿宋_GB2312" w:hAnsi="Calibri" w:eastAsia="仿宋_GB2312" w:cs="仿宋_GB2312"/>
          <w:bCs/>
          <w:sz w:val="32"/>
          <w:szCs w:val="32"/>
        </w:rPr>
        <w:t>万元。其中，一般公共预算收入</w:t>
      </w:r>
      <w:r>
        <w:rPr>
          <w:rFonts w:ascii="仿宋_GB2312" w:hAnsi="Calibri" w:eastAsia="仿宋_GB2312" w:cs="仿宋_GB2312"/>
          <w:bCs/>
          <w:sz w:val="32"/>
          <w:szCs w:val="32"/>
        </w:rPr>
        <w:t>782.89</w:t>
      </w:r>
      <w:r>
        <w:rPr>
          <w:rFonts w:hint="eastAsia" w:ascii="仿宋_GB2312" w:hAnsi="Calibri" w:eastAsia="仿宋_GB2312" w:cs="仿宋_GB2312"/>
          <w:bCs/>
          <w:sz w:val="32"/>
          <w:szCs w:val="32"/>
        </w:rPr>
        <w:t>万元、政府性基金收入0万元、财政专户核拨收入0万元，其他来源收入0万元。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w:t>
      </w:r>
      <w:r>
        <w:rPr>
          <w:rFonts w:ascii="仿宋_GB2312" w:eastAsia="仿宋_GB2312" w:cs="仿宋_GB2312"/>
          <w:bCs/>
          <w:sz w:val="32"/>
          <w:szCs w:val="32"/>
        </w:rPr>
        <w:t>9</w:t>
      </w:r>
      <w:r>
        <w:rPr>
          <w:rFonts w:hint="eastAsia" w:ascii="仿宋_GB2312" w:eastAsia="仿宋_GB2312" w:cs="仿宋_GB2312"/>
          <w:bCs/>
          <w:sz w:val="32"/>
          <w:szCs w:val="32"/>
        </w:rPr>
        <w:t>年预算支出</w:t>
      </w:r>
      <w:r>
        <w:rPr>
          <w:rFonts w:ascii="仿宋_GB2312" w:eastAsia="仿宋_GB2312" w:cs="仿宋_GB2312"/>
          <w:bCs/>
          <w:sz w:val="32"/>
          <w:szCs w:val="32"/>
        </w:rPr>
        <w:t>782.89</w:t>
      </w:r>
      <w:r>
        <w:rPr>
          <w:rFonts w:hint="eastAsia" w:ascii="仿宋_GB2312" w:eastAsia="仿宋_GB2312" w:cs="仿宋_GB2312"/>
          <w:bCs/>
          <w:sz w:val="32"/>
          <w:szCs w:val="32"/>
        </w:rPr>
        <w:t>万元。其中，人员经费支出</w:t>
      </w:r>
      <w:r>
        <w:rPr>
          <w:rFonts w:ascii="仿宋_GB2312" w:eastAsia="仿宋_GB2312" w:cs="仿宋_GB2312"/>
          <w:bCs/>
          <w:sz w:val="32"/>
          <w:szCs w:val="32"/>
        </w:rPr>
        <w:t>150.41</w:t>
      </w:r>
      <w:r>
        <w:rPr>
          <w:rFonts w:hint="eastAsia" w:ascii="仿宋_GB2312" w:eastAsia="仿宋_GB2312" w:cs="仿宋_GB2312"/>
          <w:bCs/>
          <w:sz w:val="32"/>
          <w:szCs w:val="32"/>
        </w:rPr>
        <w:t>万元，正常公用经费</w:t>
      </w:r>
      <w:r>
        <w:rPr>
          <w:rFonts w:ascii="仿宋_GB2312" w:eastAsia="仿宋_GB2312" w:cs="仿宋_GB2312"/>
          <w:bCs/>
          <w:sz w:val="32"/>
          <w:szCs w:val="32"/>
        </w:rPr>
        <w:t>15.50</w:t>
      </w:r>
      <w:r>
        <w:rPr>
          <w:rFonts w:hint="eastAsia" w:ascii="仿宋_GB2312" w:eastAsia="仿宋_GB2312" w:cs="仿宋_GB2312"/>
          <w:bCs/>
          <w:sz w:val="32"/>
          <w:szCs w:val="32"/>
        </w:rPr>
        <w:t>万元，项目支出</w:t>
      </w:r>
      <w:r>
        <w:rPr>
          <w:rFonts w:ascii="仿宋_GB2312" w:eastAsia="仿宋_GB2312" w:cs="仿宋_GB2312"/>
          <w:bCs/>
          <w:sz w:val="32"/>
          <w:szCs w:val="32"/>
        </w:rPr>
        <w:t>616.98</w:t>
      </w:r>
      <w:r>
        <w:rPr>
          <w:rFonts w:hint="eastAsia" w:ascii="仿宋_GB2312" w:eastAsia="仿宋_GB2312" w:cs="仿宋_GB2312"/>
          <w:bCs/>
          <w:sz w:val="32"/>
          <w:szCs w:val="32"/>
        </w:rPr>
        <w:t>万元。</w:t>
      </w:r>
    </w:p>
    <w:p>
      <w:pPr>
        <w:ind w:firstLine="645"/>
        <w:rPr>
          <w:rFonts w:ascii="楷体" w:hAnsi="楷体" w:eastAsia="楷体"/>
          <w:sz w:val="32"/>
          <w:szCs w:val="32"/>
        </w:rPr>
      </w:pPr>
      <w:r>
        <w:rPr>
          <w:rFonts w:hint="eastAsia" w:ascii="楷体" w:hAnsi="楷体" w:eastAsia="楷体"/>
          <w:sz w:val="32"/>
          <w:szCs w:val="32"/>
        </w:rPr>
        <w:t>（三）比上年增减情况</w:t>
      </w:r>
    </w:p>
    <w:p>
      <w:pPr>
        <w:ind w:firstLine="645"/>
        <w:rPr>
          <w:rFonts w:ascii="楷体" w:hAnsi="楷体" w:eastAsia="楷体"/>
          <w:sz w:val="32"/>
          <w:szCs w:val="32"/>
        </w:rPr>
      </w:pPr>
      <w:r>
        <w:rPr>
          <w:rFonts w:hint="eastAsia" w:ascii="仿宋_GB2312" w:eastAsia="仿宋_GB2312" w:cs="仿宋_GB2312"/>
          <w:bCs/>
          <w:sz w:val="32"/>
          <w:szCs w:val="32"/>
        </w:rPr>
        <w:t>与2017年相比增加</w:t>
      </w:r>
      <w:r>
        <w:rPr>
          <w:rFonts w:ascii="仿宋_GB2312" w:eastAsia="仿宋_GB2312" w:cs="仿宋_GB2312"/>
          <w:bCs/>
          <w:sz w:val="32"/>
          <w:szCs w:val="32"/>
        </w:rPr>
        <w:t>430.54</w:t>
      </w:r>
      <w:r>
        <w:rPr>
          <w:rFonts w:hint="eastAsia" w:ascii="仿宋_GB2312" w:eastAsia="仿宋_GB2312" w:cs="仿宋_GB2312"/>
          <w:bCs/>
          <w:sz w:val="32"/>
          <w:szCs w:val="32"/>
        </w:rPr>
        <w:t>万元，增加的主要原因是人员工资增加及基础设施建设项目支出增加。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autoSpaceDE w:val="0"/>
        <w:autoSpaceDN w:val="0"/>
        <w:adjustRightInd w:val="0"/>
        <w:ind w:left="198" w:firstLine="640"/>
        <w:jc w:val="left"/>
        <w:rPr>
          <w:rFonts w:ascii="仿宋" w:hAnsi="仿宋" w:eastAsia="仿宋" w:cs="仿宋"/>
          <w:color w:val="FF0000"/>
          <w:sz w:val="32"/>
          <w:szCs w:val="32"/>
        </w:rPr>
      </w:pPr>
      <w:r>
        <w:rPr>
          <w:rFonts w:hint="eastAsia" w:ascii="仿宋_GB2312" w:hAnsi="仿宋_GB2312" w:eastAsia="仿宋_GB2312" w:cs="仿宋_GB2312"/>
          <w:sz w:val="32"/>
          <w:szCs w:val="32"/>
        </w:rPr>
        <w:t>201</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年机关运行经费共计安排</w:t>
      </w:r>
      <w:r>
        <w:rPr>
          <w:rFonts w:ascii="仿宋_GB2312" w:hAnsi="仿宋_GB2312" w:eastAsia="仿宋_GB2312" w:cs="仿宋_GB2312"/>
          <w:sz w:val="32"/>
          <w:szCs w:val="32"/>
        </w:rPr>
        <w:t>15.50</w:t>
      </w:r>
      <w:r>
        <w:rPr>
          <w:rFonts w:hint="eastAsia" w:ascii="仿宋_GB2312" w:hAnsi="仿宋_GB2312" w:eastAsia="仿宋_GB2312" w:cs="仿宋_GB2312"/>
          <w:sz w:val="32"/>
          <w:szCs w:val="32"/>
        </w:rPr>
        <w:t>万元，</w:t>
      </w:r>
      <w:r>
        <w:rPr>
          <w:rFonts w:hint="eastAsia" w:ascii="仿宋_GB2312" w:eastAsia="仿宋_GB2312"/>
          <w:sz w:val="32"/>
          <w:szCs w:val="32"/>
        </w:rPr>
        <w:t>主要用于保证机关正常运转的办公及印刷费、邮电费、差旅费、会议费、日常维修费、公务车运行维护费等支出。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 w:hAnsi="仿宋" w:eastAsia="仿宋"/>
          <w:sz w:val="32"/>
          <w:szCs w:val="32"/>
        </w:rPr>
      </w:pPr>
      <w:r>
        <w:rPr>
          <w:rFonts w:hint="eastAsia" w:ascii="仿宋" w:hAnsi="仿宋" w:eastAsia="仿宋"/>
          <w:sz w:val="32"/>
          <w:szCs w:val="32"/>
        </w:rPr>
        <w:t>201</w:t>
      </w:r>
      <w:r>
        <w:rPr>
          <w:rFonts w:ascii="仿宋" w:hAnsi="仿宋" w:eastAsia="仿宋"/>
          <w:sz w:val="32"/>
          <w:szCs w:val="32"/>
        </w:rPr>
        <w:t>9</w:t>
      </w:r>
      <w:r>
        <w:rPr>
          <w:rFonts w:hint="eastAsia" w:ascii="仿宋" w:hAnsi="仿宋" w:eastAsia="仿宋"/>
          <w:sz w:val="32"/>
          <w:szCs w:val="32"/>
        </w:rPr>
        <w:t>年本部门安排“三公”经费 3 万元，与201</w:t>
      </w:r>
      <w:r>
        <w:rPr>
          <w:rFonts w:ascii="仿宋" w:hAnsi="仿宋" w:eastAsia="仿宋"/>
          <w:sz w:val="32"/>
          <w:szCs w:val="32"/>
        </w:rPr>
        <w:t>8</w:t>
      </w:r>
      <w:r>
        <w:rPr>
          <w:rFonts w:hint="eastAsia" w:ascii="仿宋" w:hAnsi="仿宋" w:eastAsia="仿宋"/>
          <w:sz w:val="32"/>
          <w:szCs w:val="32"/>
        </w:rPr>
        <w:t>年持平，无增减变化。其中：</w:t>
      </w:r>
    </w:p>
    <w:p>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1、因公出国（境）费0万元，与201</w:t>
      </w:r>
      <w:r>
        <w:rPr>
          <w:rFonts w:ascii="仿宋" w:hAnsi="仿宋" w:eastAsia="仿宋"/>
          <w:sz w:val="32"/>
          <w:szCs w:val="32"/>
        </w:rPr>
        <w:t>8</w:t>
      </w:r>
      <w:r>
        <w:rPr>
          <w:rFonts w:hint="eastAsia" w:ascii="仿宋" w:hAnsi="仿宋" w:eastAsia="仿宋"/>
          <w:sz w:val="32"/>
          <w:szCs w:val="32"/>
        </w:rPr>
        <w:t>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2、公务用车购置及运行维护费3万元，与201</w:t>
      </w:r>
      <w:r>
        <w:rPr>
          <w:rFonts w:ascii="仿宋" w:hAnsi="仿宋" w:eastAsia="仿宋"/>
          <w:sz w:val="32"/>
          <w:szCs w:val="32"/>
        </w:rPr>
        <w:t>8</w:t>
      </w:r>
      <w:r>
        <w:rPr>
          <w:rFonts w:hint="eastAsia" w:ascii="仿宋" w:hAnsi="仿宋" w:eastAsia="仿宋"/>
          <w:sz w:val="32"/>
          <w:szCs w:val="32"/>
        </w:rPr>
        <w:t>年持平，无增减变化。其中：公务用车购置0万元，与201</w:t>
      </w:r>
      <w:r>
        <w:rPr>
          <w:rFonts w:ascii="仿宋" w:hAnsi="仿宋" w:eastAsia="仿宋"/>
          <w:sz w:val="32"/>
          <w:szCs w:val="32"/>
        </w:rPr>
        <w:t>8</w:t>
      </w:r>
      <w:r>
        <w:rPr>
          <w:rFonts w:hint="eastAsia" w:ascii="仿宋" w:hAnsi="仿宋" w:eastAsia="仿宋"/>
          <w:sz w:val="32"/>
          <w:szCs w:val="32"/>
        </w:rPr>
        <w:t>年持平，无增减变化；公务用车运行维护费3万元，与201</w:t>
      </w:r>
      <w:r>
        <w:rPr>
          <w:rFonts w:ascii="仿宋" w:hAnsi="仿宋" w:eastAsia="仿宋"/>
          <w:sz w:val="32"/>
          <w:szCs w:val="32"/>
        </w:rPr>
        <w:t>8</w:t>
      </w:r>
      <w:r>
        <w:rPr>
          <w:rFonts w:hint="eastAsia" w:ascii="仿宋" w:hAnsi="仿宋" w:eastAsia="仿宋"/>
          <w:sz w:val="32"/>
          <w:szCs w:val="32"/>
        </w:rPr>
        <w:t>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3、公务接待费0万元，与201</w:t>
      </w:r>
      <w:r>
        <w:rPr>
          <w:rFonts w:ascii="仿宋" w:hAnsi="仿宋" w:eastAsia="仿宋"/>
          <w:sz w:val="32"/>
          <w:szCs w:val="32"/>
        </w:rPr>
        <w:t>8</w:t>
      </w:r>
      <w:r>
        <w:rPr>
          <w:rFonts w:hint="eastAsia" w:ascii="仿宋" w:hAnsi="仿宋" w:eastAsia="仿宋"/>
          <w:sz w:val="32"/>
          <w:szCs w:val="32"/>
        </w:rPr>
        <w:t>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pStyle w:val="11"/>
        <w:numPr>
          <w:ilvl w:val="0"/>
          <w:numId w:val="1"/>
        </w:numPr>
        <w:ind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开发区将继续前行，发挥经济建设主战场作用，向着高品质园区迈进。</w:t>
      </w:r>
      <w:r>
        <w:rPr>
          <w:rFonts w:hint="eastAsia" w:ascii="仿宋_GB2312" w:hAnsi="仿宋_GB2312" w:eastAsia="仿宋_GB2312" w:cs="仿宋_GB2312"/>
          <w:bCs/>
          <w:sz w:val="32"/>
          <w:szCs w:val="32"/>
        </w:rPr>
        <w:t>一是继续深化</w:t>
      </w:r>
    </w:p>
    <w:p>
      <w:pPr>
        <w:rPr>
          <w:rFonts w:eastAsia="仿宋_GB2312"/>
          <w:sz w:val="32"/>
        </w:rPr>
      </w:pPr>
      <w:r>
        <w:rPr>
          <w:rFonts w:hint="eastAsia" w:ascii="仿宋_GB2312" w:hAnsi="仿宋_GB2312" w:eastAsia="仿宋_GB2312" w:cs="仿宋_GB2312"/>
          <w:bCs/>
          <w:sz w:val="32"/>
          <w:szCs w:val="32"/>
        </w:rPr>
        <w:t>改革，确保体制机制顺畅，运行灵活高效。</w:t>
      </w:r>
      <w:r>
        <w:rPr>
          <w:rFonts w:hint="eastAsia" w:eastAsia="仿宋_GB2312"/>
          <w:sz w:val="32"/>
        </w:rPr>
        <w:t>根据</w:t>
      </w:r>
      <w:r>
        <w:rPr>
          <w:rFonts w:hint="eastAsia" w:ascii="仿宋_GB2312" w:hAnsi="仿宋_GB2312" w:eastAsia="仿宋_GB2312" w:cs="仿宋_GB2312"/>
          <w:sz w:val="32"/>
          <w:szCs w:val="32"/>
        </w:rPr>
        <w:t>《河北无极经济开发区干部人事制度改革总体方案》（试行），</w:t>
      </w:r>
      <w:r>
        <w:rPr>
          <w:rFonts w:hint="eastAsia" w:eastAsia="仿宋_GB2312"/>
          <w:sz w:val="32"/>
        </w:rPr>
        <w:t>进一步推进体制机制改革</w:t>
      </w:r>
      <w:r>
        <w:rPr>
          <w:rFonts w:hint="eastAsia" w:eastAsia="仿宋_GB2312"/>
          <w:bCs/>
          <w:sz w:val="32"/>
        </w:rPr>
        <w:t>。</w:t>
      </w:r>
      <w:r>
        <w:rPr>
          <w:rFonts w:hint="eastAsia" w:eastAsia="仿宋_GB2312"/>
          <w:sz w:val="32"/>
        </w:rPr>
        <w:t>进一步推进行政高效化，按照“一枚公章管审批、一个部门管市场、一支队伍管执法”的总体要求，探讨和实行帮助企业做好行政审批服务工作的制度和办法。</w:t>
      </w:r>
    </w:p>
    <w:p>
      <w:pP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二是发挥平台作用，助力基础传统产业，实现转型升级。搭建服务平台，为开发区企业的入驻、建设、生产经营、产品流通，提供高效优质的服务。发挥投融资平台作用，全力促进我县传统产业转型升级。</w:t>
      </w:r>
    </w:p>
    <w:p>
      <w:pPr>
        <w:tabs>
          <w:tab w:val="left" w:pos="618"/>
          <w:tab w:val="left" w:pos="7323"/>
        </w:tabs>
        <w:rPr>
          <w:rFonts w:ascii="仿宋_GB2312" w:eastAsia="仿宋_GB2312"/>
          <w:sz w:val="32"/>
          <w:szCs w:val="32"/>
        </w:rPr>
      </w:pPr>
      <w:r>
        <w:rPr>
          <w:rFonts w:hint="eastAsia" w:ascii="仿宋_GB2312" w:hAnsi="仿宋_GB2312" w:eastAsia="仿宋_GB2312" w:cs="仿宋_GB2312"/>
          <w:bCs/>
          <w:sz w:val="32"/>
          <w:szCs w:val="32"/>
        </w:rPr>
        <w:t>三是调整产业结构，培植现代新型产业，转变发展方式</w:t>
      </w:r>
      <w:r>
        <w:rPr>
          <w:rFonts w:hint="eastAsia" w:ascii="仿宋_GB2312" w:eastAsia="仿宋_GB2312"/>
          <w:sz w:val="32"/>
          <w:szCs w:val="32"/>
        </w:rPr>
        <w:t>，变“招商引资”为“选商引资”，优化招商引资政策，优化营商环境，实现引资、引智、引技等更宽领域的招商新突破，加快传统产业转型升级，培育新兴产业发展新动能</w:t>
      </w:r>
    </w:p>
    <w:p>
      <w:pPr>
        <w:ind w:firstLine="645"/>
        <w:rPr>
          <w:rFonts w:ascii="楷体" w:hAnsi="楷体" w:eastAsia="楷体"/>
          <w:sz w:val="32"/>
          <w:szCs w:val="32"/>
        </w:rPr>
      </w:pPr>
      <w:r>
        <w:rPr>
          <w:rFonts w:hint="eastAsia" w:ascii="楷体" w:hAnsi="楷体" w:eastAsia="楷体"/>
          <w:sz w:val="32"/>
          <w:szCs w:val="32"/>
        </w:rPr>
        <w:t>（二）职责分类绩效目标</w:t>
      </w:r>
    </w:p>
    <w:p>
      <w:pPr>
        <w:spacing w:line="580" w:lineRule="exact"/>
        <w:ind w:firstLine="640"/>
        <w:jc w:val="left"/>
        <w:rPr>
          <w:rFonts w:ascii="仿宋_GB2312" w:eastAsia="仿宋_GB2312"/>
          <w:sz w:val="32"/>
          <w:szCs w:val="32"/>
        </w:rPr>
      </w:pPr>
      <w:r>
        <w:rPr>
          <w:rFonts w:hint="eastAsia" w:ascii="仿宋_GB2312" w:hAnsi="仿宋_GB2312" w:eastAsia="仿宋_GB2312" w:cs="仿宋_GB2312"/>
          <w:bCs/>
          <w:sz w:val="32"/>
          <w:szCs w:val="32"/>
        </w:rPr>
        <w:t>一是大力推进“园中园”项目建设。</w:t>
      </w:r>
      <w:r>
        <w:rPr>
          <w:rFonts w:hint="eastAsia" w:ascii="仿宋_GB2312" w:eastAsia="仿宋_GB2312"/>
          <w:sz w:val="32"/>
          <w:szCs w:val="32"/>
        </w:rPr>
        <w:t>以产业集群发展的模式，向传统产业高端化、集群化；新兴产业科技化、精细化；投资规模大型化、高效化；亩均税收高产化的最终目标迈进。</w:t>
      </w:r>
    </w:p>
    <w:p>
      <w:pPr>
        <w:spacing w:line="600" w:lineRule="exact"/>
        <w:ind w:firstLine="640" w:firstLineChars="200"/>
        <w:rPr>
          <w:rFonts w:ascii="仿宋_GB2312" w:eastAsia="仿宋_GB2312"/>
          <w:b/>
          <w:bCs/>
          <w:sz w:val="32"/>
          <w:szCs w:val="32"/>
        </w:rPr>
      </w:pPr>
      <w:r>
        <w:rPr>
          <w:rFonts w:hint="eastAsia" w:ascii="仿宋_GB2312" w:eastAsia="仿宋_GB2312"/>
          <w:bCs/>
          <w:sz w:val="32"/>
          <w:szCs w:val="32"/>
        </w:rPr>
        <w:t>二是加大投入力度，完善园区基础设施，实现跨越发展。2019年，在继续完成开发区八条道路建设工程的基础上，计划实施“1238”工程，即“建设一条高架污水管道、完成两个规划环评编制、实施三个规划修编、进行八条道路建设”。</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三是实施五项创新，加快开发区提升发展。实施科技创新、实现技术创新驱动发展；实施土地创新，清零闲置土地资源，加快土地储备；实施政策创新，实现与时俱进发展，</w:t>
      </w:r>
      <w:r>
        <w:rPr>
          <w:rFonts w:hint="eastAsia" w:ascii="仿宋_GB2312" w:hAnsi="仿宋_GB2312" w:eastAsia="仿宋_GB2312" w:cs="仿宋_GB2312"/>
          <w:sz w:val="32"/>
          <w:szCs w:val="32"/>
        </w:rPr>
        <w:t>紧跟国家、省、市政策导向，紧盯上级产业政策，研究制定我县产业发展措施。</w:t>
      </w:r>
    </w:p>
    <w:p>
      <w:pPr>
        <w:spacing w:line="600" w:lineRule="exact"/>
        <w:ind w:firstLine="640" w:firstLineChars="200"/>
        <w:rPr>
          <w:rFonts w:ascii="楷体" w:hAnsi="楷体" w:eastAsia="楷体"/>
          <w:sz w:val="32"/>
          <w:szCs w:val="32"/>
        </w:rPr>
      </w:pPr>
      <w:r>
        <w:rPr>
          <w:rFonts w:hint="eastAsia" w:ascii="仿宋_GB2312" w:hAnsi="仿宋_GB2312" w:eastAsia="仿宋_GB2312" w:cs="仿宋_GB2312"/>
          <w:sz w:val="32"/>
          <w:szCs w:val="32"/>
        </w:rPr>
        <w:t>四是重点围绕市“4+4”、战略性新兴产业、高新技术落地、工程实验室、技术研发中心等政策为企业多做实事。</w:t>
      </w:r>
      <w:r>
        <w:rPr>
          <w:rFonts w:hint="eastAsia" w:ascii="仿宋_GB2312" w:hAnsi="仿宋_GB2312" w:eastAsia="仿宋_GB2312" w:cs="仿宋_GB2312"/>
          <w:bCs/>
          <w:sz w:val="32"/>
          <w:szCs w:val="32"/>
        </w:rPr>
        <w:t>实施教育培训战略，“引进来讲、走出去学”，实现思想挂念在提升。</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rPr>
          <w:rFonts w:ascii="楷体" w:hAnsi="楷体" w:eastAsia="楷体"/>
          <w:sz w:val="32"/>
          <w:szCs w:val="32"/>
        </w:rPr>
      </w:pPr>
    </w:p>
    <w:p>
      <w:pPr>
        <w:ind w:firstLine="645"/>
        <w:rPr>
          <w:rFonts w:ascii="楷体" w:hAnsi="楷体" w:eastAsia="楷体"/>
          <w:sz w:val="32"/>
          <w:szCs w:val="32"/>
        </w:rPr>
      </w:pPr>
    </w:p>
    <w:p>
      <w:pPr>
        <w:ind w:firstLine="645"/>
        <w:rPr>
          <w:rFonts w:ascii="楷体" w:hAnsi="楷体" w:eastAsia="楷体"/>
          <w:sz w:val="32"/>
          <w:szCs w:val="32"/>
        </w:rPr>
      </w:pPr>
    </w:p>
    <w:p>
      <w:pPr>
        <w:jc w:val="center"/>
        <w:outlineLvl w:val="0"/>
        <w:rPr>
          <w:rFonts w:ascii="方正小标宋_GBK" w:eastAsia="方正小标宋_GBK"/>
          <w:color w:val="FFFFFF"/>
          <w:sz w:val="32"/>
        </w:rPr>
      </w:pPr>
      <w:bookmarkStart w:id="0" w:name="_Toc2358433"/>
      <w:r>
        <w:rPr>
          <w:rFonts w:hint="eastAsia" w:ascii="方正小标宋_GBK" w:eastAsia="方正小标宋_GBK"/>
          <w:sz w:val="32"/>
        </w:rPr>
        <w:t>部门职责-工作活动绩效目标</w:t>
      </w:r>
      <w:r>
        <w:rPr>
          <w:rFonts w:ascii="方正小标宋_GBK" w:eastAsia="方正小标宋_GBK"/>
          <w:color w:val="FFFFFF"/>
          <w:sz w:val="32"/>
          <w:vertAlign w:val="superscript"/>
        </w:rPr>
        <w:footnoteReference w:id="0" w:customMarkFollows="1"/>
        <w:sym w:font="Symbol" w:char="F020"/>
      </w:r>
      <w:bookmarkEnd w:id="0"/>
    </w:p>
    <w:tbl>
      <w:tblPr>
        <w:tblStyle w:val="6"/>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607</w:t>
            </w:r>
            <w:r>
              <w:rPr>
                <w:rFonts w:hint="eastAsia" w:ascii="方正小标宋_GBK" w:eastAsia="方正小标宋_GBK"/>
                <w:sz w:val="24"/>
              </w:rPr>
              <w:t>开发区</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一、编制总体规划</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编制辖区内的总体规划和经济、社会发展规划；编制辖区内区域发展规划、国土利用规划，经批准后组织实施。研究辖区内重大经济社会发展问题。</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合理编制辖区总体规划和经济、社会发展规划、国土利用规划。</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、编制辖区总体规划活动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编制辖区内的总体规划和经济、社会发展规划；编制辖区内区域发展规划、国土利用规划，经批准后组织实施。负责辖区内基础设施建设，征地补偿等，研究辖区内重大经济社会发展问题。</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合理编制辖区内总体规划，提高开发区竞争力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规划达标率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二、党建、干部管理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按照上级党委授权和干部管理权限负责辖区内干部管理；负责辖区内党的建设和其他党务工作；负责宣传和精神文明建设工作；负责辖区内党的纪律检查工作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做好干部管理工作，加强党组织建设和党务工作，开展宣传和精神文明建设工作。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、开展党建、干部管理活动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按照上级党委授权和干部管理权限负责辖区内干部管理；负责辖区内党的建设和其他党务工作；负责宣传和精神文明建设工作；负责辖区内党的纪律检查工作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做好干部管理工作，加强党组织建设和党务工作，开展宣传和精神文明建设工作。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干部规范管理率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三、招商引资</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负责招商引资、进出口贸易和国内外经济技术合作工作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加大招商引资力度，提升开发区经济实力水平。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、招商引资活动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负责招商引资、进出口贸易和国内外经济技术合作工作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加大招商引资力度，提升开发区经济实力水平。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开发区排名</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上升</w:t>
            </w:r>
            <w:r>
              <w:rPr>
                <w:rFonts w:ascii="方正书宋_GBK" w:eastAsia="方正书宋_GBK"/>
              </w:rPr>
              <w:t>5</w:t>
            </w:r>
            <w:r>
              <w:rPr>
                <w:rFonts w:hint="eastAsia" w:ascii="方正书宋_GBK" w:eastAsia="方正书宋_GBK"/>
              </w:rPr>
              <w:t>名</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上升</w:t>
            </w:r>
            <w:r>
              <w:rPr>
                <w:rFonts w:ascii="方正书宋_GBK" w:eastAsia="方正书宋_GBK"/>
              </w:rPr>
              <w:t>2</w:t>
            </w:r>
            <w:r>
              <w:rPr>
                <w:rFonts w:hint="eastAsia" w:ascii="方正书宋_GBK" w:eastAsia="方正书宋_GBK"/>
              </w:rPr>
              <w:t>名</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与去年持平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下降</w:t>
            </w:r>
            <w:r>
              <w:rPr>
                <w:rFonts w:ascii="方正书宋_GBK" w:eastAsia="方正书宋_GBK"/>
              </w:rPr>
              <w:t>20</w:t>
            </w:r>
            <w:r>
              <w:rPr>
                <w:rFonts w:hint="eastAsia" w:ascii="方正书宋_GBK" w:eastAsia="方正书宋_GBK"/>
              </w:rPr>
              <w:t>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四、财政管理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负责辖区内财政管理，实施辖区内财政预算、决算、国有资产管理和财政监督工作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做好辖区内财政预算、决算工作，监督国有资产管理。</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、财政管理活动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负责辖区内财政管理，实施辖区内财政预算、决算、国有资产管理和财政监督工作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做好辖区内财政预算、决算工作，监督国有资产管理。</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财务工作完成率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五、环保安监工作</w:t>
            </w:r>
          </w:p>
        </w:tc>
        <w:tc>
          <w:tcPr>
            <w:tcW w:w="1276" w:type="dxa"/>
            <w:shd w:val="clear" w:color="auto" w:fill="auto"/>
            <w:vAlign w:val="center"/>
          </w:tcPr>
          <w:p>
            <w:pPr>
              <w:spacing w:line="300" w:lineRule="exact"/>
              <w:jc w:val="left"/>
              <w:rPr>
                <w:rFonts w:ascii="方正书宋_GBK" w:eastAsiaTheme="minorEastAsia"/>
              </w:rPr>
            </w:pPr>
            <w:r>
              <w:rPr>
                <w:rFonts w:hint="eastAsia" w:ascii="方正书宋_GBK" w:eastAsiaTheme="minorEastAsia"/>
              </w:rPr>
              <w:t>84.98</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负责辖区环境保护和安全生产监督管理工作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做好辖区内企业环境保护工作，防治大气污染；做好安全生产监督管理工作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、环保安监活动</w:t>
            </w:r>
          </w:p>
        </w:tc>
        <w:tc>
          <w:tcPr>
            <w:tcW w:w="1276" w:type="dxa"/>
            <w:shd w:val="clear" w:color="auto" w:fill="auto"/>
            <w:vAlign w:val="center"/>
          </w:tcPr>
          <w:p>
            <w:pPr>
              <w:spacing w:line="300" w:lineRule="exact"/>
              <w:jc w:val="left"/>
              <w:rPr>
                <w:rFonts w:ascii="方正书宋_GBK" w:eastAsiaTheme="minorEastAsia"/>
              </w:rPr>
            </w:pPr>
            <w:r>
              <w:rPr>
                <w:rFonts w:hint="eastAsia" w:ascii="方正书宋_GBK" w:eastAsiaTheme="minorEastAsia"/>
              </w:rPr>
              <w:t>84.98</w:t>
            </w:r>
          </w:p>
        </w:tc>
        <w:tc>
          <w:tcPr>
            <w:tcW w:w="2976" w:type="dxa"/>
            <w:shd w:val="clear" w:color="auto" w:fill="auto"/>
            <w:vAlign w:val="center"/>
          </w:tcPr>
          <w:p>
            <w:pPr>
              <w:spacing w:line="300" w:lineRule="exact"/>
              <w:jc w:val="left"/>
              <w:rPr>
                <w:rFonts w:ascii="方正书宋_GBK" w:eastAsiaTheme="minorEastAsia"/>
              </w:rPr>
            </w:pPr>
            <w:r>
              <w:rPr>
                <w:rFonts w:hint="eastAsia" w:ascii="方正书宋_GBK" w:eastAsiaTheme="minorEastAsia"/>
              </w:rPr>
              <w:t>负责</w:t>
            </w:r>
            <w:r>
              <w:rPr>
                <w:rFonts w:hint="eastAsia" w:ascii="方正书宋_GBK" w:eastAsia="方正书宋_GBK"/>
              </w:rPr>
              <w:t>辖区内企业环境保护工作，防治大气污染；安全生产监督管理工作。负责辖区内大气防尘治理及道路卫生保洁。</w:t>
            </w:r>
          </w:p>
        </w:tc>
        <w:tc>
          <w:tcPr>
            <w:tcW w:w="2976" w:type="dxa"/>
            <w:shd w:val="clear" w:color="auto" w:fill="auto"/>
            <w:vAlign w:val="center"/>
          </w:tcPr>
          <w:p>
            <w:pPr>
              <w:spacing w:line="300" w:lineRule="exact"/>
              <w:jc w:val="left"/>
              <w:rPr>
                <w:rFonts w:ascii="方正书宋_GBK" w:eastAsiaTheme="minorEastAsia"/>
              </w:rPr>
            </w:pPr>
            <w:r>
              <w:rPr>
                <w:rFonts w:hint="eastAsia" w:ascii="方正书宋_GBK" w:eastAsia="方正书宋_GBK"/>
              </w:rPr>
              <w:t>做好辖区内企业环境保护工作，防治大气污染；做好安全生产监督管理工作，道路卫生保洁防尘工作。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辖区内企业环保安监达标率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六、其他工作</w:t>
            </w:r>
          </w:p>
        </w:tc>
        <w:tc>
          <w:tcPr>
            <w:tcW w:w="1276" w:type="dxa"/>
            <w:shd w:val="clear" w:color="auto" w:fill="auto"/>
            <w:vAlign w:val="center"/>
          </w:tcPr>
          <w:p>
            <w:pPr>
              <w:spacing w:line="300" w:lineRule="exact"/>
              <w:jc w:val="left"/>
              <w:rPr>
                <w:rFonts w:ascii="方正书宋_GBK" w:eastAsiaTheme="minorEastAsia"/>
              </w:rPr>
            </w:pPr>
            <w:r>
              <w:rPr>
                <w:rFonts w:hint="eastAsia" w:ascii="方正书宋_GBK" w:eastAsiaTheme="minorEastAsia"/>
              </w:rPr>
              <w:t>532</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贯彻落实党的路线、方针、政策和上级党委的决议；负责无极县政府交办的其他事项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认真落实党的政策方针，做好上级党委、政府交办的其他事项</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、其他工作</w:t>
            </w:r>
          </w:p>
        </w:tc>
        <w:tc>
          <w:tcPr>
            <w:tcW w:w="1276" w:type="dxa"/>
            <w:shd w:val="clear" w:color="auto" w:fill="auto"/>
            <w:vAlign w:val="center"/>
          </w:tcPr>
          <w:p>
            <w:pPr>
              <w:spacing w:line="300" w:lineRule="exact"/>
              <w:jc w:val="left"/>
              <w:rPr>
                <w:rFonts w:ascii="方正书宋_GBK" w:eastAsiaTheme="minorEastAsia"/>
              </w:rPr>
            </w:pPr>
            <w:r>
              <w:rPr>
                <w:rFonts w:hint="eastAsia" w:ascii="方正书宋_GBK" w:eastAsiaTheme="minorEastAsia"/>
              </w:rPr>
              <w:t>532</w:t>
            </w:r>
          </w:p>
        </w:tc>
        <w:tc>
          <w:tcPr>
            <w:tcW w:w="2976" w:type="dxa"/>
            <w:shd w:val="clear" w:color="auto" w:fill="auto"/>
            <w:vAlign w:val="center"/>
          </w:tcPr>
          <w:p>
            <w:pPr>
              <w:spacing w:line="300" w:lineRule="exact"/>
              <w:jc w:val="left"/>
              <w:rPr>
                <w:rFonts w:ascii="方正书宋_GBK" w:eastAsiaTheme="minorEastAsia"/>
              </w:rPr>
            </w:pPr>
            <w:r>
              <w:rPr>
                <w:rFonts w:hint="eastAsia" w:ascii="方正书宋_GBK" w:eastAsia="方正书宋_GBK"/>
              </w:rPr>
              <w:t>负责无极县政府交办的其他事项；负责辖区内征地补偿工作</w:t>
            </w:r>
            <w:r>
              <w:rPr>
                <w:rFonts w:hint="eastAsia" w:ascii="方正书宋_GBK" w:eastAsiaTheme="minorEastAsia"/>
              </w:rPr>
              <w:t>。</w:t>
            </w:r>
          </w:p>
        </w:tc>
        <w:tc>
          <w:tcPr>
            <w:tcW w:w="2976" w:type="dxa"/>
            <w:shd w:val="clear" w:color="auto" w:fill="auto"/>
            <w:vAlign w:val="center"/>
          </w:tcPr>
          <w:p>
            <w:pPr>
              <w:spacing w:line="300" w:lineRule="exact"/>
              <w:jc w:val="left"/>
              <w:rPr>
                <w:rFonts w:ascii="方正书宋_GBK" w:eastAsiaTheme="minorEastAsia"/>
              </w:rPr>
            </w:pPr>
            <w:r>
              <w:rPr>
                <w:rFonts w:hint="eastAsia" w:ascii="方正书宋_GBK" w:eastAsia="方正书宋_GBK"/>
              </w:rPr>
              <w:t>做好上级党委、政府交办的其他事项，负责辖区内征地补偿工作</w:t>
            </w:r>
            <w:r>
              <w:rPr>
                <w:rFonts w:hint="eastAsia" w:ascii="方正书宋_GBK" w:eastAsiaTheme="minorEastAsia"/>
              </w:rPr>
              <w:t>。</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上级交办工作完成率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七、辖区内基础设施建设管理；辖区内绿化亮化</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完成辖区内基础设施建设，完成辖区内绿化亮化，管理工程建设、工程质量和安全生产，对项目招投标活动进行监督管理。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投资建设辖区内道路及其他基础设施建设；完成辖区内绿化亮化</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、开展基础设施建设及绿化亮化其他</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对辖区内基础设施建设及绿化亮化等有关重点工程建设、工程质量和安全生产及行业招投标活动进行监督和管理，做好建设过程中的协调管理工作。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加强开发区基础设施建设，各项业务顺利开展，工作按时完成。</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基础设施建设项目完成率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spacing w:line="300" w:lineRule="exact"/>
        <w:jc w:val="left"/>
        <w:outlineLvl w:val="0"/>
        <w:sectPr>
          <w:headerReference r:id="rId6" w:type="first"/>
          <w:footerReference r:id="rId9" w:type="first"/>
          <w:headerReference r:id="rId4" w:type="default"/>
          <w:footerReference r:id="rId7" w:type="default"/>
          <w:headerReference r:id="rId5" w:type="even"/>
          <w:footerReference r:id="rId8" w:type="even"/>
          <w:pgSz w:w="16839" w:h="11907" w:orient="landscape"/>
          <w:pgMar w:top="1020" w:right="1361" w:bottom="1020" w:left="1361" w:header="851" w:footer="992" w:gutter="0"/>
          <w:cols w:space="425" w:num="1"/>
          <w:docGrid w:type="lines" w:linePitch="312" w:charSpace="0"/>
        </w:sectPr>
      </w:pPr>
    </w:p>
    <w:p>
      <w:pPr>
        <w:rPr>
          <w:rFonts w:ascii="楷体" w:hAnsi="楷体" w:eastAsia="楷体"/>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ind w:firstLine="600" w:firstLineChars="200"/>
        <w:jc w:val="left"/>
        <w:rPr>
          <w:rFonts w:ascii="黑体" w:hAnsi="黑体" w:eastAsia="黑体" w:cs="仿宋_GB2312"/>
          <w:sz w:val="32"/>
          <w:szCs w:val="32"/>
        </w:rPr>
      </w:pPr>
      <w:r>
        <w:rPr>
          <w:rFonts w:hint="eastAsia" w:ascii="仿宋_GB2312" w:eastAsia="仿宋_GB2312"/>
          <w:sz w:val="30"/>
          <w:szCs w:val="30"/>
        </w:rPr>
        <w:t>2018年我部门安排政府采购预算0万元。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无极县经济开发区上年末固定资产金额为</w:t>
      </w:r>
      <w:r>
        <w:rPr>
          <w:rFonts w:ascii="仿宋" w:hAnsi="仿宋" w:eastAsia="仿宋" w:cs="仿宋"/>
          <w:sz w:val="32"/>
          <w:szCs w:val="32"/>
        </w:rPr>
        <w:t>105.12</w:t>
      </w:r>
      <w:r>
        <w:rPr>
          <w:rFonts w:hint="eastAsia" w:ascii="仿宋" w:hAnsi="仿宋" w:eastAsia="仿宋" w:cs="仿宋"/>
          <w:sz w:val="32"/>
          <w:szCs w:val="32"/>
        </w:rPr>
        <w:t>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无极县经济开发区固定资产占用情况表</w:t>
      </w:r>
    </w:p>
    <w:tbl>
      <w:tblPr>
        <w:tblStyle w:val="6"/>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 xml:space="preserve">编制部门：无极县经济开发区 </w:t>
            </w:r>
          </w:p>
        </w:tc>
        <w:tc>
          <w:tcPr>
            <w:tcW w:w="5103" w:type="dxa"/>
            <w:tcBorders>
              <w:top w:val="nil"/>
              <w:left w:val="nil"/>
              <w:bottom w:val="nil"/>
              <w:right w:val="nil"/>
            </w:tcBorders>
            <w:vAlign w:val="center"/>
          </w:tcPr>
          <w:p>
            <w:pPr>
              <w:widowControl/>
              <w:ind w:firstLine="560" w:firstLineChars="200"/>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截止时间：201</w:t>
            </w:r>
            <w:r>
              <w:rPr>
                <w:rFonts w:cs="宋体" w:asciiTheme="minorEastAsia" w:hAnsiTheme="minorEastAsia" w:eastAsiaTheme="minorEastAsia"/>
                <w:kern w:val="0"/>
                <w:sz w:val="28"/>
                <w:szCs w:val="28"/>
              </w:rPr>
              <w:t>8</w:t>
            </w:r>
            <w:r>
              <w:rPr>
                <w:rFonts w:hint="eastAsia" w:cs="宋体" w:asciiTheme="minorEastAsia" w:hAnsiTheme="minorEastAsia" w:eastAsiaTheme="minorEastAsia"/>
                <w:kern w:val="0"/>
                <w:sz w:val="28"/>
                <w:szCs w:val="28"/>
              </w:rPr>
              <w:t xml:space="preserve">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cs="宋体"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cs="宋体"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cs="宋体"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价值（金额单位：万元）</w:t>
            </w:r>
          </w:p>
        </w:tc>
      </w:tr>
      <w:tr>
        <w:tblPrEx>
          <w:tblCellMar>
            <w:top w:w="0" w:type="dxa"/>
            <w:left w:w="108" w:type="dxa"/>
            <w:bottom w:w="0" w:type="dxa"/>
            <w:right w:w="108" w:type="dxa"/>
          </w:tblCellMar>
        </w:tblPrEx>
        <w:trPr>
          <w:trHeight w:val="552"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资产总额</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cs="宋体" w:asciiTheme="minorEastAsia" w:hAnsiTheme="minorEastAsia" w:eastAsiaTheme="minorEastAsia"/>
                <w:kern w:val="0"/>
                <w:sz w:val="28"/>
                <w:szCs w:val="28"/>
              </w:rPr>
              <w:t>105.12</w:t>
            </w:r>
          </w:p>
        </w:tc>
      </w:tr>
      <w:tr>
        <w:tblPrEx>
          <w:tblCellMar>
            <w:top w:w="0" w:type="dxa"/>
            <w:left w:w="108" w:type="dxa"/>
            <w:bottom w:w="0" w:type="dxa"/>
            <w:right w:w="108" w:type="dxa"/>
          </w:tblCellMar>
        </w:tblPrEx>
        <w:trPr>
          <w:trHeight w:val="476"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2、车辆（台、辆）</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1</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cs="宋体" w:asciiTheme="minorEastAsia" w:hAnsiTheme="minorEastAsia" w:eastAsiaTheme="minorEastAsia"/>
                <w:kern w:val="0"/>
                <w:sz w:val="28"/>
                <w:szCs w:val="28"/>
              </w:rPr>
              <w:t>17.4</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hint="eastAsia" w:cs="宋体" w:asciiTheme="minorEastAsia" w:hAnsiTheme="minorEastAsia" w:eastAsiaTheme="minorEastAsia"/>
                <w:kern w:val="0"/>
                <w:sz w:val="28"/>
                <w:szCs w:val="28"/>
              </w:rPr>
              <w:t>——</w:t>
            </w:r>
          </w:p>
        </w:tc>
        <w:tc>
          <w:tcPr>
            <w:tcW w:w="5103" w:type="dxa"/>
            <w:tcBorders>
              <w:top w:val="nil"/>
              <w:left w:val="nil"/>
              <w:bottom w:val="single" w:color="000000" w:sz="4" w:space="0"/>
              <w:right w:val="single" w:color="000000" w:sz="4" w:space="0"/>
            </w:tcBorders>
            <w:vAlign w:val="center"/>
          </w:tcPr>
          <w:p>
            <w:pPr>
              <w:widowControl/>
              <w:jc w:val="center"/>
              <w:rPr>
                <w:rFonts w:cs="宋体" w:asciiTheme="minorEastAsia" w:hAnsiTheme="minorEastAsia" w:eastAsiaTheme="minorEastAsia"/>
                <w:kern w:val="0"/>
                <w:sz w:val="28"/>
                <w:szCs w:val="28"/>
              </w:rPr>
            </w:pPr>
            <w:r>
              <w:rPr>
                <w:rFonts w:cs="宋体" w:asciiTheme="minorEastAsia" w:hAnsiTheme="minorEastAsia" w:eastAsiaTheme="minorEastAsia"/>
                <w:kern w:val="0"/>
                <w:sz w:val="28"/>
                <w:szCs w:val="28"/>
              </w:rPr>
              <w:t>87.72</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headerReference r:id="rId12" w:type="first"/>
      <w:footerReference r:id="rId15" w:type="first"/>
      <w:headerReference r:id="rId10" w:type="default"/>
      <w:footerReference r:id="rId13" w:type="default"/>
      <w:headerReference r:id="rId11" w:type="even"/>
      <w:footerReference r:id="rId14"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4"/>
      </w:pPr>
      <w:r>
        <w:rPr>
          <w:rStyle w:val="8"/>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911505"/>
    <w:multiLevelType w:val="multilevel"/>
    <w:tmpl w:val="41911505"/>
    <w:lvl w:ilvl="0" w:tentative="0">
      <w:start w:val="2019"/>
      <w:numFmt w:val="decimal"/>
      <w:lvlText w:val="%1年，"/>
      <w:lvlJc w:val="left"/>
      <w:pPr>
        <w:ind w:left="2005" w:hanging="1365"/>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B3C55"/>
    <w:rsid w:val="00101190"/>
    <w:rsid w:val="0017194A"/>
    <w:rsid w:val="001B5724"/>
    <w:rsid w:val="001C6305"/>
    <w:rsid w:val="00211567"/>
    <w:rsid w:val="00235D6E"/>
    <w:rsid w:val="00244D7C"/>
    <w:rsid w:val="00245CB5"/>
    <w:rsid w:val="00280FEE"/>
    <w:rsid w:val="00345A4D"/>
    <w:rsid w:val="003576F4"/>
    <w:rsid w:val="00371534"/>
    <w:rsid w:val="003A0649"/>
    <w:rsid w:val="003B1853"/>
    <w:rsid w:val="004165BB"/>
    <w:rsid w:val="00490801"/>
    <w:rsid w:val="0053630B"/>
    <w:rsid w:val="00592FB1"/>
    <w:rsid w:val="0063034A"/>
    <w:rsid w:val="0064414A"/>
    <w:rsid w:val="00653918"/>
    <w:rsid w:val="006B5B20"/>
    <w:rsid w:val="006E4721"/>
    <w:rsid w:val="006F0731"/>
    <w:rsid w:val="00733AAB"/>
    <w:rsid w:val="00743B8A"/>
    <w:rsid w:val="007D54FD"/>
    <w:rsid w:val="007D622B"/>
    <w:rsid w:val="007E7A4D"/>
    <w:rsid w:val="008126D3"/>
    <w:rsid w:val="00816468"/>
    <w:rsid w:val="008340C9"/>
    <w:rsid w:val="0088255E"/>
    <w:rsid w:val="008A61CF"/>
    <w:rsid w:val="008B2BFE"/>
    <w:rsid w:val="008B3185"/>
    <w:rsid w:val="009513A4"/>
    <w:rsid w:val="0096283A"/>
    <w:rsid w:val="009A2F73"/>
    <w:rsid w:val="009F4B20"/>
    <w:rsid w:val="00A23A45"/>
    <w:rsid w:val="00A30FF1"/>
    <w:rsid w:val="00A84BEB"/>
    <w:rsid w:val="00AD60F5"/>
    <w:rsid w:val="00AF6852"/>
    <w:rsid w:val="00B10DC7"/>
    <w:rsid w:val="00B734C9"/>
    <w:rsid w:val="00B939DA"/>
    <w:rsid w:val="00BE1792"/>
    <w:rsid w:val="00BF6689"/>
    <w:rsid w:val="00C2318C"/>
    <w:rsid w:val="00C26AB0"/>
    <w:rsid w:val="00C42BCB"/>
    <w:rsid w:val="00C444E3"/>
    <w:rsid w:val="00C85472"/>
    <w:rsid w:val="00D024C9"/>
    <w:rsid w:val="00D21B21"/>
    <w:rsid w:val="00D3425B"/>
    <w:rsid w:val="00D42FB0"/>
    <w:rsid w:val="00D77FCE"/>
    <w:rsid w:val="00D97C33"/>
    <w:rsid w:val="00DA2BA2"/>
    <w:rsid w:val="00DA6E0B"/>
    <w:rsid w:val="00E17CAA"/>
    <w:rsid w:val="00E30C67"/>
    <w:rsid w:val="00E67111"/>
    <w:rsid w:val="00E7145B"/>
    <w:rsid w:val="00F11AEA"/>
    <w:rsid w:val="00F4026C"/>
    <w:rsid w:val="00F52F85"/>
    <w:rsid w:val="00F93D6E"/>
    <w:rsid w:val="00FC170C"/>
    <w:rsid w:val="4828121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uiPriority w:val="99"/>
    <w:pPr>
      <w:pBdr>
        <w:bottom w:val="single" w:color="auto" w:sz="6" w:space="1"/>
      </w:pBdr>
      <w:tabs>
        <w:tab w:val="center" w:pos="4153"/>
        <w:tab w:val="right" w:pos="8306"/>
      </w:tabs>
      <w:snapToGrid w:val="0"/>
      <w:jc w:val="center"/>
    </w:pPr>
    <w:rPr>
      <w:sz w:val="18"/>
      <w:szCs w:val="18"/>
    </w:rPr>
  </w:style>
  <w:style w:type="paragraph" w:styleId="4">
    <w:name w:val="footnote text"/>
    <w:basedOn w:val="1"/>
    <w:link w:val="12"/>
    <w:semiHidden/>
    <w:uiPriority w:val="0"/>
    <w:pPr>
      <w:snapToGrid w:val="0"/>
      <w:jc w:val="left"/>
    </w:pPr>
    <w:rPr>
      <w:sz w:val="18"/>
      <w:szCs w:val="18"/>
    </w:rPr>
  </w:style>
  <w:style w:type="paragraph" w:styleId="5">
    <w:name w:val="Normal (Web)"/>
    <w:basedOn w:val="1"/>
    <w:uiPriority w:val="0"/>
    <w:pPr>
      <w:spacing w:before="100" w:beforeAutospacing="1" w:after="100" w:afterAutospacing="1"/>
      <w:jc w:val="left"/>
    </w:pPr>
    <w:rPr>
      <w:kern w:val="0"/>
      <w:sz w:val="24"/>
      <w:szCs w:val="20"/>
    </w:rPr>
  </w:style>
  <w:style w:type="character" w:styleId="8">
    <w:name w:val="footnote reference"/>
    <w:basedOn w:val="7"/>
    <w:semiHidden/>
    <w:uiPriority w:val="0"/>
    <w:rPr>
      <w:vertAlign w:val="superscript"/>
    </w:rPr>
  </w:style>
  <w:style w:type="character" w:customStyle="1" w:styleId="9">
    <w:name w:val="页眉 Char"/>
    <w:basedOn w:val="7"/>
    <w:link w:val="3"/>
    <w:uiPriority w:val="99"/>
    <w:rPr>
      <w:rFonts w:ascii="Times New Roman" w:hAnsi="Times New Roman" w:eastAsia="宋体" w:cs="Times New Roman"/>
      <w:sz w:val="18"/>
      <w:szCs w:val="18"/>
    </w:rPr>
  </w:style>
  <w:style w:type="character" w:customStyle="1" w:styleId="10">
    <w:name w:val="页脚 Char"/>
    <w:basedOn w:val="7"/>
    <w:link w:val="2"/>
    <w:uiPriority w:val="99"/>
    <w:rPr>
      <w:rFonts w:ascii="Times New Roman" w:hAnsi="Times New Roman" w:eastAsia="宋体" w:cs="Times New Roman"/>
      <w:sz w:val="18"/>
      <w:szCs w:val="18"/>
    </w:rPr>
  </w:style>
  <w:style w:type="paragraph" w:styleId="11">
    <w:name w:val="List Paragraph"/>
    <w:basedOn w:val="1"/>
    <w:qFormat/>
    <w:uiPriority w:val="34"/>
    <w:pPr>
      <w:ind w:firstLine="420" w:firstLineChars="200"/>
    </w:pPr>
  </w:style>
  <w:style w:type="character" w:customStyle="1" w:styleId="12">
    <w:name w:val="脚注文本 Char"/>
    <w:basedOn w:val="7"/>
    <w:link w:val="4"/>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theme" Target="theme/theme1.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12</Pages>
  <Words>653</Words>
  <Characters>3727</Characters>
  <Lines>31</Lines>
  <Paragraphs>8</Paragraphs>
  <TotalTime>118</TotalTime>
  <ScaleCrop>false</ScaleCrop>
  <LinksUpToDate>false</LinksUpToDate>
  <CharactersWithSpaces>4372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2024-01-16T03:27:08Z</dcterms:modified>
  <cp:revision>54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FF2D980115534531BB2E5BE24FEBA773</vt:lpwstr>
  </property>
</Properties>
</file>