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bookmarkStart w:id="18" w:name="_GoBack"/>
      <w:bookmarkEnd w:id="18"/>
      <w:r>
        <w:rPr>
          <w:rFonts w:ascii="黑体" w:hAnsi="黑体" w:eastAsia="黑体" w:cs="黑体"/>
          <w:b/>
          <w:color w:val="000000"/>
          <w:sz w:val="44"/>
        </w:rPr>
        <w:t>2022</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rPr>
          <w:rFonts w:eastAsia="Times New Roman"/>
        </w:rPr>
      </w:pPr>
      <w:r>
        <w:rPr>
          <w:rFonts w:hint="eastAsia"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hint="eastAsia"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rPr>
          <w:rFonts w:hint="eastAsia"/>
        </w:rP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rPr>
          <w:rFonts w:hint="eastAsia"/>
        </w:rPr>
        <w:t>八、名词解释</w:t>
      </w:r>
      <w:r>
        <w:tab/>
      </w:r>
      <w:r>
        <w:fldChar w:fldCharType="begin"/>
      </w:r>
      <w:r>
        <w:instrText xml:space="preserve">PAGEREF _Toc_3_3_0000000017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fldChar w:fldCharType="begin"/>
      </w:r>
      <w:r>
        <w:instrText xml:space="preserve">PAGEREF _Toc_3_3_0000000018 \h</w:instrText>
      </w:r>
      <w:r>
        <w:fldChar w:fldCharType="separate"/>
      </w:r>
      <w:r>
        <w:t>2</w:t>
      </w:r>
      <w:r>
        <w:rPr>
          <w:rFonts w:hint="eastAsia"/>
          <w:lang w:val="en-US" w:eastAsia="zh-CN"/>
        </w:rPr>
        <w:t>5</w:t>
      </w:r>
      <w:r>
        <w:fldChar w:fldCharType="end"/>
      </w:r>
      <w:r>
        <w:fldChar w:fldCharType="end"/>
      </w:r>
    </w:p>
    <w:p>
      <w:r>
        <w:fldChar w:fldCharType="end"/>
      </w:r>
    </w:p>
    <w:p>
      <w:p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2"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rPr>
                <w:rFonts w:hint="eastAsia"/>
              </w:rPr>
              <w:t>一、一般公共预算拨款收入</w:t>
            </w:r>
          </w:p>
        </w:tc>
        <w:tc>
          <w:tcPr>
            <w:tcW w:w="2126" w:type="dxa"/>
            <w:vAlign w:val="center"/>
          </w:tcPr>
          <w:p>
            <w:pPr>
              <w:pStyle w:val="15"/>
            </w:pPr>
            <w:r>
              <w:t>210.88</w:t>
            </w:r>
          </w:p>
        </w:tc>
        <w:tc>
          <w:tcPr>
            <w:tcW w:w="4535" w:type="dxa"/>
            <w:vAlign w:val="center"/>
          </w:tcPr>
          <w:p>
            <w:pPr>
              <w:pStyle w:val="16"/>
            </w:pPr>
            <w:r>
              <w:rPr>
                <w:rFonts w:hint="eastAsia"/>
              </w:rPr>
              <w:t>一、一般公共服务支出</w:t>
            </w:r>
          </w:p>
        </w:tc>
        <w:tc>
          <w:tcPr>
            <w:tcW w:w="2126" w:type="dxa"/>
            <w:vAlign w:val="center"/>
          </w:tcPr>
          <w:p>
            <w:pPr>
              <w:pStyle w:val="15"/>
            </w:pPr>
            <w:r>
              <w:t>181.81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rPr>
                <w:rFonts w:hint="eastAsia"/>
              </w:rPr>
              <w:t>二、政府性基金预算拨款收入</w:t>
            </w:r>
          </w:p>
        </w:tc>
        <w:tc>
          <w:tcPr>
            <w:tcW w:w="2126" w:type="dxa"/>
            <w:vAlign w:val="center"/>
          </w:tcPr>
          <w:p>
            <w:pPr>
              <w:pStyle w:val="15"/>
            </w:pP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19.06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10.01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rPr>
                <w:rFonts w:hint="eastAsia"/>
              </w:rPr>
              <w:t>本年收入合计</w:t>
            </w:r>
          </w:p>
        </w:tc>
        <w:tc>
          <w:tcPr>
            <w:tcW w:w="2126" w:type="dxa"/>
            <w:vAlign w:val="center"/>
          </w:tcPr>
          <w:p>
            <w:pPr>
              <w:pStyle w:val="19"/>
            </w:pPr>
            <w:r>
              <w:t>210.88</w:t>
            </w:r>
          </w:p>
        </w:tc>
        <w:tc>
          <w:tcPr>
            <w:tcW w:w="4535" w:type="dxa"/>
            <w:vAlign w:val="center"/>
          </w:tcPr>
          <w:p>
            <w:pPr>
              <w:pStyle w:val="18"/>
            </w:pPr>
            <w:r>
              <w:rPr>
                <w:rFonts w:hint="eastAsia"/>
              </w:rPr>
              <w:t>本年支出合计</w:t>
            </w:r>
          </w:p>
        </w:tc>
        <w:tc>
          <w:tcPr>
            <w:tcW w:w="2126" w:type="dxa"/>
            <w:vAlign w:val="center"/>
          </w:tcPr>
          <w:p>
            <w:pPr>
              <w:pStyle w:val="19"/>
            </w:pPr>
            <w:r>
              <w:t>210.88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rPr>
                <w:rFonts w:hint="eastAsia"/>
              </w:rPr>
              <w:t>收入总计</w:t>
            </w:r>
          </w:p>
        </w:tc>
        <w:tc>
          <w:tcPr>
            <w:tcW w:w="2126" w:type="dxa"/>
            <w:vAlign w:val="center"/>
          </w:tcPr>
          <w:p>
            <w:pPr>
              <w:pStyle w:val="19"/>
            </w:pPr>
            <w:r>
              <w:t>210.88</w:t>
            </w:r>
          </w:p>
        </w:tc>
        <w:tc>
          <w:tcPr>
            <w:tcW w:w="4535" w:type="dxa"/>
            <w:vAlign w:val="center"/>
          </w:tcPr>
          <w:p>
            <w:pPr>
              <w:pStyle w:val="18"/>
            </w:pPr>
            <w:r>
              <w:rPr>
                <w:rFonts w:hint="eastAsia"/>
              </w:rPr>
              <w:t>支出总计</w:t>
            </w:r>
          </w:p>
        </w:tc>
        <w:tc>
          <w:tcPr>
            <w:tcW w:w="2126" w:type="dxa"/>
            <w:vAlign w:val="center"/>
          </w:tcPr>
          <w:p>
            <w:pPr>
              <w:pStyle w:val="19"/>
            </w:pPr>
            <w:r>
              <w:t>210.88</w:t>
            </w:r>
          </w:p>
        </w:tc>
      </w:tr>
    </w:tbl>
    <w:p>
      <w:pPr>
        <w:sectPr>
          <w:footerReference r:id="rId6" w:type="default"/>
          <w:footerReference r:id="rId7"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2"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210.88</w:t>
            </w:r>
          </w:p>
        </w:tc>
        <w:tc>
          <w:tcPr>
            <w:tcW w:w="1134" w:type="dxa"/>
            <w:vAlign w:val="center"/>
          </w:tcPr>
          <w:p>
            <w:pPr>
              <w:pStyle w:val="19"/>
            </w:pPr>
            <w:r>
              <w:t>210.88</w:t>
            </w:r>
          </w:p>
        </w:tc>
        <w:tc>
          <w:tcPr>
            <w:tcW w:w="1134" w:type="dxa"/>
            <w:vAlign w:val="center"/>
          </w:tcPr>
          <w:p>
            <w:pPr>
              <w:pStyle w:val="19"/>
            </w:pPr>
            <w:r>
              <w:t>210.88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rPr>
                <w:rFonts w:hint="eastAsia"/>
              </w:rPr>
              <w:t>一般公共服务支出</w:t>
            </w:r>
          </w:p>
        </w:tc>
        <w:tc>
          <w:tcPr>
            <w:tcW w:w="1134" w:type="dxa"/>
            <w:vAlign w:val="center"/>
          </w:tcPr>
          <w:p>
            <w:pPr>
              <w:pStyle w:val="15"/>
            </w:pPr>
            <w:r>
              <w:t>181.81</w:t>
            </w:r>
          </w:p>
        </w:tc>
        <w:tc>
          <w:tcPr>
            <w:tcW w:w="1134" w:type="dxa"/>
            <w:vAlign w:val="center"/>
          </w:tcPr>
          <w:p>
            <w:pPr>
              <w:pStyle w:val="15"/>
            </w:pPr>
            <w:r>
              <w:t>181.81</w:t>
            </w:r>
          </w:p>
        </w:tc>
        <w:tc>
          <w:tcPr>
            <w:tcW w:w="1134" w:type="dxa"/>
            <w:vAlign w:val="center"/>
          </w:tcPr>
          <w:p>
            <w:pPr>
              <w:pStyle w:val="15"/>
            </w:pPr>
            <w:r>
              <w:t>181.81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20134</w:t>
            </w:r>
          </w:p>
        </w:tc>
        <w:tc>
          <w:tcPr>
            <w:tcW w:w="1559" w:type="dxa"/>
            <w:vAlign w:val="center"/>
          </w:tcPr>
          <w:p>
            <w:pPr>
              <w:pStyle w:val="16"/>
            </w:pPr>
            <w:r>
              <w:rPr>
                <w:rFonts w:hint="eastAsia"/>
              </w:rPr>
              <w:t>统战事务</w:t>
            </w:r>
          </w:p>
        </w:tc>
        <w:tc>
          <w:tcPr>
            <w:tcW w:w="1134" w:type="dxa"/>
            <w:vAlign w:val="center"/>
          </w:tcPr>
          <w:p>
            <w:pPr>
              <w:pStyle w:val="15"/>
            </w:pPr>
            <w:r>
              <w:t>181.81</w:t>
            </w:r>
          </w:p>
        </w:tc>
        <w:tc>
          <w:tcPr>
            <w:tcW w:w="1134" w:type="dxa"/>
            <w:vAlign w:val="center"/>
          </w:tcPr>
          <w:p>
            <w:pPr>
              <w:pStyle w:val="15"/>
            </w:pPr>
            <w:r>
              <w:t>181.81</w:t>
            </w:r>
          </w:p>
        </w:tc>
        <w:tc>
          <w:tcPr>
            <w:tcW w:w="1134" w:type="dxa"/>
            <w:vAlign w:val="center"/>
          </w:tcPr>
          <w:p>
            <w:pPr>
              <w:pStyle w:val="15"/>
            </w:pPr>
            <w:r>
              <w:t>181.81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2013401</w:t>
            </w:r>
          </w:p>
        </w:tc>
        <w:tc>
          <w:tcPr>
            <w:tcW w:w="1559" w:type="dxa"/>
            <w:vAlign w:val="center"/>
          </w:tcPr>
          <w:p>
            <w:pPr>
              <w:pStyle w:val="16"/>
            </w:pPr>
            <w:r>
              <w:rPr>
                <w:rFonts w:hint="eastAsia"/>
              </w:rPr>
              <w:t>行政运行</w:t>
            </w:r>
          </w:p>
        </w:tc>
        <w:tc>
          <w:tcPr>
            <w:tcW w:w="1134" w:type="dxa"/>
            <w:vAlign w:val="center"/>
          </w:tcPr>
          <w:p>
            <w:pPr>
              <w:pStyle w:val="15"/>
            </w:pPr>
            <w:r>
              <w:t>158.81</w:t>
            </w:r>
          </w:p>
        </w:tc>
        <w:tc>
          <w:tcPr>
            <w:tcW w:w="1134" w:type="dxa"/>
            <w:vAlign w:val="center"/>
          </w:tcPr>
          <w:p>
            <w:pPr>
              <w:pStyle w:val="15"/>
            </w:pPr>
            <w:r>
              <w:t>158.81</w:t>
            </w:r>
          </w:p>
        </w:tc>
        <w:tc>
          <w:tcPr>
            <w:tcW w:w="1134" w:type="dxa"/>
            <w:vAlign w:val="center"/>
          </w:tcPr>
          <w:p>
            <w:pPr>
              <w:pStyle w:val="15"/>
            </w:pPr>
            <w:r>
              <w:t>158.81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2013404</w:t>
            </w:r>
          </w:p>
        </w:tc>
        <w:tc>
          <w:tcPr>
            <w:tcW w:w="1559" w:type="dxa"/>
            <w:vAlign w:val="center"/>
          </w:tcPr>
          <w:p>
            <w:pPr>
              <w:pStyle w:val="16"/>
            </w:pPr>
            <w:r>
              <w:rPr>
                <w:rFonts w:hint="eastAsia"/>
              </w:rPr>
              <w:t>宗教事务</w:t>
            </w:r>
          </w:p>
        </w:tc>
        <w:tc>
          <w:tcPr>
            <w:tcW w:w="1134" w:type="dxa"/>
            <w:vAlign w:val="center"/>
          </w:tcPr>
          <w:p>
            <w:pPr>
              <w:pStyle w:val="15"/>
            </w:pPr>
            <w:r>
              <w:t>9.00</w:t>
            </w:r>
          </w:p>
        </w:tc>
        <w:tc>
          <w:tcPr>
            <w:tcW w:w="1134" w:type="dxa"/>
            <w:vAlign w:val="center"/>
          </w:tcPr>
          <w:p>
            <w:pPr>
              <w:pStyle w:val="15"/>
            </w:pPr>
            <w:r>
              <w:t>9.00</w:t>
            </w:r>
          </w:p>
        </w:tc>
        <w:tc>
          <w:tcPr>
            <w:tcW w:w="1134" w:type="dxa"/>
            <w:vAlign w:val="center"/>
          </w:tcPr>
          <w:p>
            <w:pPr>
              <w:pStyle w:val="15"/>
            </w:pPr>
            <w:r>
              <w:t>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2013499</w:t>
            </w:r>
          </w:p>
        </w:tc>
        <w:tc>
          <w:tcPr>
            <w:tcW w:w="1559" w:type="dxa"/>
            <w:vAlign w:val="center"/>
          </w:tcPr>
          <w:p>
            <w:pPr>
              <w:pStyle w:val="16"/>
            </w:pPr>
            <w:r>
              <w:rPr>
                <w:rFonts w:hint="eastAsia"/>
              </w:rPr>
              <w:t>其他统战事务支出</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2722"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6"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rPr>
                <w:rFonts w:hint="eastAsia"/>
              </w:rPr>
              <w:t>合计</w:t>
            </w:r>
          </w:p>
        </w:tc>
        <w:tc>
          <w:tcPr>
            <w:tcW w:w="1361" w:type="dxa"/>
            <w:vAlign w:val="center"/>
          </w:tcPr>
          <w:p>
            <w:pPr>
              <w:pStyle w:val="19"/>
            </w:pPr>
            <w:r>
              <w:t>210.88</w:t>
            </w:r>
          </w:p>
        </w:tc>
        <w:tc>
          <w:tcPr>
            <w:tcW w:w="1361" w:type="dxa"/>
            <w:vAlign w:val="center"/>
          </w:tcPr>
          <w:p>
            <w:pPr>
              <w:pStyle w:val="19"/>
            </w:pPr>
            <w:r>
              <w:t>187.88</w:t>
            </w:r>
          </w:p>
        </w:tc>
        <w:tc>
          <w:tcPr>
            <w:tcW w:w="1361" w:type="dxa"/>
            <w:vAlign w:val="center"/>
          </w:tcPr>
          <w:p>
            <w:pPr>
              <w:pStyle w:val="19"/>
            </w:pPr>
            <w:r>
              <w:t>23.00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rPr>
                <w:rFonts w:hint="eastAsia"/>
              </w:rPr>
              <w:t>一般公共服务支出</w:t>
            </w:r>
          </w:p>
        </w:tc>
        <w:tc>
          <w:tcPr>
            <w:tcW w:w="1361" w:type="dxa"/>
            <w:vAlign w:val="center"/>
          </w:tcPr>
          <w:p>
            <w:pPr>
              <w:pStyle w:val="15"/>
            </w:pPr>
            <w:r>
              <w:t>181.81</w:t>
            </w:r>
          </w:p>
        </w:tc>
        <w:tc>
          <w:tcPr>
            <w:tcW w:w="1361" w:type="dxa"/>
            <w:vAlign w:val="center"/>
          </w:tcPr>
          <w:p>
            <w:pPr>
              <w:pStyle w:val="15"/>
            </w:pPr>
            <w:r>
              <w:t>158.81</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20134</w:t>
            </w:r>
          </w:p>
        </w:tc>
        <w:tc>
          <w:tcPr>
            <w:tcW w:w="4536" w:type="dxa"/>
            <w:vAlign w:val="center"/>
          </w:tcPr>
          <w:p>
            <w:pPr>
              <w:pStyle w:val="16"/>
            </w:pPr>
            <w:r>
              <w:rPr>
                <w:rFonts w:hint="eastAsia"/>
              </w:rPr>
              <w:t>统战事务</w:t>
            </w:r>
          </w:p>
        </w:tc>
        <w:tc>
          <w:tcPr>
            <w:tcW w:w="1361" w:type="dxa"/>
            <w:vAlign w:val="center"/>
          </w:tcPr>
          <w:p>
            <w:pPr>
              <w:pStyle w:val="15"/>
            </w:pPr>
            <w:r>
              <w:t>181.81</w:t>
            </w:r>
          </w:p>
        </w:tc>
        <w:tc>
          <w:tcPr>
            <w:tcW w:w="1361" w:type="dxa"/>
            <w:vAlign w:val="center"/>
          </w:tcPr>
          <w:p>
            <w:pPr>
              <w:pStyle w:val="15"/>
            </w:pPr>
            <w:r>
              <w:t>158.81</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2013401</w:t>
            </w:r>
          </w:p>
        </w:tc>
        <w:tc>
          <w:tcPr>
            <w:tcW w:w="4536" w:type="dxa"/>
            <w:vAlign w:val="center"/>
          </w:tcPr>
          <w:p>
            <w:pPr>
              <w:pStyle w:val="16"/>
            </w:pPr>
            <w:r>
              <w:rPr>
                <w:rFonts w:hint="eastAsia"/>
              </w:rPr>
              <w:t>行政运行</w:t>
            </w:r>
          </w:p>
        </w:tc>
        <w:tc>
          <w:tcPr>
            <w:tcW w:w="1361" w:type="dxa"/>
            <w:vAlign w:val="center"/>
          </w:tcPr>
          <w:p>
            <w:pPr>
              <w:pStyle w:val="15"/>
            </w:pPr>
            <w:r>
              <w:t>158.81</w:t>
            </w:r>
          </w:p>
        </w:tc>
        <w:tc>
          <w:tcPr>
            <w:tcW w:w="1361" w:type="dxa"/>
            <w:vAlign w:val="center"/>
          </w:tcPr>
          <w:p>
            <w:pPr>
              <w:pStyle w:val="15"/>
            </w:pPr>
            <w:r>
              <w:t>158.81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2013404</w:t>
            </w:r>
          </w:p>
        </w:tc>
        <w:tc>
          <w:tcPr>
            <w:tcW w:w="4536" w:type="dxa"/>
            <w:vAlign w:val="center"/>
          </w:tcPr>
          <w:p>
            <w:pPr>
              <w:pStyle w:val="16"/>
            </w:pPr>
            <w:r>
              <w:rPr>
                <w:rFonts w:hint="eastAsia"/>
              </w:rPr>
              <w:t>宗教事务</w:t>
            </w:r>
          </w:p>
        </w:tc>
        <w:tc>
          <w:tcPr>
            <w:tcW w:w="1361" w:type="dxa"/>
            <w:vAlign w:val="center"/>
          </w:tcPr>
          <w:p>
            <w:pPr>
              <w:pStyle w:val="15"/>
            </w:pPr>
            <w:r>
              <w:t>9.00</w:t>
            </w:r>
          </w:p>
        </w:tc>
        <w:tc>
          <w:tcPr>
            <w:tcW w:w="1361" w:type="dxa"/>
            <w:vAlign w:val="center"/>
          </w:tcPr>
          <w:p>
            <w:pPr>
              <w:pStyle w:val="15"/>
            </w:pPr>
          </w:p>
        </w:tc>
        <w:tc>
          <w:tcPr>
            <w:tcW w:w="1361" w:type="dxa"/>
            <w:vAlign w:val="center"/>
          </w:tcPr>
          <w:p>
            <w:pPr>
              <w:pStyle w:val="15"/>
            </w:pPr>
            <w:r>
              <w:t>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2013499</w:t>
            </w:r>
          </w:p>
        </w:tc>
        <w:tc>
          <w:tcPr>
            <w:tcW w:w="4536" w:type="dxa"/>
            <w:vAlign w:val="center"/>
          </w:tcPr>
          <w:p>
            <w:pPr>
              <w:pStyle w:val="16"/>
            </w:pPr>
            <w:r>
              <w:rPr>
                <w:rFonts w:hint="eastAsia"/>
              </w:rPr>
              <w:t>其他统战事务支出</w:t>
            </w: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6" w:type="dxa"/>
            <w:vAlign w:val="center"/>
          </w:tcPr>
          <w:p>
            <w:pPr>
              <w:pStyle w:val="16"/>
            </w:pPr>
            <w:r>
              <w:rPr>
                <w:rFonts w:hint="eastAsia"/>
              </w:rPr>
              <w:t>社会保障和就业支出</w:t>
            </w:r>
          </w:p>
        </w:tc>
        <w:tc>
          <w:tcPr>
            <w:tcW w:w="1361" w:type="dxa"/>
            <w:vAlign w:val="center"/>
          </w:tcPr>
          <w:p>
            <w:pPr>
              <w:pStyle w:val="15"/>
            </w:pPr>
            <w:r>
              <w:t>19.06</w:t>
            </w:r>
          </w:p>
        </w:tc>
        <w:tc>
          <w:tcPr>
            <w:tcW w:w="1361" w:type="dxa"/>
            <w:vAlign w:val="center"/>
          </w:tcPr>
          <w:p>
            <w:pPr>
              <w:pStyle w:val="15"/>
            </w:pPr>
            <w:r>
              <w:t>19.06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6" w:type="dxa"/>
            <w:vAlign w:val="center"/>
          </w:tcPr>
          <w:p>
            <w:pPr>
              <w:pStyle w:val="16"/>
            </w:pPr>
            <w:r>
              <w:rPr>
                <w:rFonts w:hint="eastAsia"/>
              </w:rPr>
              <w:t>行政事业单位养老支出</w:t>
            </w:r>
          </w:p>
        </w:tc>
        <w:tc>
          <w:tcPr>
            <w:tcW w:w="1361" w:type="dxa"/>
            <w:vAlign w:val="center"/>
          </w:tcPr>
          <w:p>
            <w:pPr>
              <w:pStyle w:val="15"/>
            </w:pPr>
            <w:r>
              <w:t>19.06</w:t>
            </w:r>
          </w:p>
        </w:tc>
        <w:tc>
          <w:tcPr>
            <w:tcW w:w="1361" w:type="dxa"/>
            <w:vAlign w:val="center"/>
          </w:tcPr>
          <w:p>
            <w:pPr>
              <w:pStyle w:val="15"/>
            </w:pPr>
            <w:r>
              <w:t>19.06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6" w:type="dxa"/>
            <w:vAlign w:val="center"/>
          </w:tcPr>
          <w:p>
            <w:pPr>
              <w:pStyle w:val="16"/>
            </w:pPr>
            <w:r>
              <w:rPr>
                <w:rFonts w:hint="eastAsia"/>
              </w:rPr>
              <w:t>机关事业单位基本养老保险缴费支出</w:t>
            </w:r>
          </w:p>
        </w:tc>
        <w:tc>
          <w:tcPr>
            <w:tcW w:w="1361" w:type="dxa"/>
            <w:vAlign w:val="center"/>
          </w:tcPr>
          <w:p>
            <w:pPr>
              <w:pStyle w:val="15"/>
            </w:pPr>
            <w:r>
              <w:t>19.06</w:t>
            </w:r>
          </w:p>
        </w:tc>
        <w:tc>
          <w:tcPr>
            <w:tcW w:w="1361" w:type="dxa"/>
            <w:vAlign w:val="center"/>
          </w:tcPr>
          <w:p>
            <w:pPr>
              <w:pStyle w:val="15"/>
            </w:pPr>
            <w:r>
              <w:t>19.06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6" w:type="dxa"/>
            <w:vAlign w:val="center"/>
          </w:tcPr>
          <w:p>
            <w:pPr>
              <w:pStyle w:val="16"/>
            </w:pPr>
            <w:r>
              <w:rPr>
                <w:rFonts w:hint="eastAsia"/>
              </w:rPr>
              <w:t>卫生健康支出</w:t>
            </w:r>
          </w:p>
        </w:tc>
        <w:tc>
          <w:tcPr>
            <w:tcW w:w="1361" w:type="dxa"/>
            <w:vAlign w:val="center"/>
          </w:tcPr>
          <w:p>
            <w:pPr>
              <w:pStyle w:val="15"/>
            </w:pPr>
            <w:r>
              <w:t>10.01</w:t>
            </w:r>
          </w:p>
        </w:tc>
        <w:tc>
          <w:tcPr>
            <w:tcW w:w="1361" w:type="dxa"/>
            <w:vAlign w:val="center"/>
          </w:tcPr>
          <w:p>
            <w:pPr>
              <w:pStyle w:val="15"/>
            </w:pPr>
            <w:r>
              <w:t>10.01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6" w:type="dxa"/>
            <w:vAlign w:val="center"/>
          </w:tcPr>
          <w:p>
            <w:pPr>
              <w:pStyle w:val="16"/>
            </w:pPr>
            <w:r>
              <w:rPr>
                <w:rFonts w:hint="eastAsia"/>
              </w:rPr>
              <w:t>行政事业单位医疗</w:t>
            </w:r>
          </w:p>
        </w:tc>
        <w:tc>
          <w:tcPr>
            <w:tcW w:w="1361" w:type="dxa"/>
            <w:vAlign w:val="center"/>
          </w:tcPr>
          <w:p>
            <w:pPr>
              <w:pStyle w:val="15"/>
            </w:pPr>
            <w:r>
              <w:t>10.01</w:t>
            </w:r>
          </w:p>
        </w:tc>
        <w:tc>
          <w:tcPr>
            <w:tcW w:w="1361" w:type="dxa"/>
            <w:vAlign w:val="center"/>
          </w:tcPr>
          <w:p>
            <w:pPr>
              <w:pStyle w:val="15"/>
            </w:pPr>
            <w:r>
              <w:t>10.01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6" w:type="dxa"/>
            <w:vAlign w:val="center"/>
          </w:tcPr>
          <w:p>
            <w:pPr>
              <w:pStyle w:val="16"/>
            </w:pPr>
            <w:r>
              <w:rPr>
                <w:rFonts w:hint="eastAsia"/>
              </w:rPr>
              <w:t>行政单位医疗</w:t>
            </w:r>
          </w:p>
        </w:tc>
        <w:tc>
          <w:tcPr>
            <w:tcW w:w="1361" w:type="dxa"/>
            <w:vAlign w:val="center"/>
          </w:tcPr>
          <w:p>
            <w:pPr>
              <w:pStyle w:val="15"/>
            </w:pPr>
            <w:r>
              <w:t>10.01</w:t>
            </w:r>
          </w:p>
        </w:tc>
        <w:tc>
          <w:tcPr>
            <w:tcW w:w="1361" w:type="dxa"/>
            <w:vAlign w:val="center"/>
          </w:tcPr>
          <w:p>
            <w:pPr>
              <w:pStyle w:val="15"/>
            </w:pPr>
            <w:r>
              <w:t>10.01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210.88</w:t>
            </w:r>
          </w:p>
        </w:tc>
        <w:tc>
          <w:tcPr>
            <w:tcW w:w="3402" w:type="dxa"/>
            <w:vAlign w:val="center"/>
          </w:tcPr>
          <w:p>
            <w:pPr>
              <w:pStyle w:val="16"/>
            </w:pPr>
            <w:r>
              <w:rPr>
                <w:rFonts w:hint="eastAsia"/>
              </w:rPr>
              <w:t>一、一般公共服务支出</w:t>
            </w:r>
          </w:p>
        </w:tc>
        <w:tc>
          <w:tcPr>
            <w:tcW w:w="1474" w:type="dxa"/>
            <w:vAlign w:val="center"/>
          </w:tcPr>
          <w:p>
            <w:pPr>
              <w:pStyle w:val="15"/>
            </w:pPr>
            <w:r>
              <w:t>181.81</w:t>
            </w:r>
          </w:p>
        </w:tc>
        <w:tc>
          <w:tcPr>
            <w:tcW w:w="1474" w:type="dxa"/>
            <w:vAlign w:val="center"/>
          </w:tcPr>
          <w:p>
            <w:pPr>
              <w:pStyle w:val="15"/>
            </w:pPr>
            <w:r>
              <w:t>181.81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19.06</w:t>
            </w:r>
          </w:p>
        </w:tc>
        <w:tc>
          <w:tcPr>
            <w:tcW w:w="1474" w:type="dxa"/>
            <w:vAlign w:val="center"/>
          </w:tcPr>
          <w:p>
            <w:pPr>
              <w:pStyle w:val="15"/>
            </w:pPr>
            <w:r>
              <w:t>19.06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r>
              <w:t>10.01</w:t>
            </w:r>
          </w:p>
        </w:tc>
        <w:tc>
          <w:tcPr>
            <w:tcW w:w="1474" w:type="dxa"/>
            <w:vAlign w:val="center"/>
          </w:tcPr>
          <w:p>
            <w:pPr>
              <w:pStyle w:val="15"/>
            </w:pPr>
            <w:r>
              <w:t>10.01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rPr>
                <w:rFonts w:hint="eastAsia"/>
              </w:rPr>
              <w:t>本年收入合计</w:t>
            </w:r>
          </w:p>
        </w:tc>
        <w:tc>
          <w:tcPr>
            <w:tcW w:w="1474" w:type="dxa"/>
            <w:vAlign w:val="center"/>
          </w:tcPr>
          <w:p>
            <w:pPr>
              <w:pStyle w:val="19"/>
            </w:pPr>
            <w:r>
              <w:t>210.88</w:t>
            </w:r>
          </w:p>
        </w:tc>
        <w:tc>
          <w:tcPr>
            <w:tcW w:w="3402" w:type="dxa"/>
            <w:vAlign w:val="center"/>
          </w:tcPr>
          <w:p>
            <w:pPr>
              <w:pStyle w:val="18"/>
            </w:pPr>
            <w:r>
              <w:rPr>
                <w:rFonts w:hint="eastAsia"/>
              </w:rPr>
              <w:t>本年支出合计</w:t>
            </w:r>
          </w:p>
        </w:tc>
        <w:tc>
          <w:tcPr>
            <w:tcW w:w="1474" w:type="dxa"/>
            <w:vAlign w:val="center"/>
          </w:tcPr>
          <w:p>
            <w:pPr>
              <w:pStyle w:val="19"/>
            </w:pPr>
            <w:r>
              <w:t>210.88</w:t>
            </w:r>
          </w:p>
        </w:tc>
        <w:tc>
          <w:tcPr>
            <w:tcW w:w="1474" w:type="dxa"/>
            <w:vAlign w:val="center"/>
          </w:tcPr>
          <w:p>
            <w:pPr>
              <w:pStyle w:val="19"/>
            </w:pPr>
            <w:r>
              <w:t>210.88</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rPr>
                <w:rFonts w:hint="eastAsia"/>
              </w:rPr>
              <w:t>收入总计</w:t>
            </w:r>
          </w:p>
        </w:tc>
        <w:tc>
          <w:tcPr>
            <w:tcW w:w="1474" w:type="dxa"/>
            <w:vAlign w:val="center"/>
          </w:tcPr>
          <w:p>
            <w:pPr>
              <w:pStyle w:val="19"/>
            </w:pPr>
            <w:r>
              <w:t>210.88</w:t>
            </w:r>
          </w:p>
        </w:tc>
        <w:tc>
          <w:tcPr>
            <w:tcW w:w="3402" w:type="dxa"/>
            <w:vAlign w:val="center"/>
          </w:tcPr>
          <w:p>
            <w:pPr>
              <w:pStyle w:val="18"/>
            </w:pPr>
            <w:r>
              <w:rPr>
                <w:rFonts w:hint="eastAsia"/>
              </w:rPr>
              <w:t>支出总计</w:t>
            </w:r>
          </w:p>
        </w:tc>
        <w:tc>
          <w:tcPr>
            <w:tcW w:w="1474" w:type="dxa"/>
            <w:vAlign w:val="center"/>
          </w:tcPr>
          <w:p>
            <w:pPr>
              <w:pStyle w:val="19"/>
            </w:pPr>
            <w:r>
              <w:t>210.88</w:t>
            </w:r>
          </w:p>
        </w:tc>
        <w:tc>
          <w:tcPr>
            <w:tcW w:w="1474" w:type="dxa"/>
            <w:vAlign w:val="center"/>
          </w:tcPr>
          <w:p>
            <w:pPr>
              <w:pStyle w:val="19"/>
            </w:pPr>
            <w:r>
              <w:t>210.88</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210.88</w:t>
            </w:r>
          </w:p>
        </w:tc>
        <w:tc>
          <w:tcPr>
            <w:tcW w:w="2551" w:type="dxa"/>
            <w:vAlign w:val="center"/>
          </w:tcPr>
          <w:p>
            <w:pPr>
              <w:pStyle w:val="19"/>
            </w:pPr>
            <w:r>
              <w:t>187.88</w:t>
            </w:r>
          </w:p>
        </w:tc>
        <w:tc>
          <w:tcPr>
            <w:tcW w:w="2551" w:type="dxa"/>
            <w:vAlign w:val="center"/>
          </w:tcPr>
          <w:p>
            <w:pPr>
              <w:pStyle w:val="19"/>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rPr>
                <w:rFonts w:hint="eastAsia"/>
              </w:rPr>
              <w:t>一般公共服务支出</w:t>
            </w:r>
          </w:p>
        </w:tc>
        <w:tc>
          <w:tcPr>
            <w:tcW w:w="2551" w:type="dxa"/>
            <w:vAlign w:val="center"/>
          </w:tcPr>
          <w:p>
            <w:pPr>
              <w:pStyle w:val="15"/>
            </w:pPr>
            <w:r>
              <w:t>181.81</w:t>
            </w:r>
          </w:p>
        </w:tc>
        <w:tc>
          <w:tcPr>
            <w:tcW w:w="2551" w:type="dxa"/>
            <w:vAlign w:val="center"/>
          </w:tcPr>
          <w:p>
            <w:pPr>
              <w:pStyle w:val="15"/>
            </w:pPr>
            <w:r>
              <w:t>158.81</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20134</w:t>
            </w:r>
          </w:p>
        </w:tc>
        <w:tc>
          <w:tcPr>
            <w:tcW w:w="4535" w:type="dxa"/>
            <w:vAlign w:val="center"/>
          </w:tcPr>
          <w:p>
            <w:pPr>
              <w:pStyle w:val="16"/>
            </w:pPr>
            <w:r>
              <w:rPr>
                <w:rFonts w:hint="eastAsia"/>
              </w:rPr>
              <w:t>统战事务</w:t>
            </w:r>
          </w:p>
        </w:tc>
        <w:tc>
          <w:tcPr>
            <w:tcW w:w="2551" w:type="dxa"/>
            <w:vAlign w:val="center"/>
          </w:tcPr>
          <w:p>
            <w:pPr>
              <w:pStyle w:val="15"/>
            </w:pPr>
            <w:r>
              <w:t>181.81</w:t>
            </w:r>
          </w:p>
        </w:tc>
        <w:tc>
          <w:tcPr>
            <w:tcW w:w="2551" w:type="dxa"/>
            <w:vAlign w:val="center"/>
          </w:tcPr>
          <w:p>
            <w:pPr>
              <w:pStyle w:val="15"/>
            </w:pPr>
            <w:r>
              <w:t>158.81</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2013401</w:t>
            </w:r>
          </w:p>
        </w:tc>
        <w:tc>
          <w:tcPr>
            <w:tcW w:w="4535" w:type="dxa"/>
            <w:vAlign w:val="center"/>
          </w:tcPr>
          <w:p>
            <w:pPr>
              <w:pStyle w:val="16"/>
            </w:pPr>
            <w:r>
              <w:rPr>
                <w:rFonts w:hint="eastAsia"/>
              </w:rPr>
              <w:t>行政运行</w:t>
            </w:r>
          </w:p>
        </w:tc>
        <w:tc>
          <w:tcPr>
            <w:tcW w:w="2551" w:type="dxa"/>
            <w:vAlign w:val="center"/>
          </w:tcPr>
          <w:p>
            <w:pPr>
              <w:pStyle w:val="15"/>
            </w:pPr>
            <w:r>
              <w:t>158.81</w:t>
            </w:r>
          </w:p>
        </w:tc>
        <w:tc>
          <w:tcPr>
            <w:tcW w:w="2551" w:type="dxa"/>
            <w:vAlign w:val="center"/>
          </w:tcPr>
          <w:p>
            <w:pPr>
              <w:pStyle w:val="15"/>
            </w:pPr>
            <w:r>
              <w:t>158.81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2013404</w:t>
            </w:r>
          </w:p>
        </w:tc>
        <w:tc>
          <w:tcPr>
            <w:tcW w:w="4535" w:type="dxa"/>
            <w:vAlign w:val="center"/>
          </w:tcPr>
          <w:p>
            <w:pPr>
              <w:pStyle w:val="16"/>
            </w:pPr>
            <w:r>
              <w:rPr>
                <w:rFonts w:hint="eastAsia"/>
              </w:rPr>
              <w:t>宗教事务</w:t>
            </w:r>
          </w:p>
        </w:tc>
        <w:tc>
          <w:tcPr>
            <w:tcW w:w="2551" w:type="dxa"/>
            <w:vAlign w:val="center"/>
          </w:tcPr>
          <w:p>
            <w:pPr>
              <w:pStyle w:val="15"/>
            </w:pPr>
            <w:r>
              <w:t>9.00</w:t>
            </w:r>
          </w:p>
        </w:tc>
        <w:tc>
          <w:tcPr>
            <w:tcW w:w="2551" w:type="dxa"/>
            <w:vAlign w:val="center"/>
          </w:tcPr>
          <w:p>
            <w:pPr>
              <w:pStyle w:val="15"/>
            </w:pPr>
          </w:p>
        </w:tc>
        <w:tc>
          <w:tcPr>
            <w:tcW w:w="2551"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2013499</w:t>
            </w:r>
          </w:p>
        </w:tc>
        <w:tc>
          <w:tcPr>
            <w:tcW w:w="4535" w:type="dxa"/>
            <w:vAlign w:val="center"/>
          </w:tcPr>
          <w:p>
            <w:pPr>
              <w:pStyle w:val="16"/>
            </w:pPr>
            <w:r>
              <w:rPr>
                <w:rFonts w:hint="eastAsia"/>
              </w:rPr>
              <w:t>其他统战事务支出</w:t>
            </w:r>
          </w:p>
        </w:tc>
        <w:tc>
          <w:tcPr>
            <w:tcW w:w="2551" w:type="dxa"/>
            <w:vAlign w:val="center"/>
          </w:tcPr>
          <w:p>
            <w:pPr>
              <w:pStyle w:val="15"/>
            </w:pPr>
            <w:r>
              <w:t>14.00</w:t>
            </w:r>
          </w:p>
        </w:tc>
        <w:tc>
          <w:tcPr>
            <w:tcW w:w="2551" w:type="dxa"/>
            <w:vAlign w:val="center"/>
          </w:tcPr>
          <w:p>
            <w:pPr>
              <w:pStyle w:val="15"/>
            </w:pPr>
          </w:p>
        </w:tc>
        <w:tc>
          <w:tcPr>
            <w:tcW w:w="2551"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19.06</w:t>
            </w:r>
          </w:p>
        </w:tc>
        <w:tc>
          <w:tcPr>
            <w:tcW w:w="2551" w:type="dxa"/>
            <w:vAlign w:val="center"/>
          </w:tcPr>
          <w:p>
            <w:pPr>
              <w:pStyle w:val="15"/>
            </w:pPr>
            <w:r>
              <w:t>19.06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rPr>
                <w:rFonts w:hint="eastAsia"/>
              </w:rPr>
              <w:t>行政事业单位养老支出</w:t>
            </w:r>
          </w:p>
        </w:tc>
        <w:tc>
          <w:tcPr>
            <w:tcW w:w="2551" w:type="dxa"/>
            <w:vAlign w:val="center"/>
          </w:tcPr>
          <w:p>
            <w:pPr>
              <w:pStyle w:val="15"/>
            </w:pPr>
            <w:r>
              <w:t>19.06</w:t>
            </w:r>
          </w:p>
        </w:tc>
        <w:tc>
          <w:tcPr>
            <w:tcW w:w="2551" w:type="dxa"/>
            <w:vAlign w:val="center"/>
          </w:tcPr>
          <w:p>
            <w:pPr>
              <w:pStyle w:val="15"/>
            </w:pPr>
            <w:r>
              <w:t>19.06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pPr>
            <w:r>
              <w:t>19.06</w:t>
            </w:r>
          </w:p>
        </w:tc>
        <w:tc>
          <w:tcPr>
            <w:tcW w:w="2551" w:type="dxa"/>
            <w:vAlign w:val="center"/>
          </w:tcPr>
          <w:p>
            <w:pPr>
              <w:pStyle w:val="15"/>
            </w:pPr>
            <w:r>
              <w:t>19.06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pPr>
            <w:r>
              <w:t>10.01</w:t>
            </w:r>
          </w:p>
        </w:tc>
        <w:tc>
          <w:tcPr>
            <w:tcW w:w="2551" w:type="dxa"/>
            <w:vAlign w:val="center"/>
          </w:tcPr>
          <w:p>
            <w:pPr>
              <w:pStyle w:val="15"/>
            </w:pPr>
            <w:r>
              <w:t>10.01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pPr>
            <w:r>
              <w:t>10.01</w:t>
            </w:r>
          </w:p>
        </w:tc>
        <w:tc>
          <w:tcPr>
            <w:tcW w:w="2551" w:type="dxa"/>
            <w:vAlign w:val="center"/>
          </w:tcPr>
          <w:p>
            <w:pPr>
              <w:pStyle w:val="15"/>
            </w:pPr>
            <w:r>
              <w:t>10.01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rPr>
                <w:rFonts w:hint="eastAsia"/>
              </w:rPr>
              <w:t>行政单位医疗</w:t>
            </w:r>
          </w:p>
        </w:tc>
        <w:tc>
          <w:tcPr>
            <w:tcW w:w="2551" w:type="dxa"/>
            <w:vAlign w:val="center"/>
          </w:tcPr>
          <w:p>
            <w:pPr>
              <w:pStyle w:val="15"/>
            </w:pPr>
            <w:r>
              <w:t>10.01</w:t>
            </w:r>
          </w:p>
        </w:tc>
        <w:tc>
          <w:tcPr>
            <w:tcW w:w="2551" w:type="dxa"/>
            <w:vAlign w:val="center"/>
          </w:tcPr>
          <w:p>
            <w:pPr>
              <w:pStyle w:val="15"/>
            </w:pPr>
            <w:r>
              <w:t>10.01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2"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187.88</w:t>
            </w:r>
          </w:p>
        </w:tc>
        <w:tc>
          <w:tcPr>
            <w:tcW w:w="2551" w:type="dxa"/>
            <w:vAlign w:val="center"/>
          </w:tcPr>
          <w:p>
            <w:pPr>
              <w:pStyle w:val="19"/>
            </w:pPr>
            <w:r>
              <w:t>170.56</w:t>
            </w:r>
          </w:p>
        </w:tc>
        <w:tc>
          <w:tcPr>
            <w:tcW w:w="2552" w:type="dxa"/>
            <w:vAlign w:val="center"/>
          </w:tcPr>
          <w:p>
            <w:pPr>
              <w:pStyle w:val="19"/>
            </w:pPr>
            <w:r>
              <w:t>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165.53</w:t>
            </w:r>
          </w:p>
        </w:tc>
        <w:tc>
          <w:tcPr>
            <w:tcW w:w="2551" w:type="dxa"/>
            <w:vAlign w:val="center"/>
          </w:tcPr>
          <w:p>
            <w:pPr>
              <w:pStyle w:val="15"/>
            </w:pPr>
            <w:r>
              <w:t>165.53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67.57</w:t>
            </w:r>
          </w:p>
        </w:tc>
        <w:tc>
          <w:tcPr>
            <w:tcW w:w="2551" w:type="dxa"/>
            <w:vAlign w:val="center"/>
          </w:tcPr>
          <w:p>
            <w:pPr>
              <w:pStyle w:val="15"/>
            </w:pPr>
            <w:r>
              <w:t>67.57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23.95</w:t>
            </w:r>
          </w:p>
        </w:tc>
        <w:tc>
          <w:tcPr>
            <w:tcW w:w="2551" w:type="dxa"/>
            <w:vAlign w:val="center"/>
          </w:tcPr>
          <w:p>
            <w:pPr>
              <w:pStyle w:val="15"/>
            </w:pPr>
            <w:r>
              <w:t>23.95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30.78</w:t>
            </w:r>
          </w:p>
        </w:tc>
        <w:tc>
          <w:tcPr>
            <w:tcW w:w="2551" w:type="dxa"/>
            <w:vAlign w:val="center"/>
          </w:tcPr>
          <w:p>
            <w:pPr>
              <w:pStyle w:val="15"/>
            </w:pPr>
            <w:r>
              <w:t>30.78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rPr>
                <w:rFonts w:hint="eastAsia"/>
              </w:rPr>
              <w:t>绩效工资</w:t>
            </w:r>
          </w:p>
        </w:tc>
        <w:tc>
          <w:tcPr>
            <w:tcW w:w="2551" w:type="dxa"/>
            <w:vAlign w:val="center"/>
          </w:tcPr>
          <w:p>
            <w:pPr>
              <w:pStyle w:val="15"/>
            </w:pPr>
            <w:r>
              <w:t>13.18</w:t>
            </w:r>
          </w:p>
        </w:tc>
        <w:tc>
          <w:tcPr>
            <w:tcW w:w="2551" w:type="dxa"/>
            <w:vAlign w:val="center"/>
          </w:tcPr>
          <w:p>
            <w:pPr>
              <w:pStyle w:val="15"/>
            </w:pPr>
            <w:r>
              <w:t>13.18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19.06</w:t>
            </w:r>
          </w:p>
        </w:tc>
        <w:tc>
          <w:tcPr>
            <w:tcW w:w="2551" w:type="dxa"/>
            <w:vAlign w:val="center"/>
          </w:tcPr>
          <w:p>
            <w:pPr>
              <w:pStyle w:val="15"/>
            </w:pPr>
            <w:r>
              <w:t>19.06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rPr>
                <w:rFonts w:hint="eastAsia"/>
              </w:rPr>
              <w:t>城镇职工基本医疗保险缴费</w:t>
            </w:r>
          </w:p>
        </w:tc>
        <w:tc>
          <w:tcPr>
            <w:tcW w:w="2551" w:type="dxa"/>
            <w:vAlign w:val="center"/>
          </w:tcPr>
          <w:p>
            <w:pPr>
              <w:pStyle w:val="15"/>
            </w:pPr>
            <w:r>
              <w:t>10.01</w:t>
            </w:r>
          </w:p>
        </w:tc>
        <w:tc>
          <w:tcPr>
            <w:tcW w:w="2551" w:type="dxa"/>
            <w:vAlign w:val="center"/>
          </w:tcPr>
          <w:p>
            <w:pPr>
              <w:pStyle w:val="15"/>
            </w:pPr>
            <w:r>
              <w:t>10.01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0.98</w:t>
            </w:r>
          </w:p>
        </w:tc>
        <w:tc>
          <w:tcPr>
            <w:tcW w:w="2551" w:type="dxa"/>
            <w:vAlign w:val="center"/>
          </w:tcPr>
          <w:p>
            <w:pPr>
              <w:pStyle w:val="15"/>
            </w:pPr>
            <w:r>
              <w:t>0.98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17.32</w:t>
            </w:r>
          </w:p>
        </w:tc>
        <w:tc>
          <w:tcPr>
            <w:tcW w:w="2551" w:type="dxa"/>
            <w:vAlign w:val="center"/>
          </w:tcPr>
          <w:p>
            <w:pPr>
              <w:pStyle w:val="15"/>
            </w:pPr>
          </w:p>
        </w:tc>
        <w:tc>
          <w:tcPr>
            <w:tcW w:w="2552" w:type="dxa"/>
            <w:vAlign w:val="center"/>
          </w:tcPr>
          <w:p>
            <w:pPr>
              <w:pStyle w:val="15"/>
            </w:pPr>
            <w:r>
              <w:t>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4.30</w:t>
            </w:r>
          </w:p>
        </w:tc>
        <w:tc>
          <w:tcPr>
            <w:tcW w:w="2551" w:type="dxa"/>
            <w:vAlign w:val="center"/>
          </w:tcPr>
          <w:p>
            <w:pPr>
              <w:pStyle w:val="15"/>
            </w:pPr>
          </w:p>
        </w:tc>
        <w:tc>
          <w:tcPr>
            <w:tcW w:w="2552" w:type="dxa"/>
            <w:vAlign w:val="center"/>
          </w:tcPr>
          <w:p>
            <w:pPr>
              <w:pStyle w:val="15"/>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30206</w:t>
            </w:r>
          </w:p>
        </w:tc>
        <w:tc>
          <w:tcPr>
            <w:tcW w:w="4535" w:type="dxa"/>
            <w:vAlign w:val="center"/>
          </w:tcPr>
          <w:p>
            <w:pPr>
              <w:pStyle w:val="16"/>
            </w:pPr>
            <w:r>
              <w:rPr>
                <w:rFonts w:hint="eastAsia"/>
              </w:rPr>
              <w:t>电费</w:t>
            </w:r>
          </w:p>
        </w:tc>
        <w:tc>
          <w:tcPr>
            <w:tcW w:w="2551" w:type="dxa"/>
            <w:vAlign w:val="center"/>
          </w:tcPr>
          <w:p>
            <w:pPr>
              <w:pStyle w:val="15"/>
            </w:pPr>
            <w:r>
              <w:t>0.40</w:t>
            </w:r>
          </w:p>
        </w:tc>
        <w:tc>
          <w:tcPr>
            <w:tcW w:w="2551" w:type="dxa"/>
            <w:vAlign w:val="center"/>
          </w:tcPr>
          <w:p>
            <w:pPr>
              <w:pStyle w:val="15"/>
            </w:pPr>
          </w:p>
        </w:tc>
        <w:tc>
          <w:tcPr>
            <w:tcW w:w="2552"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3.72</w:t>
            </w:r>
          </w:p>
        </w:tc>
        <w:tc>
          <w:tcPr>
            <w:tcW w:w="2551" w:type="dxa"/>
            <w:vAlign w:val="center"/>
          </w:tcPr>
          <w:p>
            <w:pPr>
              <w:pStyle w:val="15"/>
            </w:pPr>
          </w:p>
        </w:tc>
        <w:tc>
          <w:tcPr>
            <w:tcW w:w="2552" w:type="dxa"/>
            <w:vAlign w:val="center"/>
          </w:tcPr>
          <w:p>
            <w:pPr>
              <w:pStyle w:val="15"/>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30211</w:t>
            </w:r>
          </w:p>
        </w:tc>
        <w:tc>
          <w:tcPr>
            <w:tcW w:w="4535" w:type="dxa"/>
            <w:vAlign w:val="center"/>
          </w:tcPr>
          <w:p>
            <w:pPr>
              <w:pStyle w:val="16"/>
            </w:pPr>
            <w:r>
              <w:rPr>
                <w:rFonts w:hint="eastAsia"/>
              </w:rPr>
              <w:t>差旅费</w:t>
            </w:r>
          </w:p>
        </w:tc>
        <w:tc>
          <w:tcPr>
            <w:tcW w:w="2551" w:type="dxa"/>
            <w:vAlign w:val="center"/>
          </w:tcPr>
          <w:p>
            <w:pPr>
              <w:pStyle w:val="15"/>
            </w:pPr>
            <w:r>
              <w:t>0.80</w:t>
            </w:r>
          </w:p>
        </w:tc>
        <w:tc>
          <w:tcPr>
            <w:tcW w:w="2551" w:type="dxa"/>
            <w:vAlign w:val="center"/>
          </w:tcPr>
          <w:p>
            <w:pPr>
              <w:pStyle w:val="15"/>
            </w:pPr>
          </w:p>
        </w:tc>
        <w:tc>
          <w:tcPr>
            <w:tcW w:w="2552"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rPr>
                <w:rFonts w:hint="eastAsia"/>
              </w:rPr>
              <w:t>公务用车运行维护费</w:t>
            </w:r>
          </w:p>
        </w:tc>
        <w:tc>
          <w:tcPr>
            <w:tcW w:w="2551" w:type="dxa"/>
            <w:vAlign w:val="center"/>
          </w:tcPr>
          <w:p>
            <w:pPr>
              <w:pStyle w:val="15"/>
            </w:pPr>
            <w:r>
              <w:t>3.00</w:t>
            </w:r>
          </w:p>
        </w:tc>
        <w:tc>
          <w:tcPr>
            <w:tcW w:w="2551" w:type="dxa"/>
            <w:vAlign w:val="center"/>
          </w:tcPr>
          <w:p>
            <w:pPr>
              <w:pStyle w:val="15"/>
            </w:pPr>
          </w:p>
        </w:tc>
        <w:tc>
          <w:tcPr>
            <w:tcW w:w="2552"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5.10</w:t>
            </w:r>
          </w:p>
        </w:tc>
        <w:tc>
          <w:tcPr>
            <w:tcW w:w="2551" w:type="dxa"/>
            <w:vAlign w:val="center"/>
          </w:tcPr>
          <w:p>
            <w:pPr>
              <w:pStyle w:val="15"/>
            </w:pPr>
          </w:p>
        </w:tc>
        <w:tc>
          <w:tcPr>
            <w:tcW w:w="2552" w:type="dxa"/>
            <w:vAlign w:val="center"/>
          </w:tcPr>
          <w:p>
            <w:pPr>
              <w:pStyle w:val="15"/>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rPr>
                <w:rFonts w:hint="eastAsia"/>
              </w:rPr>
              <w:t>对个人和家庭的补助</w:t>
            </w:r>
          </w:p>
        </w:tc>
        <w:tc>
          <w:tcPr>
            <w:tcW w:w="2551" w:type="dxa"/>
            <w:vAlign w:val="center"/>
          </w:tcPr>
          <w:p>
            <w:pPr>
              <w:pStyle w:val="15"/>
            </w:pPr>
            <w:r>
              <w:t>5.03</w:t>
            </w:r>
          </w:p>
        </w:tc>
        <w:tc>
          <w:tcPr>
            <w:tcW w:w="2551" w:type="dxa"/>
            <w:vAlign w:val="center"/>
          </w:tcPr>
          <w:p>
            <w:pPr>
              <w:pStyle w:val="15"/>
            </w:pPr>
            <w:r>
              <w:t>5.03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rPr>
                <w:rFonts w:hint="eastAsia"/>
              </w:rPr>
              <w:t>退休费</w:t>
            </w:r>
          </w:p>
        </w:tc>
        <w:tc>
          <w:tcPr>
            <w:tcW w:w="2551" w:type="dxa"/>
            <w:vAlign w:val="center"/>
          </w:tcPr>
          <w:p>
            <w:pPr>
              <w:pStyle w:val="15"/>
            </w:pPr>
            <w:r>
              <w:t>5.03</w:t>
            </w:r>
          </w:p>
        </w:tc>
        <w:tc>
          <w:tcPr>
            <w:tcW w:w="2551" w:type="dxa"/>
            <w:vAlign w:val="center"/>
          </w:tcPr>
          <w:p>
            <w:pPr>
              <w:pStyle w:val="15"/>
            </w:pPr>
            <w:r>
              <w:t>5.03</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5"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rPr>
                <w:rFonts w:hint="eastAsia"/>
              </w:rPr>
              <w:t>“三公”经费小计</w:t>
            </w:r>
          </w:p>
        </w:tc>
        <w:tc>
          <w:tcPr>
            <w:tcW w:w="2382" w:type="dxa"/>
            <w:vAlign w:val="center"/>
          </w:tcPr>
          <w:p>
            <w:pPr>
              <w:pStyle w:val="19"/>
              <w:rPr>
                <w:rFonts w:hint="eastAsia" w:eastAsia="方正书宋_GBK"/>
                <w:lang w:val="en-US" w:eastAsia="zh-CN"/>
              </w:rPr>
            </w:pPr>
            <w:r>
              <w:rPr>
                <w:rFonts w:hint="eastAsia"/>
                <w:lang w:val="en-US" w:eastAsia="zh-CN"/>
              </w:rPr>
              <w:t>3</w:t>
            </w:r>
          </w:p>
        </w:tc>
        <w:tc>
          <w:tcPr>
            <w:tcW w:w="2381" w:type="dxa"/>
            <w:vAlign w:val="center"/>
          </w:tcPr>
          <w:p>
            <w:pPr>
              <w:pStyle w:val="19"/>
              <w:rPr>
                <w:rFonts w:hint="eastAsia" w:eastAsia="方正书宋_GBK"/>
                <w:lang w:val="en-US" w:eastAsia="zh-CN"/>
              </w:rPr>
            </w:pPr>
            <w:r>
              <w:rPr>
                <w:rFonts w:hint="eastAsia"/>
                <w:lang w:val="en-US" w:eastAsia="zh-CN"/>
              </w:rPr>
              <w:t>3</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rPr>
                <w:rFonts w:hint="eastAsia"/>
              </w:rP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w:t>
            </w:r>
            <w:r>
              <w:rPr>
                <w:rFonts w:hint="eastAsia"/>
              </w:rPr>
              <w:t>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w:t>
            </w:r>
            <w:r>
              <w:rPr>
                <w:rFonts w:hint="eastAsia"/>
              </w:rPr>
              <w:t>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rPr>
                <w:rFonts w:hint="eastAsia"/>
              </w:rPr>
              <w:t>二、公务用车购置及运维费</w:t>
            </w:r>
          </w:p>
        </w:tc>
        <w:tc>
          <w:tcPr>
            <w:tcW w:w="2382" w:type="dxa"/>
            <w:vAlign w:val="center"/>
          </w:tcPr>
          <w:p>
            <w:pPr>
              <w:pStyle w:val="15"/>
              <w:rPr>
                <w:rFonts w:hint="eastAsia" w:eastAsia="方正书宋_GBK"/>
                <w:lang w:val="en-US" w:eastAsia="zh-CN"/>
              </w:rPr>
            </w:pPr>
            <w:r>
              <w:rPr>
                <w:rFonts w:hint="eastAsia"/>
                <w:lang w:val="en-US" w:eastAsia="zh-CN"/>
              </w:rPr>
              <w:t>3</w:t>
            </w:r>
          </w:p>
        </w:tc>
        <w:tc>
          <w:tcPr>
            <w:tcW w:w="2381" w:type="dxa"/>
            <w:vAlign w:val="center"/>
          </w:tcPr>
          <w:p>
            <w:pPr>
              <w:pStyle w:val="15"/>
              <w:rPr>
                <w:rFonts w:hint="eastAsia" w:eastAsia="方正书宋_GBK"/>
                <w:lang w:val="en-US" w:eastAsia="zh-CN"/>
              </w:rPr>
            </w:pPr>
            <w:r>
              <w:rPr>
                <w:rFonts w:hint="eastAsia"/>
                <w:lang w:val="en-US" w:eastAsia="zh-CN"/>
              </w:rPr>
              <w:t>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w:t>
            </w:r>
            <w:r>
              <w:rPr>
                <w:rFonts w:hint="eastAsia"/>
              </w:rPr>
              <w:t>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w:t>
            </w:r>
            <w:r>
              <w:rPr>
                <w:rFonts w:hint="eastAsia"/>
              </w:rPr>
              <w:t>公务用车运行维护费</w:t>
            </w:r>
          </w:p>
        </w:tc>
        <w:tc>
          <w:tcPr>
            <w:tcW w:w="238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rPr>
                <w:rFonts w:hint="eastAsia"/>
              </w:rP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中国共产党无极县委员会统战部</w:t>
      </w:r>
      <w:r>
        <w:rPr>
          <w:rFonts w:ascii="方正书宋_GBK" w:hAnsi="方正书宋_GBK" w:eastAsia="方正书宋_GBK" w:cs="方正书宋_GBK"/>
          <w:color w:val="FFFFFF"/>
          <w:sz w:val="21"/>
        </w:rPr>
        <w:t>2022</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中国共产党无极县委员会统战部</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w:t>
      </w:r>
      <w:r>
        <w:rPr>
          <w:rFonts w:hint="eastAsia" w:eastAsia="方正仿宋_GBK"/>
          <w:color w:val="000000"/>
          <w:sz w:val="28"/>
          <w:lang w:eastAsia="zh-CN"/>
        </w:rPr>
        <w:t>《中华人民共和国预算法》</w:t>
      </w:r>
      <w:r>
        <w:rPr>
          <w:rFonts w:hint="eastAsia" w:eastAsia="方正仿宋_GBK"/>
          <w:color w:val="000000"/>
          <w:sz w:val="28"/>
        </w:rPr>
        <w:t>、《地方预决算公开操作规程》和《关于进一步推进预算公开工作的实施意见》规定，现将中国共产党无极县委员会统战部</w:t>
      </w:r>
      <w:r>
        <w:rPr>
          <w:rFonts w:eastAsia="方正仿宋_GBK"/>
          <w:color w:val="000000"/>
          <w:sz w:val="28"/>
        </w:rPr>
        <w:t>2022</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1"/>
      </w:pPr>
      <w:r>
        <w:rPr>
          <w:rFonts w:hint="eastAsia"/>
        </w:rP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21"/>
      </w:pPr>
      <w:r>
        <w:rPr>
          <w:rFonts w:hint="eastAsia"/>
        </w:rPr>
        <w:t>（二）开展统一战线理论研究，拟订统一战线工作的规范性文件并推动落实，深入调查研究，及时向县委报告统一战线工作情况并提出建议，统筹协调和指导各单位统一战线工作。</w:t>
      </w:r>
    </w:p>
    <w:p>
      <w:pPr>
        <w:pStyle w:val="21"/>
      </w:pPr>
      <w:r>
        <w:rPr>
          <w:rFonts w:hint="eastAsia"/>
        </w:rPr>
        <w:t>（三）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21"/>
      </w:pPr>
      <w:r>
        <w:rPr>
          <w:rFonts w:hint="eastAsia"/>
        </w:rPr>
        <w:t>（四）贯彻落实党的宣传工作方针，统筹推进全县统一战线宣传工作，拟订全县统一战线宣传工作规划并组织实施，研判涉及统一战线的舆情并协调有关部门应对处置。</w:t>
      </w:r>
    </w:p>
    <w:p>
      <w:pPr>
        <w:pStyle w:val="21"/>
      </w:pPr>
      <w:r>
        <w:rPr>
          <w:rFonts w:hint="eastAsia"/>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21"/>
      </w:pPr>
      <w:r>
        <w:rPr>
          <w:rFonts w:hint="eastAsia"/>
        </w:rPr>
        <w:t>（六）统一领导民族宗教工作，贯彻落实党的民族宗教工作方针和政策，协调处理民族宗教工作中的重大问题，归口领导县民族宗教事务局，全面促进民族宗教事业发展，维护全县民族宗教领域和谐稳定。</w:t>
      </w:r>
    </w:p>
    <w:p>
      <w:pPr>
        <w:pStyle w:val="21"/>
      </w:pPr>
      <w:r>
        <w:rPr>
          <w:rFonts w:hint="eastAsia"/>
        </w:rP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pPr>
        <w:pStyle w:val="21"/>
      </w:pPr>
      <w:r>
        <w:rPr>
          <w:rFonts w:hint="eastAsia"/>
        </w:rPr>
        <w:t>（八）调查研究非公有制经济人士情况并提出政策建议，了解和反映非公有制经济人士的意见，团结、服务、引导、教育非公有制经济人士，促进非公有制经济健康发展和非公有制经济人士健康成长。</w:t>
      </w:r>
    </w:p>
    <w:p>
      <w:pPr>
        <w:pStyle w:val="21"/>
      </w:pPr>
      <w:r>
        <w:rPr>
          <w:rFonts w:hint="eastAsia"/>
        </w:rPr>
        <w:t>（九）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pPr>
        <w:pStyle w:val="21"/>
      </w:pPr>
      <w:r>
        <w:rPr>
          <w:rFonts w:hint="eastAsia"/>
        </w:rPr>
        <w:t>（十）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21"/>
      </w:pPr>
      <w:r>
        <w:rPr>
          <w:rFonts w:hint="eastAsia"/>
        </w:rPr>
        <w:t>（十一）负责全县涉台工作，贯彻执行党中央、国务院对台工作的方针政策。开展对台工作调查研究并结合我县实际提出对策和建议。组织、指导、管理、协调县委、县政府有关部门的对台工作</w:t>
      </w:r>
      <w:r>
        <w:t>;</w:t>
      </w:r>
      <w:r>
        <w:rPr>
          <w:rFonts w:hint="eastAsia"/>
        </w:rPr>
        <w:t>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市、县政府对台大型招商活动。协调、指导全县涉台金融、文化、学术、教育、科技、体育、卫生等领域的交流与合作及人员往来工作。负责我县赴台交流事项的报批和赴台交流人员的行前指导及归后总结工作</w:t>
      </w:r>
      <w:r>
        <w:t>;</w:t>
      </w:r>
      <w:r>
        <w:rPr>
          <w:rFonts w:hint="eastAsia"/>
        </w:rPr>
        <w:t>负责对台湾上层重点人士的联络和来我县台胞的接待服务工作。负责全县对台宣传和涉台教育工作。指导全县宣传媒体涉台新闻报道工作</w:t>
      </w:r>
      <w:r>
        <w:t>;</w:t>
      </w:r>
      <w:r>
        <w:rPr>
          <w:rFonts w:hint="eastAsia"/>
        </w:rPr>
        <w:t>负责全县有关涉台事务的新闻发布</w:t>
      </w:r>
      <w:r>
        <w:t>;</w:t>
      </w:r>
      <w:r>
        <w:rPr>
          <w:rFonts w:hint="eastAsia"/>
        </w:rPr>
        <w:t>协调、处理县内涉台重大事件</w:t>
      </w:r>
      <w:r>
        <w:t>;</w:t>
      </w:r>
      <w:r>
        <w:rPr>
          <w:rFonts w:hint="eastAsia"/>
        </w:rPr>
        <w:t>负责对全县对台工作干部的培训工作。指导各民主党派、县工商联和其他群众团体有关重点人士、重大活动方面的涉台工作。按中央有关规定，负责全县对台接触的组织实施。</w:t>
      </w:r>
    </w:p>
    <w:p>
      <w:pPr>
        <w:pStyle w:val="21"/>
      </w:pPr>
      <w:r>
        <w:rPr>
          <w:rFonts w:hint="eastAsia"/>
        </w:rPr>
        <w:t>（十二）指导各乡镇党委、县直有关单位党委（组）统一战线工作，负责有关单位统战工作负责人培训工作；协调政府有关部门统一战线工作，协助做好民族宗教部门领导班子成员推荐工作；受县委委托，领导县工商联党组，指导县工商联工作；联系指导县侨联工作；做好统一战线有关单位和团体的管理工作。</w:t>
      </w:r>
    </w:p>
    <w:p>
      <w:pPr>
        <w:pStyle w:val="21"/>
      </w:pPr>
      <w:r>
        <w:rPr>
          <w:rFonts w:hint="eastAsia"/>
        </w:rPr>
        <w:t>（十三）完成县委交办的其他任务。</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中国共产党无极县委员会统战部本级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pPr>
      <w:r>
        <w:rPr>
          <w:rFonts w:hint="eastAsia" w:eastAsia="方正仿宋_GBK"/>
          <w:color w:val="000000"/>
          <w:sz w:val="28"/>
        </w:rPr>
        <w:t>按照预算管理有关规定，目前我</w:t>
      </w:r>
      <w:r>
        <w:rPr>
          <w:rFonts w:hint="eastAsia" w:eastAsia="方正仿宋_GBK"/>
          <w:color w:val="000000"/>
          <w:sz w:val="28"/>
          <w:lang w:val="en-US" w:eastAsia="zh-CN"/>
        </w:rPr>
        <w:t>县</w:t>
      </w:r>
      <w:r>
        <w:rPr>
          <w:rFonts w:hint="eastAsia" w:eastAsia="方正仿宋_GBK"/>
          <w:color w:val="000000"/>
          <w:sz w:val="28"/>
        </w:rPr>
        <w:t>部门预算的编制实行综合预算管理，即全部收入和支出都反映在预算中。中国共产党无极县委员会统战部机关及所属事业单位的收支包含在部门预算中。</w:t>
      </w:r>
    </w:p>
    <w:p>
      <w:pPr>
        <w:pStyle w:val="22"/>
      </w:pPr>
      <w:r>
        <w:t>1</w:t>
      </w:r>
      <w:r>
        <w:rPr>
          <w:rFonts w:hint="eastAsia"/>
        </w:rPr>
        <w:t>、收入说明</w:t>
      </w:r>
    </w:p>
    <w:p>
      <w:pPr>
        <w:pStyle w:val="22"/>
      </w:pPr>
      <w:r>
        <w:rPr>
          <w:rFonts w:hint="eastAsia"/>
        </w:rPr>
        <w:t>反映本部门当年全部收入。</w:t>
      </w:r>
      <w:r>
        <w:t>2022</w:t>
      </w:r>
      <w:r>
        <w:rPr>
          <w:rFonts w:hint="eastAsia"/>
        </w:rPr>
        <w:t>年预算收入</w:t>
      </w:r>
      <w:r>
        <w:t>210.88</w:t>
      </w:r>
      <w:r>
        <w:rPr>
          <w:rFonts w:hint="eastAsia"/>
        </w:rPr>
        <w:t>万元，其中：</w:t>
      </w:r>
      <w:r>
        <w:rPr>
          <w:rFonts w:hint="eastAsia"/>
          <w:highlight w:val="none"/>
        </w:rPr>
        <w:t>一般公共预算收入</w:t>
      </w:r>
      <w:r>
        <w:rPr>
          <w:highlight w:val="none"/>
        </w:rPr>
        <w:t>210.88</w:t>
      </w:r>
      <w:r>
        <w:rPr>
          <w:rFonts w:hint="eastAsia"/>
          <w:highlight w:val="none"/>
        </w:rPr>
        <w:t>万元，</w:t>
      </w:r>
      <w:r>
        <w:rPr>
          <w:rFonts w:hint="eastAsia"/>
        </w:rPr>
        <w:t>基金预算收入</w:t>
      </w:r>
      <w:r>
        <w:t>0</w:t>
      </w:r>
      <w:r>
        <w:rPr>
          <w:rFonts w:hint="eastAsia"/>
        </w:rPr>
        <w:t>万元，财政专户核拨收入</w:t>
      </w:r>
      <w:r>
        <w:t>0</w:t>
      </w:r>
      <w:r>
        <w:rPr>
          <w:rFonts w:hint="eastAsia"/>
        </w:rPr>
        <w:t>万元，其他来源收入</w:t>
      </w:r>
      <w:r>
        <w:t>0</w:t>
      </w:r>
      <w:r>
        <w:rPr>
          <w:rFonts w:hint="eastAsia"/>
        </w:rPr>
        <w:t>万元。</w:t>
      </w:r>
    </w:p>
    <w:p>
      <w:pPr>
        <w:pStyle w:val="22"/>
      </w:pPr>
      <w:r>
        <w:t>2</w:t>
      </w:r>
      <w:r>
        <w:rPr>
          <w:rFonts w:hint="eastAsia"/>
        </w:rPr>
        <w:t>、支出说明</w:t>
      </w:r>
    </w:p>
    <w:p>
      <w:pPr>
        <w:pStyle w:val="22"/>
      </w:pPr>
      <w:r>
        <w:rPr>
          <w:rFonts w:hint="eastAsia"/>
        </w:rPr>
        <w:t>收支预算总表支出栏、基本支出表、项目支出表按经济分类和支出功能分类科目编制，反映中国共产党无极县委员会统战部年度部门预算中支出预算的总体情况。</w:t>
      </w:r>
      <w:r>
        <w:t>2022</w:t>
      </w:r>
      <w:r>
        <w:rPr>
          <w:rFonts w:hint="eastAsia"/>
        </w:rPr>
        <w:t>年部门支出预算为</w:t>
      </w:r>
      <w:r>
        <w:t>210.88</w:t>
      </w:r>
      <w:r>
        <w:rPr>
          <w:rFonts w:hint="eastAsia"/>
        </w:rPr>
        <w:t>万元，其中基本支出</w:t>
      </w:r>
      <w:r>
        <w:t>187.88</w:t>
      </w:r>
      <w:r>
        <w:rPr>
          <w:rFonts w:hint="eastAsia"/>
        </w:rPr>
        <w:t>万元，包括人员经费</w:t>
      </w:r>
      <w:r>
        <w:t>170.56</w:t>
      </w:r>
      <w:r>
        <w:rPr>
          <w:rFonts w:hint="eastAsia"/>
        </w:rPr>
        <w:t>万元和日常公用经费</w:t>
      </w:r>
      <w:r>
        <w:t>17.32</w:t>
      </w:r>
      <w:r>
        <w:rPr>
          <w:rFonts w:hint="eastAsia"/>
        </w:rPr>
        <w:t>万元；项目支出</w:t>
      </w:r>
      <w:r>
        <w:t>23</w:t>
      </w:r>
      <w:r>
        <w:rPr>
          <w:rFonts w:hint="eastAsia"/>
        </w:rPr>
        <w:t>万元，主要为其他统战事务支出</w:t>
      </w:r>
      <w:r>
        <w:t>14</w:t>
      </w:r>
      <w:r>
        <w:rPr>
          <w:rFonts w:hint="eastAsia"/>
        </w:rPr>
        <w:t>万元，宗教事务支出</w:t>
      </w:r>
      <w:r>
        <w:t>9</w:t>
      </w:r>
      <w:r>
        <w:rPr>
          <w:rFonts w:hint="eastAsia"/>
        </w:rPr>
        <w:t>万元；其他支出</w:t>
      </w:r>
      <w:r>
        <w:t>0</w:t>
      </w:r>
      <w:r>
        <w:rPr>
          <w:rFonts w:hint="eastAsia"/>
        </w:rPr>
        <w:t>万元。</w:t>
      </w:r>
    </w:p>
    <w:p>
      <w:pPr>
        <w:pStyle w:val="22"/>
      </w:pPr>
      <w:r>
        <w:t>3</w:t>
      </w:r>
      <w:r>
        <w:rPr>
          <w:rFonts w:hint="eastAsia"/>
        </w:rPr>
        <w:t>、比上年增减情况</w:t>
      </w:r>
    </w:p>
    <w:p>
      <w:pPr>
        <w:pStyle w:val="22"/>
      </w:pPr>
      <w:r>
        <w:t>2022</w:t>
      </w:r>
      <w:r>
        <w:rPr>
          <w:rFonts w:hint="eastAsia"/>
        </w:rPr>
        <w:t>年部门预算收支较</w:t>
      </w:r>
      <w:r>
        <w:t>2021</w:t>
      </w:r>
      <w:r>
        <w:rPr>
          <w:rFonts w:hint="eastAsia"/>
        </w:rPr>
        <w:t>年增加</w:t>
      </w:r>
      <w:r>
        <w:t>79.69</w:t>
      </w:r>
      <w:r>
        <w:rPr>
          <w:rFonts w:hint="eastAsia"/>
        </w:rPr>
        <w:t>万元，其中：基本支出增加</w:t>
      </w:r>
      <w:r>
        <w:t>99.69</w:t>
      </w:r>
      <w:r>
        <w:rPr>
          <w:rFonts w:hint="eastAsia"/>
        </w:rPr>
        <w:t>万元，主要是增加人员经费和日常公用经费；项目支出减少</w:t>
      </w:r>
      <w:r>
        <w:t>20</w:t>
      </w:r>
      <w:r>
        <w:rPr>
          <w:rFonts w:hint="eastAsia"/>
        </w:rPr>
        <w:t>万元，主要是减少其他统战事务和宗教事务支出项目支出；其他支出无增减变化。</w:t>
      </w: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pStyle w:val="23"/>
      </w:pPr>
      <w:r>
        <w:t>2022</w:t>
      </w:r>
      <w:r>
        <w:rPr>
          <w:rFonts w:hint="eastAsia"/>
        </w:rPr>
        <w:t>年，我部门机关运行经费共计安排</w:t>
      </w:r>
      <w:r>
        <w:t xml:space="preserve"> 17.32</w:t>
      </w:r>
      <w:r>
        <w:rPr>
          <w:rFonts w:hint="eastAsia"/>
        </w:rPr>
        <w:t>万元，主要用于保证机关正常运转的办公及印刷费、邮电费、差旅费、一般设备购置费、办公用房电费、公务车运行维护费等支出。</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4"/>
      </w:pPr>
      <w:r>
        <w:t>2022</w:t>
      </w:r>
      <w:r>
        <w:rPr>
          <w:rFonts w:hint="eastAsia"/>
        </w:rPr>
        <w:t>年，我部门财政拨款</w:t>
      </w:r>
      <w:r>
        <w:t>“</w:t>
      </w:r>
      <w:r>
        <w:rPr>
          <w:rFonts w:hint="eastAsia"/>
        </w:rPr>
        <w:t>三公</w:t>
      </w:r>
      <w:r>
        <w:t>”</w:t>
      </w:r>
      <w:r>
        <w:rPr>
          <w:rFonts w:hint="eastAsia"/>
        </w:rPr>
        <w:t>经费预算安排</w:t>
      </w:r>
      <w:r>
        <w:t>3</w:t>
      </w:r>
      <w:r>
        <w:rPr>
          <w:rFonts w:hint="eastAsia"/>
        </w:rPr>
        <w:t>万元，其中：因公出国（境）费</w:t>
      </w:r>
      <w:r>
        <w:t>0</w:t>
      </w:r>
      <w:r>
        <w:rPr>
          <w:rFonts w:hint="eastAsia"/>
        </w:rPr>
        <w:t>万元；公务用车购置及运维费</w:t>
      </w:r>
      <w:r>
        <w:t>3</w:t>
      </w:r>
      <w:r>
        <w:rPr>
          <w:rFonts w:hint="eastAsia"/>
        </w:rPr>
        <w:t>万元（其中公务用车购置费</w:t>
      </w:r>
      <w:r>
        <w:t>0</w:t>
      </w:r>
      <w:r>
        <w:rPr>
          <w:rFonts w:hint="eastAsia"/>
        </w:rPr>
        <w:t>万元，公务用车运行维护费</w:t>
      </w:r>
      <w:r>
        <w:t>3</w:t>
      </w:r>
      <w:r>
        <w:rPr>
          <w:rFonts w:hint="eastAsia"/>
        </w:rPr>
        <w:t>万元</w:t>
      </w:r>
      <w:r>
        <w:t>)</w:t>
      </w:r>
      <w:r>
        <w:rPr>
          <w:rFonts w:hint="eastAsia"/>
        </w:rPr>
        <w:t>；公务接待费</w:t>
      </w:r>
      <w:r>
        <w:t>0</w:t>
      </w:r>
      <w:r>
        <w:rPr>
          <w:rFonts w:hint="eastAsia"/>
        </w:rPr>
        <w:t>万元。与</w:t>
      </w:r>
      <w:r>
        <w:t>2021</w:t>
      </w:r>
      <w:r>
        <w:rPr>
          <w:rFonts w:hint="eastAsia"/>
        </w:rPr>
        <w:t>年相比持平无增减变化。</w:t>
      </w: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pPr>
        <w:spacing w:line="500" w:lineRule="exact"/>
        <w:ind w:firstLine="560" w:firstLineChars="200"/>
      </w:pPr>
      <w:r>
        <w:rPr>
          <w:rFonts w:hint="eastAsia" w:eastAsia="方正仿宋_GBK"/>
          <w:color w:val="000000"/>
          <w:sz w:val="28"/>
          <w:lang w:val="en-US" w:eastAsia="zh-CN"/>
        </w:rPr>
        <w:t>一、</w:t>
      </w:r>
      <w:r>
        <w:rPr>
          <w:rFonts w:hint="eastAsia" w:eastAsia="方正仿宋_GBK"/>
          <w:color w:val="000000"/>
          <w:sz w:val="28"/>
        </w:rPr>
        <w:t>总体绩效目标</w:t>
      </w:r>
    </w:p>
    <w:p>
      <w:pPr>
        <w:pStyle w:val="25"/>
      </w:pPr>
      <w:r>
        <w:rPr>
          <w:rFonts w:hint="eastAsia"/>
        </w:rPr>
        <w:t>全面贯彻《统一战线工作条例》、党的十九大、十九届一中、二中、三中、四中、五中全会精神，坚持以习近平新时代中国特色社会主义思想为统领，牢牢把握大统战格局，扎实推进市委、市政府和县委、县政府工作部署落地落实，努力做好我县统战、民族团结进步宣传工作和少数民族服务工作。全面深化依法行政、推进新修订《宗教事务条例》的贯彻落实。全面深化</w:t>
      </w:r>
      <w:r>
        <w:t>“</w:t>
      </w:r>
      <w:r>
        <w:rPr>
          <w:rFonts w:hint="eastAsia"/>
        </w:rPr>
        <w:t>设立创建和谐寺观教堂指导员</w:t>
      </w:r>
      <w:r>
        <w:t>”</w:t>
      </w:r>
      <w:r>
        <w:rPr>
          <w:rFonts w:hint="eastAsia"/>
        </w:rPr>
        <w:t>和</w:t>
      </w:r>
      <w:r>
        <w:t>“</w:t>
      </w:r>
      <w:r>
        <w:rPr>
          <w:rFonts w:hint="eastAsia"/>
        </w:rPr>
        <w:t>创建星级和谐寺观教堂</w:t>
      </w:r>
      <w:r>
        <w:t>”</w:t>
      </w:r>
      <w:r>
        <w:rPr>
          <w:rFonts w:hint="eastAsia"/>
        </w:rPr>
        <w:t>两项活动，全面深化宗教中国化方向的引领、积极引导宗教与社会主义社会相适应，全面深化宗教领域专项治理、精准发力解决突出问题，全面深化民族宗教领域平安建设水平、切实维护社会和谐稳定，奋力开创新时代我县统战民族宗教工作新局面。</w:t>
      </w:r>
    </w:p>
    <w:p>
      <w:pPr>
        <w:spacing w:line="500" w:lineRule="exact"/>
        <w:ind w:firstLine="560"/>
      </w:pPr>
      <w:r>
        <w:rPr>
          <w:rFonts w:hint="eastAsia" w:eastAsia="方正仿宋_GBK"/>
          <w:color w:val="000000"/>
          <w:sz w:val="28"/>
          <w:lang w:val="en-US" w:eastAsia="zh-CN"/>
        </w:rPr>
        <w:t>二、</w:t>
      </w:r>
      <w:r>
        <w:rPr>
          <w:rFonts w:hint="eastAsia" w:eastAsia="方正仿宋_GBK"/>
          <w:color w:val="000000"/>
          <w:sz w:val="28"/>
        </w:rPr>
        <w:t>分项绩效目标</w:t>
      </w:r>
    </w:p>
    <w:p>
      <w:pPr>
        <w:pStyle w:val="26"/>
        <w:ind w:left="0" w:leftChars="0" w:firstLine="0" w:firstLineChars="0"/>
      </w:pPr>
      <w:r>
        <w:rPr>
          <w:rFonts w:hint="eastAsia"/>
        </w:rPr>
        <w:t>　</w:t>
      </w:r>
      <w:r>
        <w:rPr>
          <w:rFonts w:hint="eastAsia"/>
          <w:lang w:val="en-US" w:eastAsia="zh-CN"/>
        </w:rPr>
        <w:t xml:space="preserve">   1.</w:t>
      </w:r>
      <w:r>
        <w:rPr>
          <w:rFonts w:hint="eastAsia"/>
        </w:rPr>
        <w:t>贯彻执行国家宗教工作的方针政策；监督检查宗教活动场所。</w:t>
      </w:r>
    </w:p>
    <w:p>
      <w:pPr>
        <w:pStyle w:val="26"/>
        <w:ind w:left="0" w:leftChars="0" w:firstLine="560" w:firstLineChars="200"/>
      </w:pPr>
      <w:r>
        <w:rPr>
          <w:rFonts w:hint="eastAsia"/>
        </w:rPr>
        <w:t>绩效目标：完成宗教基本事务管理，加大全市宗教活动场所监管力度。</w:t>
      </w:r>
    </w:p>
    <w:p>
      <w:pPr>
        <w:pStyle w:val="26"/>
        <w:ind w:left="0" w:leftChars="0" w:firstLine="560" w:firstLineChars="200"/>
      </w:pPr>
      <w:r>
        <w:rPr>
          <w:rFonts w:hint="eastAsia"/>
        </w:rPr>
        <w:t>绩效指标：全县大型宗教活动场所检查覆盖率</w:t>
      </w:r>
      <w:r>
        <w:t>≥80%</w:t>
      </w:r>
    </w:p>
    <w:p>
      <w:pPr>
        <w:pStyle w:val="26"/>
      </w:pPr>
      <w:r>
        <w:rPr>
          <w:rFonts w:hint="eastAsia"/>
          <w:lang w:val="en-US" w:eastAsia="zh-CN"/>
        </w:rPr>
        <w:t>2.</w:t>
      </w:r>
      <w:r>
        <w:rPr>
          <w:rFonts w:hint="eastAsia"/>
        </w:rPr>
        <w:t>调查研究统战、民族、宗教工作的理论、方针、政策和法律法规，做好重要工作和重大问题的处理。</w:t>
      </w:r>
    </w:p>
    <w:p>
      <w:pPr>
        <w:pStyle w:val="26"/>
        <w:ind w:left="0" w:leftChars="0" w:firstLine="0" w:firstLineChars="0"/>
      </w:pPr>
      <w:r>
        <w:rPr>
          <w:rFonts w:hint="eastAsia"/>
        </w:rPr>
        <w:t>　</w:t>
      </w:r>
      <w:r>
        <w:rPr>
          <w:rFonts w:hint="eastAsia"/>
          <w:lang w:val="en-US" w:eastAsia="zh-CN"/>
        </w:rPr>
        <w:t xml:space="preserve">    </w:t>
      </w:r>
      <w:r>
        <w:rPr>
          <w:rFonts w:hint="eastAsia"/>
        </w:rPr>
        <w:t>绩效目标：做好落实</w:t>
      </w:r>
      <w:r>
        <w:t>“</w:t>
      </w:r>
      <w:r>
        <w:rPr>
          <w:rFonts w:hint="eastAsia"/>
        </w:rPr>
        <w:t>双创四进</w:t>
      </w:r>
      <w:r>
        <w:t>”</w:t>
      </w:r>
      <w:r>
        <w:rPr>
          <w:rFonts w:hint="eastAsia"/>
        </w:rPr>
        <w:t>，支持宗教活动场爱心驿站建设。</w:t>
      </w:r>
    </w:p>
    <w:p>
      <w:pPr>
        <w:pStyle w:val="26"/>
        <w:ind w:left="0" w:leftChars="0" w:firstLine="0" w:firstLineChars="0"/>
      </w:pPr>
      <w:r>
        <w:rPr>
          <w:rFonts w:hint="eastAsia"/>
        </w:rPr>
        <w:t>　</w:t>
      </w:r>
      <w:r>
        <w:rPr>
          <w:rFonts w:hint="eastAsia"/>
          <w:lang w:val="en-US" w:eastAsia="zh-CN"/>
        </w:rPr>
        <w:t xml:space="preserve">    </w:t>
      </w:r>
      <w:r>
        <w:rPr>
          <w:rFonts w:hint="eastAsia"/>
        </w:rPr>
        <w:t>绩效指标：组织全县民族宗教领域问题处理督导检查</w:t>
      </w:r>
      <w:r>
        <w:t>2</w:t>
      </w:r>
      <w:r>
        <w:rPr>
          <w:rFonts w:hint="eastAsia"/>
        </w:rPr>
        <w:t>次；进一步完善爱心驿站建设。</w:t>
      </w:r>
    </w:p>
    <w:p>
      <w:pPr>
        <w:pStyle w:val="26"/>
      </w:pPr>
      <w:r>
        <w:rPr>
          <w:rFonts w:hint="eastAsia"/>
          <w:lang w:val="en-US" w:eastAsia="zh-CN"/>
        </w:rPr>
        <w:t>3.</w:t>
      </w:r>
      <w:r>
        <w:rPr>
          <w:rFonts w:hint="eastAsia"/>
        </w:rPr>
        <w:t>做好</w:t>
      </w:r>
      <w:r>
        <w:rPr>
          <w:rFonts w:hint="eastAsia"/>
          <w:lang w:eastAsia="zh-CN"/>
        </w:rPr>
        <w:t>党外知识分子和</w:t>
      </w:r>
      <w:r>
        <w:rPr>
          <w:rFonts w:hint="eastAsia"/>
        </w:rPr>
        <w:t>新的社会阶层人士统战工作。</w:t>
      </w:r>
    </w:p>
    <w:p>
      <w:pPr>
        <w:pStyle w:val="26"/>
        <w:ind w:left="0" w:leftChars="0" w:firstLine="0" w:firstLineChars="0"/>
      </w:pPr>
      <w:r>
        <w:rPr>
          <w:rFonts w:hint="eastAsia"/>
        </w:rPr>
        <w:t>　</w:t>
      </w:r>
      <w:r>
        <w:rPr>
          <w:rFonts w:hint="eastAsia"/>
          <w:lang w:val="en-US" w:eastAsia="zh-CN"/>
        </w:rPr>
        <w:t xml:space="preserve">    </w:t>
      </w:r>
      <w:r>
        <w:rPr>
          <w:rFonts w:hint="eastAsia"/>
        </w:rPr>
        <w:t>绩效目标：通过组织活动，加强对</w:t>
      </w:r>
      <w:r>
        <w:rPr>
          <w:rFonts w:hint="eastAsia"/>
          <w:lang w:eastAsia="zh-CN"/>
        </w:rPr>
        <w:t>党外知识分子和</w:t>
      </w:r>
      <w:r>
        <w:rPr>
          <w:rFonts w:hint="eastAsia"/>
        </w:rPr>
        <w:t>新的社会阶层人士的思想政治引领，对新联会加强领导，促进新联会组织建设，进一步加强</w:t>
      </w:r>
      <w:r>
        <w:rPr>
          <w:rFonts w:hint="eastAsia"/>
          <w:lang w:eastAsia="zh-CN"/>
        </w:rPr>
        <w:t>党外知识分子和</w:t>
      </w:r>
      <w:r>
        <w:rPr>
          <w:rFonts w:hint="eastAsia"/>
        </w:rPr>
        <w:t>新的社会阶层人士统战工作。</w:t>
      </w:r>
    </w:p>
    <w:p>
      <w:pPr>
        <w:pStyle w:val="26"/>
        <w:ind w:left="0" w:leftChars="0" w:firstLine="560" w:firstLineChars="200"/>
      </w:pPr>
      <w:r>
        <w:rPr>
          <w:rFonts w:hint="eastAsia"/>
        </w:rPr>
        <w:t>绩效指标：组织</w:t>
      </w:r>
      <w:r>
        <w:rPr>
          <w:rFonts w:hint="eastAsia"/>
          <w:lang w:eastAsia="zh-CN"/>
        </w:rPr>
        <w:t>党外知识分子和</w:t>
      </w:r>
      <w:r>
        <w:rPr>
          <w:rFonts w:hint="eastAsia"/>
        </w:rPr>
        <w:t>新的社会阶层人士开展</w:t>
      </w:r>
      <w:r>
        <w:t>1-2</w:t>
      </w:r>
      <w:r>
        <w:rPr>
          <w:rFonts w:hint="eastAsia"/>
        </w:rPr>
        <w:t>次活动，加强对新联会的组织领导。</w:t>
      </w:r>
    </w:p>
    <w:p>
      <w:pPr>
        <w:pStyle w:val="26"/>
        <w:ind w:left="0" w:leftChars="0" w:firstLine="560" w:firstLineChars="200"/>
      </w:pPr>
      <w:r>
        <w:rPr>
          <w:rFonts w:hint="eastAsia"/>
          <w:lang w:val="en-US" w:eastAsia="zh-CN"/>
        </w:rPr>
        <w:t>4.</w:t>
      </w:r>
      <w:r>
        <w:rPr>
          <w:rFonts w:hint="eastAsia"/>
        </w:rPr>
        <w:t>做好民营经济代表人士工作。</w:t>
      </w:r>
    </w:p>
    <w:p>
      <w:pPr>
        <w:pStyle w:val="26"/>
        <w:ind w:left="0" w:leftChars="0" w:firstLine="560" w:firstLineChars="200"/>
      </w:pPr>
      <w:r>
        <w:rPr>
          <w:rFonts w:hint="eastAsia"/>
        </w:rPr>
        <w:t>绩效目标：召开政企沟通联席会议，开展企业家沙龙，进一步民营经济代表人士统战工作。</w:t>
      </w:r>
    </w:p>
    <w:p>
      <w:pPr>
        <w:pStyle w:val="26"/>
        <w:ind w:left="0" w:leftChars="0" w:firstLine="560" w:firstLineChars="200"/>
      </w:pPr>
      <w:r>
        <w:rPr>
          <w:rFonts w:hint="eastAsia"/>
        </w:rPr>
        <w:t>绩效指标：筹备召开</w:t>
      </w:r>
      <w:r>
        <w:t>2-3</w:t>
      </w:r>
      <w:r>
        <w:rPr>
          <w:rFonts w:hint="eastAsia"/>
        </w:rPr>
        <w:t>次政企沟通联席会议，开展</w:t>
      </w:r>
      <w:r>
        <w:t>1-2</w:t>
      </w:r>
      <w:r>
        <w:rPr>
          <w:rFonts w:hint="eastAsia"/>
        </w:rPr>
        <w:t>次企业家沙龙，组织开展</w:t>
      </w:r>
      <w:r>
        <w:t>1-2</w:t>
      </w:r>
      <w:r>
        <w:rPr>
          <w:rFonts w:hint="eastAsia"/>
        </w:rPr>
        <w:t>次民营经济代表人士思想政治教育。</w:t>
      </w:r>
    </w:p>
    <w:p>
      <w:pPr>
        <w:spacing w:line="500" w:lineRule="exact"/>
        <w:ind w:firstLine="560"/>
      </w:pPr>
      <w:r>
        <w:rPr>
          <w:rFonts w:hint="eastAsia" w:eastAsia="方正仿宋_GBK"/>
          <w:color w:val="000000"/>
          <w:sz w:val="28"/>
          <w:lang w:val="en-US" w:eastAsia="zh-CN"/>
        </w:rPr>
        <w:t>三、</w:t>
      </w:r>
      <w:r>
        <w:rPr>
          <w:rFonts w:hint="eastAsia" w:eastAsia="方正仿宋_GBK"/>
          <w:color w:val="000000"/>
          <w:sz w:val="28"/>
        </w:rPr>
        <w:t>工作保障措施</w:t>
      </w:r>
    </w:p>
    <w:p>
      <w:pPr>
        <w:pStyle w:val="27"/>
      </w:pPr>
      <w:r>
        <w:t xml:space="preserve"> </w:t>
      </w:r>
      <w:r>
        <w:rPr>
          <w:rFonts w:hint="eastAsia"/>
        </w:rPr>
        <w:t>统战部其职责贯彻落实民族宗教工作方针，组织开展民族宗教理论、政策和民族宗教问题等重点课题的调查研究，协调处理涉及民族关系的有关事宜，协调处理民族宗教工作的重大问题，依法管理民族宗教事务，维护全市民族宗教领域和谐稳定。</w:t>
      </w:r>
    </w:p>
    <w:p>
      <w:pPr>
        <w:pStyle w:val="27"/>
        <w:ind w:left="0" w:leftChars="0" w:firstLine="560" w:firstLineChars="200"/>
      </w:pPr>
      <w:r>
        <w:rPr>
          <w:rFonts w:hint="eastAsia"/>
        </w:rPr>
        <w:t>完善制度建设。坚持依法履职行政，依法推动民族宗教工作</w:t>
      </w:r>
      <w:r>
        <w:t>.</w:t>
      </w:r>
      <w:r>
        <w:rPr>
          <w:rFonts w:hint="eastAsia"/>
        </w:rPr>
        <w:t>制定完善预算绩效管理制度、资金管理办法、工作保障制度等，为全年预算绩效目标的实现奠定制度基础。</w:t>
      </w:r>
    </w:p>
    <w:p>
      <w:pPr>
        <w:pStyle w:val="27"/>
      </w:pPr>
      <w:r>
        <w:rPr>
          <w:rFonts w:hint="eastAsia"/>
        </w:rPr>
        <w:t>加强支出管理。在加强制度管理的基础上，通过优化支出结构、编细编实预算、加快履行政府采购手续、尽快启动项目、及时支付资金、按规定及时下达资金等多种措施，确保支出进度达标。</w:t>
      </w:r>
    </w:p>
    <w:p>
      <w:pPr>
        <w:pStyle w:val="27"/>
      </w:pPr>
      <w:r>
        <w:rPr>
          <w:rFonts w:hint="eastAsia"/>
        </w:rPr>
        <w:t>加强绩效运行监控。充分发挥信息网络绩效运行等方面的优势，开展绩效运行监控，发现问题及时采取措施，确保绩效目标如期保质实现。</w:t>
      </w:r>
    </w:p>
    <w:p>
      <w:pPr>
        <w:pStyle w:val="27"/>
      </w:pPr>
      <w:r>
        <w:rPr>
          <w:rFonts w:hint="eastAsia"/>
        </w:rPr>
        <w:t>做好绩效自评。按职责绩效要求开展上年度部门预算绩效自评和重点评价工作，对评价中发现的问题及时整改，调整优化支出结构，提高财政资金使用效益。</w:t>
      </w:r>
    </w:p>
    <w:p>
      <w:pPr>
        <w:pStyle w:val="27"/>
      </w:pPr>
      <w:r>
        <w:rPr>
          <w:rFonts w:hint="eastAsia"/>
        </w:rPr>
        <w:t>规规范财务资产管理。统战部各项业务和财务管理制度健全，继续完善财务管理制度，严格审批程序，加强固定资产登记、使用和报废处置管理，做到支出合理，物尽其用。</w:t>
      </w:r>
    </w:p>
    <w:p>
      <w:pPr>
        <w:pStyle w:val="27"/>
      </w:pPr>
      <w:r>
        <w:rPr>
          <w:rFonts w:hint="eastAsia"/>
        </w:rPr>
        <w:t>加强内部监督。调整优化支出结构，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rPr>
          <w:rFonts w:hint="eastAsia"/>
        </w:rPr>
        <w:t>加强宣传培训调研等。举办专题培训班，做到宗教工作</w:t>
      </w:r>
      <w:r>
        <w:t>“</w:t>
      </w:r>
      <w:r>
        <w:rPr>
          <w:rFonts w:hint="eastAsia"/>
        </w:rPr>
        <w:t>三支队伍</w:t>
      </w:r>
      <w:r>
        <w:t>”</w:t>
      </w:r>
      <w:r>
        <w:rPr>
          <w:rFonts w:hint="eastAsia"/>
        </w:rPr>
        <w:t>全覆盖。加强人员培训，提高本部门职工业务素质；加强调研，提出优化财政资金配置、提高资金使用效益的意见意见；加大宣传力度，强化预算绩效管理意识，促进预算绩效管理水平进一步提升。</w:t>
      </w:r>
    </w:p>
    <w:p>
      <w:pPr>
        <w:numPr>
          <w:ilvl w:val="0"/>
          <w:numId w:val="0"/>
        </w:numPr>
        <w:ind w:firstLine="640" w:firstLineChars="200"/>
        <w:rPr>
          <w:rFonts w:hint="eastAsia" w:ascii="Times New Roman" w:hAnsi="Times New Roman" w:eastAsia="方正仿宋_GBK" w:cs="Times New Roman"/>
          <w:kern w:val="0"/>
          <w:sz w:val="28"/>
          <w:szCs w:val="24"/>
          <w:lang w:val="en-US" w:eastAsia="zh-CN" w:bidi="ar-SA"/>
        </w:rPr>
      </w:pPr>
      <w:r>
        <w:rPr>
          <w:rFonts w:hint="eastAsia" w:ascii="方正楷体_GBK" w:hAnsi="方正楷体_GBK" w:eastAsia="方正楷体_GBK" w:cs="方正楷体_GBK"/>
          <w:b/>
          <w:color w:val="000000"/>
          <w:sz w:val="32"/>
          <w:lang w:eastAsia="zh-CN"/>
        </w:rPr>
        <w:t>第二部分</w:t>
      </w:r>
      <w:r>
        <w:rPr>
          <w:rFonts w:hint="eastAsia" w:ascii="方正楷体_GBK" w:hAnsi="方正楷体_GBK" w:eastAsia="方正楷体_GBK" w:cs="方正楷体_GBK"/>
          <w:b/>
          <w:color w:val="000000"/>
          <w:sz w:val="32"/>
          <w:lang w:val="en-US" w:eastAsia="zh-CN"/>
        </w:rPr>
        <w:t xml:space="preserve">  </w:t>
      </w:r>
      <w:r>
        <w:rPr>
          <w:rFonts w:hint="eastAsia" w:ascii="方正楷体_GBK" w:hAnsi="方正楷体_GBK" w:eastAsia="方正楷体_GBK" w:cs="方正楷体_GBK"/>
          <w:b/>
          <w:color w:val="000000"/>
          <w:sz w:val="32"/>
        </w:rPr>
        <w:t>专项资金绩效目标</w:t>
      </w:r>
    </w:p>
    <w:p>
      <w:pPr>
        <w:numPr>
          <w:ilvl w:val="0"/>
          <w:numId w:val="0"/>
        </w:numPr>
        <w:rPr>
          <w:rFonts w:hint="eastAsia" w:ascii="Times New Roman" w:hAnsi="Times New Roman" w:eastAsia="方正仿宋_GBK" w:cs="Times New Roman"/>
          <w:kern w:val="0"/>
          <w:sz w:val="28"/>
          <w:szCs w:val="24"/>
          <w:lang w:val="en-US" w:eastAsia="zh-CN" w:bidi="ar-SA"/>
        </w:rPr>
      </w:pPr>
      <w:r>
        <w:rPr>
          <w:rFonts w:hint="eastAsia" w:ascii="Times New Roman" w:hAnsi="Times New Roman" w:eastAsia="方正仿宋_GBK" w:cs="Times New Roman"/>
          <w:kern w:val="0"/>
          <w:sz w:val="28"/>
          <w:szCs w:val="24"/>
          <w:lang w:val="en-US" w:eastAsia="zh-CN" w:bidi="ar-SA"/>
        </w:rPr>
        <w:t xml:space="preserve">     </w:t>
      </w:r>
      <w:r>
        <w:rPr>
          <w:rFonts w:hint="eastAsia" w:eastAsia="方正仿宋_GBK" w:cs="Times New Roman"/>
          <w:kern w:val="0"/>
          <w:sz w:val="28"/>
          <w:szCs w:val="24"/>
          <w:lang w:val="en-US" w:eastAsia="zh-CN" w:bidi="ar-SA"/>
        </w:rPr>
        <w:t xml:space="preserve">    </w:t>
      </w:r>
      <w:r>
        <w:rPr>
          <w:rFonts w:hint="eastAsia" w:ascii="Times New Roman" w:hAnsi="Times New Roman" w:eastAsia="方正仿宋_GBK" w:cs="Times New Roman"/>
          <w:kern w:val="0"/>
          <w:sz w:val="28"/>
          <w:szCs w:val="24"/>
          <w:lang w:val="en-US" w:eastAsia="zh-CN" w:bidi="ar-SA"/>
        </w:rPr>
        <w:t>无</w:t>
      </w:r>
    </w:p>
    <w:p>
      <w:pPr>
        <w:numPr>
          <w:ilvl w:val="0"/>
          <w:numId w:val="0"/>
        </w:numPr>
        <w:ind w:firstLine="640" w:firstLineChars="200"/>
        <w:rPr>
          <w:rFonts w:hint="eastAsia"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第三部分</w:t>
      </w:r>
      <w:r>
        <w:rPr>
          <w:rFonts w:hint="eastAsia" w:ascii="方正楷体_GBK" w:hAnsi="方正楷体_GBK" w:eastAsia="方正楷体_GBK" w:cs="方正楷体_GBK"/>
          <w:b/>
          <w:color w:val="000000"/>
          <w:sz w:val="32"/>
        </w:rPr>
        <w:t>预算项目绩效目标</w:t>
      </w:r>
    </w:p>
    <w:p>
      <w:pPr>
        <w:numPr>
          <w:ilvl w:val="0"/>
          <w:numId w:val="0"/>
        </w:numPr>
        <w:ind w:left="640" w:leftChars="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统战专项经费绩效目标表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rPr>
                <w:rFonts w:hint="default" w:eastAsia="方正书宋_GBK"/>
                <w:lang w:val="en-US" w:eastAsia="zh-CN"/>
              </w:rPr>
            </w:pPr>
            <w:r>
              <w:t>1.</w:t>
            </w:r>
            <w:r>
              <w:rPr>
                <w:rFonts w:hint="eastAsia"/>
              </w:rPr>
              <w:t>目标内容</w:t>
            </w:r>
            <w:r>
              <w:rPr>
                <w:rFonts w:hint="eastAsia"/>
                <w:lang w:eastAsia="zh-CN"/>
              </w:rPr>
              <w:t>：</w:t>
            </w:r>
            <w:r>
              <w:rPr>
                <w:rFonts w:hint="eastAsia"/>
                <w:lang w:val="en-US" w:eastAsia="zh-CN"/>
              </w:rPr>
              <w:t>构建大统战格局，统战成员政治素质进一步提高。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质量指标</w:t>
            </w:r>
          </w:p>
        </w:tc>
        <w:tc>
          <w:tcPr>
            <w:tcW w:w="2835" w:type="dxa"/>
            <w:vAlign w:val="center"/>
          </w:tcPr>
          <w:p>
            <w:pPr>
              <w:pStyle w:val="16"/>
            </w:pPr>
            <w:r>
              <w:rPr>
                <w:rFonts w:hint="eastAsia"/>
              </w:rPr>
              <w:t>新联会阵地建设</w:t>
            </w:r>
          </w:p>
        </w:tc>
        <w:tc>
          <w:tcPr>
            <w:tcW w:w="2835" w:type="dxa"/>
            <w:vAlign w:val="center"/>
          </w:tcPr>
          <w:p>
            <w:pPr>
              <w:pStyle w:val="16"/>
            </w:pPr>
            <w:r>
              <w:rPr>
                <w:rFonts w:hint="eastAsia"/>
              </w:rPr>
              <w:t>加大对新联会阵地建设</w:t>
            </w:r>
          </w:p>
        </w:tc>
        <w:tc>
          <w:tcPr>
            <w:tcW w:w="2551" w:type="dxa"/>
            <w:vAlign w:val="center"/>
          </w:tcPr>
          <w:p>
            <w:pPr>
              <w:pStyle w:val="16"/>
            </w:pPr>
            <w:r>
              <w:rPr>
                <w:rFonts w:hint="eastAsia"/>
              </w:rPr>
              <w:t>新联会阵地建设进一步加强</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及时召开政企沟通联席会议</w:t>
            </w:r>
          </w:p>
        </w:tc>
        <w:tc>
          <w:tcPr>
            <w:tcW w:w="2835" w:type="dxa"/>
            <w:vAlign w:val="center"/>
          </w:tcPr>
          <w:p>
            <w:pPr>
              <w:pStyle w:val="16"/>
            </w:pPr>
            <w:r>
              <w:rPr>
                <w:rFonts w:hint="eastAsia"/>
              </w:rPr>
              <w:t>及时召开政企沟通联席会议，发挥平台作用</w:t>
            </w:r>
          </w:p>
        </w:tc>
        <w:tc>
          <w:tcPr>
            <w:tcW w:w="2551" w:type="dxa"/>
            <w:vAlign w:val="center"/>
          </w:tcPr>
          <w:p>
            <w:pPr>
              <w:pStyle w:val="16"/>
            </w:pPr>
            <w:r>
              <w:rPr>
                <w:rFonts w:hint="eastAsia"/>
              </w:rPr>
              <w:t>一个季度不少于</w:t>
            </w:r>
            <w:r>
              <w:t>1</w:t>
            </w:r>
            <w:r>
              <w:rPr>
                <w:rFonts w:hint="eastAsia"/>
              </w:rPr>
              <w:t>次</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数量指标</w:t>
            </w:r>
          </w:p>
        </w:tc>
        <w:tc>
          <w:tcPr>
            <w:tcW w:w="2835" w:type="dxa"/>
            <w:vAlign w:val="center"/>
          </w:tcPr>
          <w:p>
            <w:pPr>
              <w:pStyle w:val="16"/>
            </w:pPr>
            <w:r>
              <w:rPr>
                <w:rFonts w:hint="eastAsia"/>
              </w:rPr>
              <w:t>培训次数</w:t>
            </w:r>
          </w:p>
        </w:tc>
        <w:tc>
          <w:tcPr>
            <w:tcW w:w="2835" w:type="dxa"/>
            <w:vAlign w:val="center"/>
          </w:tcPr>
          <w:p>
            <w:pPr>
              <w:pStyle w:val="16"/>
            </w:pPr>
            <w:r>
              <w:rPr>
                <w:rFonts w:hint="eastAsia"/>
              </w:rPr>
              <w:t>加强培训，一个季度不少于</w:t>
            </w:r>
            <w:r>
              <w:t>1</w:t>
            </w:r>
            <w:r>
              <w:rPr>
                <w:rFonts w:hint="eastAsia"/>
              </w:rPr>
              <w:t>次</w:t>
            </w:r>
          </w:p>
        </w:tc>
        <w:tc>
          <w:tcPr>
            <w:tcW w:w="2551" w:type="dxa"/>
            <w:vAlign w:val="center"/>
          </w:tcPr>
          <w:p>
            <w:pPr>
              <w:pStyle w:val="16"/>
            </w:pPr>
            <w:r>
              <w:rPr>
                <w:rFonts w:hint="eastAsia"/>
              </w:rPr>
              <w:t>一个季度培训不少于</w:t>
            </w:r>
            <w:r>
              <w:t>1</w:t>
            </w:r>
            <w:r>
              <w:rPr>
                <w:rFonts w:hint="eastAsia"/>
              </w:rPr>
              <w:t>次</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项目预算控制数</w:t>
            </w:r>
          </w:p>
        </w:tc>
        <w:tc>
          <w:tcPr>
            <w:tcW w:w="2835" w:type="dxa"/>
            <w:vAlign w:val="center"/>
          </w:tcPr>
          <w:p>
            <w:pPr>
              <w:pStyle w:val="16"/>
            </w:pPr>
            <w:r>
              <w:rPr>
                <w:rFonts w:hint="eastAsia"/>
              </w:rPr>
              <w:t>项目预算金额</w:t>
            </w:r>
          </w:p>
        </w:tc>
        <w:tc>
          <w:tcPr>
            <w:tcW w:w="2551" w:type="dxa"/>
            <w:vAlign w:val="center"/>
          </w:tcPr>
          <w:p>
            <w:pPr>
              <w:pStyle w:val="16"/>
            </w:pPr>
            <w:r>
              <w:rPr>
                <w:rFonts w:hint="eastAsia"/>
              </w:rPr>
              <w:t>不超出预算</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提高各界人士综合素质</w:t>
            </w:r>
          </w:p>
        </w:tc>
        <w:tc>
          <w:tcPr>
            <w:tcW w:w="2835" w:type="dxa"/>
            <w:vAlign w:val="center"/>
          </w:tcPr>
          <w:p>
            <w:pPr>
              <w:pStyle w:val="16"/>
            </w:pPr>
            <w:r>
              <w:rPr>
                <w:rFonts w:hint="eastAsia"/>
              </w:rPr>
              <w:t>人员素质得到提高</w:t>
            </w:r>
          </w:p>
        </w:tc>
        <w:tc>
          <w:tcPr>
            <w:tcW w:w="2551" w:type="dxa"/>
            <w:vAlign w:val="center"/>
          </w:tcPr>
          <w:p>
            <w:pPr>
              <w:pStyle w:val="16"/>
            </w:pPr>
            <w:r>
              <w:rPr>
                <w:rFonts w:hint="eastAsia"/>
              </w:rPr>
              <w:t>综合政治素质提升，能力提高</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各界人士通力合作</w:t>
            </w:r>
          </w:p>
        </w:tc>
        <w:tc>
          <w:tcPr>
            <w:tcW w:w="2835" w:type="dxa"/>
            <w:vAlign w:val="center"/>
          </w:tcPr>
          <w:p>
            <w:pPr>
              <w:pStyle w:val="16"/>
            </w:pPr>
            <w:r>
              <w:rPr>
                <w:rFonts w:hint="eastAsia"/>
              </w:rPr>
              <w:t>构建大统战格局</w:t>
            </w:r>
          </w:p>
        </w:tc>
        <w:tc>
          <w:tcPr>
            <w:tcW w:w="2551" w:type="dxa"/>
            <w:vAlign w:val="center"/>
          </w:tcPr>
          <w:p>
            <w:pPr>
              <w:pStyle w:val="16"/>
            </w:pPr>
            <w:r>
              <w:rPr>
                <w:rFonts w:hint="eastAsia"/>
              </w:rPr>
              <w:t>日常工作表现</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经济效益指标</w:t>
            </w:r>
          </w:p>
        </w:tc>
        <w:tc>
          <w:tcPr>
            <w:tcW w:w="2835" w:type="dxa"/>
            <w:vAlign w:val="center"/>
          </w:tcPr>
          <w:p>
            <w:pPr>
              <w:pStyle w:val="16"/>
            </w:pPr>
            <w:r>
              <w:rPr>
                <w:rFonts w:hint="eastAsia"/>
                <w:lang w:eastAsia="zh-CN"/>
              </w:rPr>
              <w:t>新的社会阶层人士</w:t>
            </w:r>
            <w:r>
              <w:rPr>
                <w:rFonts w:hint="eastAsia"/>
              </w:rPr>
              <w:t>发挥作用</w:t>
            </w:r>
          </w:p>
        </w:tc>
        <w:tc>
          <w:tcPr>
            <w:tcW w:w="2835" w:type="dxa"/>
            <w:vAlign w:val="center"/>
          </w:tcPr>
          <w:p>
            <w:pPr>
              <w:pStyle w:val="16"/>
            </w:pPr>
            <w:r>
              <w:rPr>
                <w:rFonts w:hint="eastAsia"/>
              </w:rPr>
              <w:t>助力全县经济社会发展</w:t>
            </w:r>
          </w:p>
        </w:tc>
        <w:tc>
          <w:tcPr>
            <w:tcW w:w="2551" w:type="dxa"/>
            <w:vAlign w:val="center"/>
          </w:tcPr>
          <w:p>
            <w:pPr>
              <w:pStyle w:val="16"/>
            </w:pPr>
            <w:r>
              <w:rPr>
                <w:rFonts w:hint="eastAsia"/>
              </w:rPr>
              <w:t>促进</w:t>
            </w:r>
            <w:r>
              <w:rPr>
                <w:rFonts w:hint="eastAsia"/>
                <w:lang w:eastAsia="zh-CN"/>
              </w:rPr>
              <w:t>新的社会阶层人士</w:t>
            </w:r>
            <w:r>
              <w:rPr>
                <w:rFonts w:hint="eastAsia"/>
              </w:rPr>
              <w:t>健康成长</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党外知识分子发挥作用</w:t>
            </w:r>
          </w:p>
        </w:tc>
        <w:tc>
          <w:tcPr>
            <w:tcW w:w="2835" w:type="dxa"/>
            <w:vAlign w:val="center"/>
          </w:tcPr>
          <w:p>
            <w:pPr>
              <w:pStyle w:val="16"/>
            </w:pPr>
            <w:r>
              <w:rPr>
                <w:rFonts w:hint="eastAsia"/>
              </w:rPr>
              <w:t>进一步发挥作用，助力社会发展</w:t>
            </w:r>
          </w:p>
        </w:tc>
        <w:tc>
          <w:tcPr>
            <w:tcW w:w="2551" w:type="dxa"/>
            <w:vAlign w:val="center"/>
          </w:tcPr>
          <w:p>
            <w:pPr>
              <w:pStyle w:val="16"/>
            </w:pPr>
            <w:r>
              <w:rPr>
                <w:rFonts w:hint="eastAsia"/>
              </w:rPr>
              <w:t>教育引导党外知识分子发挥作用</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党外人士满意度</w:t>
            </w:r>
          </w:p>
        </w:tc>
        <w:tc>
          <w:tcPr>
            <w:tcW w:w="2835" w:type="dxa"/>
            <w:vAlign w:val="center"/>
          </w:tcPr>
          <w:p>
            <w:pPr>
              <w:pStyle w:val="16"/>
            </w:pPr>
            <w:r>
              <w:rPr>
                <w:rFonts w:hint="eastAsia"/>
              </w:rPr>
              <w:t>党外人士满意</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民营经济代表人士满意度</w:t>
            </w:r>
          </w:p>
        </w:tc>
        <w:tc>
          <w:tcPr>
            <w:tcW w:w="2835" w:type="dxa"/>
            <w:vAlign w:val="center"/>
          </w:tcPr>
          <w:p>
            <w:pPr>
              <w:pStyle w:val="16"/>
            </w:pPr>
            <w:r>
              <w:rPr>
                <w:rFonts w:hint="eastAsia"/>
              </w:rPr>
              <w:t>民营企业家满意</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统战成员单位满意</w:t>
            </w:r>
          </w:p>
        </w:tc>
        <w:tc>
          <w:tcPr>
            <w:tcW w:w="2835" w:type="dxa"/>
            <w:vAlign w:val="center"/>
          </w:tcPr>
          <w:p>
            <w:pPr>
              <w:pStyle w:val="16"/>
            </w:pPr>
            <w:r>
              <w:rPr>
                <w:rFonts w:hint="eastAsia"/>
              </w:rPr>
              <w:t>统战成员单位满意</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宗教活动场所监控系统年租金绩效目标表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rPr>
                <w:rFonts w:hint="eastAsia" w:eastAsia="方正书宋_GBK"/>
                <w:lang w:eastAsia="zh-CN"/>
              </w:rPr>
            </w:pPr>
            <w:r>
              <w:t>1.</w:t>
            </w:r>
            <w:r>
              <w:rPr>
                <w:rFonts w:hint="eastAsia"/>
              </w:rPr>
              <w:t>目标内容</w:t>
            </w:r>
            <w:r>
              <w:rPr>
                <w:rFonts w:hint="eastAsia"/>
                <w:lang w:eastAsia="zh-CN"/>
              </w:rPr>
              <w:t>：</w:t>
            </w:r>
            <w:r>
              <w:rPr>
                <w:rFonts w:hint="eastAsia"/>
              </w:rPr>
              <w:t>场所监控系统</w:t>
            </w:r>
            <w:r>
              <w:rPr>
                <w:rFonts w:hint="eastAsia"/>
                <w:lang w:val="en-US" w:eastAsia="zh-CN"/>
              </w:rPr>
              <w:t>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全县宗教活动场所全部覆盖</w:t>
            </w:r>
          </w:p>
        </w:tc>
        <w:tc>
          <w:tcPr>
            <w:tcW w:w="2835" w:type="dxa"/>
            <w:vAlign w:val="center"/>
          </w:tcPr>
          <w:p>
            <w:pPr>
              <w:pStyle w:val="16"/>
            </w:pPr>
            <w:r>
              <w:rPr>
                <w:rFonts w:hint="eastAsia"/>
              </w:rPr>
              <w:t>全县宗教活动场所全部覆盖</w:t>
            </w:r>
          </w:p>
        </w:tc>
        <w:tc>
          <w:tcPr>
            <w:tcW w:w="2551" w:type="dxa"/>
            <w:vAlign w:val="center"/>
          </w:tcPr>
          <w:p>
            <w:pPr>
              <w:pStyle w:val="16"/>
            </w:pPr>
            <w:r>
              <w:rPr>
                <w:rFonts w:hint="eastAsia"/>
              </w:rPr>
              <w:t>全县宗教活动场所全部覆盖</w:t>
            </w:r>
          </w:p>
        </w:tc>
        <w:tc>
          <w:tcPr>
            <w:tcW w:w="2268" w:type="dxa"/>
            <w:vAlign w:val="center"/>
          </w:tcPr>
          <w:p>
            <w:pPr>
              <w:pStyle w:val="16"/>
            </w:pPr>
            <w:r>
              <w:rPr>
                <w:rFonts w:hint="eastAsi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信号稳定</w:t>
            </w:r>
          </w:p>
        </w:tc>
        <w:tc>
          <w:tcPr>
            <w:tcW w:w="2835" w:type="dxa"/>
            <w:vAlign w:val="center"/>
          </w:tcPr>
          <w:p>
            <w:pPr>
              <w:pStyle w:val="16"/>
            </w:pPr>
            <w:r>
              <w:rPr>
                <w:rFonts w:hint="eastAsia"/>
              </w:rPr>
              <w:t>信号稳定</w:t>
            </w:r>
          </w:p>
        </w:tc>
        <w:tc>
          <w:tcPr>
            <w:tcW w:w="2551" w:type="dxa"/>
            <w:vAlign w:val="center"/>
          </w:tcPr>
          <w:p>
            <w:pPr>
              <w:pStyle w:val="16"/>
            </w:pPr>
            <w:r>
              <w:rPr>
                <w:rFonts w:hint="eastAsia"/>
              </w:rPr>
              <w:t>信号稳定</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能</w:t>
            </w:r>
            <w:r>
              <w:t>24</w:t>
            </w:r>
            <w:r>
              <w:rPr>
                <w:rFonts w:hint="eastAsia"/>
              </w:rPr>
              <w:t>小时使用运转</w:t>
            </w:r>
          </w:p>
        </w:tc>
        <w:tc>
          <w:tcPr>
            <w:tcW w:w="2835" w:type="dxa"/>
            <w:vAlign w:val="center"/>
          </w:tcPr>
          <w:p>
            <w:pPr>
              <w:pStyle w:val="16"/>
            </w:pPr>
            <w:r>
              <w:t>24</w:t>
            </w:r>
            <w:r>
              <w:rPr>
                <w:rFonts w:hint="eastAsia"/>
              </w:rPr>
              <w:t>小时使用</w:t>
            </w:r>
          </w:p>
        </w:tc>
        <w:tc>
          <w:tcPr>
            <w:tcW w:w="2551" w:type="dxa"/>
            <w:vAlign w:val="center"/>
          </w:tcPr>
          <w:p>
            <w:pPr>
              <w:pStyle w:val="16"/>
            </w:pPr>
            <w:r>
              <w:t>24</w:t>
            </w:r>
            <w:r>
              <w:rPr>
                <w:rFonts w:hint="eastAsia"/>
              </w:rPr>
              <w:t>小时使用</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项目预算控制数</w:t>
            </w:r>
          </w:p>
        </w:tc>
        <w:tc>
          <w:tcPr>
            <w:tcW w:w="2835" w:type="dxa"/>
            <w:vAlign w:val="center"/>
          </w:tcPr>
          <w:p>
            <w:pPr>
              <w:pStyle w:val="16"/>
            </w:pPr>
            <w:r>
              <w:rPr>
                <w:rFonts w:hint="eastAsia"/>
              </w:rPr>
              <w:t>项目预算金额</w:t>
            </w:r>
          </w:p>
        </w:tc>
        <w:tc>
          <w:tcPr>
            <w:tcW w:w="2551" w:type="dxa"/>
            <w:vAlign w:val="center"/>
          </w:tcPr>
          <w:p>
            <w:pPr>
              <w:pStyle w:val="16"/>
            </w:pPr>
            <w:r>
              <w:rPr>
                <w:rFonts w:hint="eastAsia"/>
              </w:rPr>
              <w:t>不超出预算</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持续使用</w:t>
            </w:r>
          </w:p>
        </w:tc>
        <w:tc>
          <w:tcPr>
            <w:tcW w:w="2835" w:type="dxa"/>
            <w:vAlign w:val="center"/>
          </w:tcPr>
          <w:p>
            <w:pPr>
              <w:pStyle w:val="16"/>
            </w:pPr>
            <w:r>
              <w:rPr>
                <w:rFonts w:hint="eastAsia"/>
              </w:rPr>
              <w:t>持续使用</w:t>
            </w:r>
          </w:p>
        </w:tc>
        <w:tc>
          <w:tcPr>
            <w:tcW w:w="2551" w:type="dxa"/>
            <w:vAlign w:val="center"/>
          </w:tcPr>
          <w:p>
            <w:pPr>
              <w:pStyle w:val="16"/>
            </w:pPr>
            <w:r>
              <w:rPr>
                <w:rFonts w:hint="eastAsia"/>
              </w:rPr>
              <w:t>持续使用</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宗教活动场所安全</w:t>
            </w:r>
          </w:p>
        </w:tc>
        <w:tc>
          <w:tcPr>
            <w:tcW w:w="2835" w:type="dxa"/>
            <w:vAlign w:val="center"/>
          </w:tcPr>
          <w:p>
            <w:pPr>
              <w:pStyle w:val="16"/>
            </w:pPr>
            <w:r>
              <w:rPr>
                <w:rFonts w:hint="eastAsia"/>
              </w:rPr>
              <w:t>活动场所安全</w:t>
            </w:r>
          </w:p>
        </w:tc>
        <w:tc>
          <w:tcPr>
            <w:tcW w:w="2551" w:type="dxa"/>
            <w:vAlign w:val="center"/>
          </w:tcPr>
          <w:p>
            <w:pPr>
              <w:pStyle w:val="16"/>
            </w:pPr>
            <w:r>
              <w:rPr>
                <w:rFonts w:hint="eastAsia"/>
              </w:rPr>
              <w:t>活动场所安全</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宗教活动正常有序</w:t>
            </w:r>
          </w:p>
        </w:tc>
        <w:tc>
          <w:tcPr>
            <w:tcW w:w="2835" w:type="dxa"/>
            <w:vAlign w:val="center"/>
          </w:tcPr>
          <w:p>
            <w:pPr>
              <w:pStyle w:val="16"/>
            </w:pPr>
            <w:r>
              <w:rPr>
                <w:rFonts w:hint="eastAsia"/>
              </w:rPr>
              <w:t>活动正常有序</w:t>
            </w:r>
          </w:p>
        </w:tc>
        <w:tc>
          <w:tcPr>
            <w:tcW w:w="2551" w:type="dxa"/>
            <w:vAlign w:val="center"/>
          </w:tcPr>
          <w:p>
            <w:pPr>
              <w:pStyle w:val="16"/>
            </w:pPr>
            <w:r>
              <w:rPr>
                <w:rFonts w:hint="eastAsia"/>
              </w:rPr>
              <w:t>活动正常有序</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宗教界和谐稳定</w:t>
            </w:r>
          </w:p>
        </w:tc>
        <w:tc>
          <w:tcPr>
            <w:tcW w:w="2835" w:type="dxa"/>
            <w:vAlign w:val="center"/>
          </w:tcPr>
          <w:p>
            <w:pPr>
              <w:pStyle w:val="16"/>
            </w:pPr>
            <w:r>
              <w:rPr>
                <w:rFonts w:hint="eastAsia"/>
              </w:rPr>
              <w:t>宗教界和谐稳定</w:t>
            </w:r>
          </w:p>
        </w:tc>
        <w:tc>
          <w:tcPr>
            <w:tcW w:w="2551" w:type="dxa"/>
            <w:vAlign w:val="center"/>
          </w:tcPr>
          <w:p>
            <w:pPr>
              <w:pStyle w:val="16"/>
            </w:pPr>
            <w:r>
              <w:rPr>
                <w:rFonts w:hint="eastAsia"/>
              </w:rPr>
              <w:t>宗教界和谐稳定</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村工作人员满意</w:t>
            </w:r>
          </w:p>
        </w:tc>
        <w:tc>
          <w:tcPr>
            <w:tcW w:w="2835" w:type="dxa"/>
            <w:vAlign w:val="center"/>
          </w:tcPr>
          <w:p>
            <w:pPr>
              <w:pStyle w:val="16"/>
            </w:pPr>
            <w:r>
              <w:rPr>
                <w:rFonts w:hint="eastAsia"/>
              </w:rPr>
              <w:t>村使用方便，满意度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乡镇工作人员满意</w:t>
            </w:r>
          </w:p>
        </w:tc>
        <w:tc>
          <w:tcPr>
            <w:tcW w:w="2835" w:type="dxa"/>
            <w:vAlign w:val="center"/>
          </w:tcPr>
          <w:p>
            <w:pPr>
              <w:pStyle w:val="16"/>
            </w:pPr>
            <w:r>
              <w:rPr>
                <w:rFonts w:hint="eastAsia"/>
              </w:rPr>
              <w:t>乡镇工作人员便于观看，满意度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县工作人员满意</w:t>
            </w:r>
          </w:p>
        </w:tc>
        <w:tc>
          <w:tcPr>
            <w:tcW w:w="2835" w:type="dxa"/>
            <w:vAlign w:val="center"/>
          </w:tcPr>
          <w:p>
            <w:pPr>
              <w:pStyle w:val="16"/>
            </w:pPr>
            <w:r>
              <w:rPr>
                <w:rFonts w:hint="eastAsia"/>
              </w:rPr>
              <w:t>县工作人员便于观看，满意度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宗教专项经费绩效目标表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rPr>
                <w:rFonts w:hint="default" w:eastAsia="方正书宋_GBK"/>
                <w:lang w:val="en-US" w:eastAsia="zh-CN"/>
              </w:rPr>
            </w:pPr>
            <w:r>
              <w:t>1.</w:t>
            </w:r>
            <w:r>
              <w:rPr>
                <w:rFonts w:hint="eastAsia"/>
              </w:rPr>
              <w:t>目标内容</w:t>
            </w:r>
            <w:r>
              <w:rPr>
                <w:rFonts w:hint="eastAsia"/>
                <w:lang w:eastAsia="zh-CN"/>
              </w:rPr>
              <w:t>：</w:t>
            </w:r>
            <w:r>
              <w:rPr>
                <w:rFonts w:hint="eastAsia"/>
                <w:lang w:val="en-US" w:eastAsia="zh-CN"/>
              </w:rPr>
              <w:t>基层宗教管理能力有所提升，宗教界和谐稳定。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培训会次数</w:t>
            </w:r>
          </w:p>
        </w:tc>
        <w:tc>
          <w:tcPr>
            <w:tcW w:w="2835" w:type="dxa"/>
            <w:vAlign w:val="center"/>
          </w:tcPr>
          <w:p>
            <w:pPr>
              <w:pStyle w:val="16"/>
            </w:pPr>
            <w:r>
              <w:t>2021</w:t>
            </w:r>
            <w:r>
              <w:rPr>
                <w:rFonts w:hint="eastAsia"/>
              </w:rPr>
              <w:t>年“三支队伍”培训会次数</w:t>
            </w:r>
          </w:p>
        </w:tc>
        <w:tc>
          <w:tcPr>
            <w:tcW w:w="2551" w:type="dxa"/>
            <w:vAlign w:val="center"/>
          </w:tcPr>
          <w:p>
            <w:pPr>
              <w:pStyle w:val="16"/>
            </w:pPr>
            <w:r>
              <w:rPr>
                <w:rFonts w:hint="eastAsia"/>
              </w:rPr>
              <w:t>≥</w:t>
            </w:r>
            <w:r>
              <w:t>10</w:t>
            </w:r>
            <w:r>
              <w:rPr>
                <w:rFonts w:hint="eastAsia"/>
              </w:rPr>
              <w:t>次</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完成培训情况</w:t>
            </w:r>
          </w:p>
        </w:tc>
        <w:tc>
          <w:tcPr>
            <w:tcW w:w="2835" w:type="dxa"/>
            <w:vAlign w:val="center"/>
          </w:tcPr>
          <w:p>
            <w:pPr>
              <w:pStyle w:val="16"/>
            </w:pPr>
            <w:r>
              <w:rPr>
                <w:rFonts w:hint="eastAsia"/>
              </w:rPr>
              <w:t>无拖延情况</w:t>
            </w:r>
          </w:p>
        </w:tc>
        <w:tc>
          <w:tcPr>
            <w:tcW w:w="2551" w:type="dxa"/>
            <w:vAlign w:val="center"/>
          </w:tcPr>
          <w:p>
            <w:pPr>
              <w:pStyle w:val="16"/>
            </w:pPr>
            <w:r>
              <w:rPr>
                <w:rFonts w:hint="eastAsia"/>
              </w:rPr>
              <w:t>及时培训</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参会率</w:t>
            </w:r>
          </w:p>
        </w:tc>
        <w:tc>
          <w:tcPr>
            <w:tcW w:w="2835" w:type="dxa"/>
            <w:vAlign w:val="center"/>
          </w:tcPr>
          <w:p>
            <w:pPr>
              <w:pStyle w:val="16"/>
            </w:pPr>
            <w:r>
              <w:rPr>
                <w:rFonts w:hint="eastAsia"/>
              </w:rPr>
              <w:t>实际参会人员占应参会人员比例</w:t>
            </w:r>
          </w:p>
        </w:tc>
        <w:tc>
          <w:tcPr>
            <w:tcW w:w="2551" w:type="dxa"/>
            <w:vAlign w:val="center"/>
          </w:tcPr>
          <w:p>
            <w:pPr>
              <w:pStyle w:val="16"/>
            </w:pPr>
            <w:r>
              <w:rPr>
                <w:rFonts w:hint="eastAsia"/>
              </w:rPr>
              <w:t>≥</w:t>
            </w:r>
            <w:r>
              <w:t>95%</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项目预算控制数</w:t>
            </w:r>
          </w:p>
        </w:tc>
        <w:tc>
          <w:tcPr>
            <w:tcW w:w="2835" w:type="dxa"/>
            <w:vAlign w:val="center"/>
          </w:tcPr>
          <w:p>
            <w:pPr>
              <w:pStyle w:val="16"/>
            </w:pPr>
            <w:r>
              <w:rPr>
                <w:rFonts w:hint="eastAsia"/>
              </w:rPr>
              <w:t>项目预算金额</w:t>
            </w:r>
          </w:p>
        </w:tc>
        <w:tc>
          <w:tcPr>
            <w:tcW w:w="2551" w:type="dxa"/>
            <w:vAlign w:val="center"/>
          </w:tcPr>
          <w:p>
            <w:pPr>
              <w:pStyle w:val="16"/>
            </w:pPr>
            <w:r>
              <w:rPr>
                <w:rFonts w:hint="eastAsia"/>
              </w:rPr>
              <w:t>不超出项目预算</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三支队伍建设</w:t>
            </w:r>
          </w:p>
        </w:tc>
        <w:tc>
          <w:tcPr>
            <w:tcW w:w="2835" w:type="dxa"/>
            <w:vAlign w:val="center"/>
          </w:tcPr>
          <w:p>
            <w:pPr>
              <w:pStyle w:val="16"/>
            </w:pPr>
            <w:r>
              <w:rPr>
                <w:rFonts w:hint="eastAsia"/>
              </w:rPr>
              <w:t>人员素质得到提升</w:t>
            </w:r>
          </w:p>
        </w:tc>
        <w:tc>
          <w:tcPr>
            <w:tcW w:w="2551" w:type="dxa"/>
            <w:vAlign w:val="center"/>
          </w:tcPr>
          <w:p>
            <w:pPr>
              <w:pStyle w:val="16"/>
            </w:pPr>
            <w:r>
              <w:rPr>
                <w:rFonts w:hint="eastAsia"/>
              </w:rPr>
              <w:t>人员素质得到提升</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宗教综合治理</w:t>
            </w:r>
          </w:p>
        </w:tc>
        <w:tc>
          <w:tcPr>
            <w:tcW w:w="2835" w:type="dxa"/>
            <w:vAlign w:val="center"/>
          </w:tcPr>
          <w:p>
            <w:pPr>
              <w:pStyle w:val="16"/>
            </w:pPr>
            <w:r>
              <w:rPr>
                <w:rFonts w:hint="eastAsia"/>
              </w:rPr>
              <w:t>宗教综合治理</w:t>
            </w:r>
          </w:p>
        </w:tc>
        <w:tc>
          <w:tcPr>
            <w:tcW w:w="2551" w:type="dxa"/>
            <w:vAlign w:val="center"/>
          </w:tcPr>
          <w:p>
            <w:pPr>
              <w:pStyle w:val="16"/>
            </w:pPr>
            <w:r>
              <w:rPr>
                <w:rFonts w:hint="eastAsia"/>
              </w:rPr>
              <w:t>管理进一步规范</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全县宗教工作维稳</w:t>
            </w:r>
          </w:p>
        </w:tc>
        <w:tc>
          <w:tcPr>
            <w:tcW w:w="2835" w:type="dxa"/>
            <w:vAlign w:val="center"/>
          </w:tcPr>
          <w:p>
            <w:pPr>
              <w:pStyle w:val="16"/>
            </w:pPr>
            <w:r>
              <w:rPr>
                <w:rFonts w:hint="eastAsia"/>
              </w:rPr>
              <w:t>妥善处理宗教方面突发性、敏感性事件，维护宗教领域和谐稳定</w:t>
            </w:r>
          </w:p>
        </w:tc>
        <w:tc>
          <w:tcPr>
            <w:tcW w:w="2551" w:type="dxa"/>
            <w:vAlign w:val="center"/>
          </w:tcPr>
          <w:p>
            <w:pPr>
              <w:pStyle w:val="16"/>
            </w:pPr>
            <w:r>
              <w:rPr>
                <w:rFonts w:hint="eastAsia"/>
              </w:rPr>
              <w:t>和谐稳定</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双创四进率</w:t>
            </w:r>
          </w:p>
        </w:tc>
        <w:tc>
          <w:tcPr>
            <w:tcW w:w="2835" w:type="dxa"/>
            <w:vAlign w:val="center"/>
          </w:tcPr>
          <w:p>
            <w:pPr>
              <w:pStyle w:val="16"/>
            </w:pPr>
            <w:r>
              <w:rPr>
                <w:rFonts w:hint="eastAsia"/>
              </w:rPr>
              <w:t>双创四进率</w:t>
            </w:r>
          </w:p>
        </w:tc>
        <w:tc>
          <w:tcPr>
            <w:tcW w:w="2551" w:type="dxa"/>
            <w:vAlign w:val="center"/>
          </w:tcPr>
          <w:p>
            <w:pPr>
              <w:pStyle w:val="16"/>
            </w:pPr>
            <w:r>
              <w:rPr>
                <w:rFonts w:hint="eastAsia"/>
              </w:rPr>
              <w:t>≥</w:t>
            </w:r>
            <w:r>
              <w:t>95%</w:t>
            </w:r>
          </w:p>
        </w:tc>
        <w:tc>
          <w:tcPr>
            <w:tcW w:w="2268" w:type="dxa"/>
            <w:vAlign w:val="center"/>
          </w:tcPr>
          <w:p>
            <w:pPr>
              <w:pStyle w:val="16"/>
            </w:pPr>
            <w:r>
              <w:rPr>
                <w:rFonts w:hint="eastAsia"/>
              </w:rPr>
              <w:t>工作文件要求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宗教教职人员满意度</w:t>
            </w:r>
          </w:p>
        </w:tc>
        <w:tc>
          <w:tcPr>
            <w:tcW w:w="2835" w:type="dxa"/>
            <w:vAlign w:val="center"/>
          </w:tcPr>
          <w:p>
            <w:pPr>
              <w:pStyle w:val="16"/>
            </w:pPr>
            <w:r>
              <w:rPr>
                <w:rFonts w:hint="eastAsia"/>
              </w:rPr>
              <w:t>宗教教职人员满意度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三支队伍人员满意度</w:t>
            </w:r>
          </w:p>
        </w:tc>
        <w:tc>
          <w:tcPr>
            <w:tcW w:w="2835" w:type="dxa"/>
            <w:vAlign w:val="center"/>
          </w:tcPr>
          <w:p>
            <w:pPr>
              <w:pStyle w:val="16"/>
            </w:pPr>
            <w:r>
              <w:rPr>
                <w:rFonts w:hint="eastAsia"/>
              </w:rPr>
              <w:t>三支队伍人员满意度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宗教专干等工作人员满意度</w:t>
            </w:r>
          </w:p>
        </w:tc>
        <w:tc>
          <w:tcPr>
            <w:tcW w:w="2835" w:type="dxa"/>
            <w:vAlign w:val="center"/>
          </w:tcPr>
          <w:p>
            <w:pPr>
              <w:pStyle w:val="16"/>
            </w:pPr>
            <w:r>
              <w:rPr>
                <w:rFonts w:hint="eastAsia"/>
              </w:rPr>
              <w:t>宗教专干等工作人员满意度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w:t>
      </w:r>
      <w:r>
        <w:rPr>
          <w:rFonts w:hint="eastAsia" w:eastAsia="方正仿宋_GBK"/>
          <w:color w:val="000000"/>
          <w:sz w:val="28"/>
        </w:rPr>
        <w:t>年，中国共产党无极县委员会统战部安排政府采购预算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8676" w:type="dxa"/>
            <w:gridSpan w:val="9"/>
            <w:tcBorders>
              <w:top w:val="single" w:color="FFFFFF" w:sz="6" w:space="0"/>
              <w:left w:val="single" w:color="FFFFFF" w:sz="6" w:space="0"/>
              <w:right w:val="single" w:color="FFFFFF" w:sz="6" w:space="0"/>
            </w:tcBorders>
            <w:vAlign w:val="center"/>
          </w:tcPr>
          <w:p>
            <w:pPr>
              <w:pStyle w:val="2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2"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中国共产党无极县委员会统战部（含所属单位）上年末固定资产金额为</w:t>
      </w:r>
      <w:r>
        <w:rPr>
          <w:rFonts w:eastAsia="方正仿宋_GBK"/>
          <w:color w:val="000000"/>
          <w:sz w:val="28"/>
        </w:rPr>
        <w:t>39.03</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213</w:t>
            </w:r>
            <w:r>
              <w:rPr>
                <w:rFonts w:hint="eastAsia"/>
              </w:rPr>
              <w:t>中国共产党无极县委员会统战部</w:t>
            </w:r>
          </w:p>
        </w:tc>
        <w:tc>
          <w:tcPr>
            <w:tcW w:w="5670"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pPr>
            <w:r>
              <w:t>39.03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r>
              <w:t>1</w:t>
            </w:r>
          </w:p>
        </w:tc>
        <w:tc>
          <w:tcPr>
            <w:tcW w:w="2835" w:type="dxa"/>
            <w:vAlign w:val="center"/>
          </w:tcPr>
          <w:p>
            <w:pPr>
              <w:pStyle w:val="15"/>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p>
        </w:tc>
        <w:tc>
          <w:tcPr>
            <w:tcW w:w="2835" w:type="dxa"/>
            <w:vAlign w:val="center"/>
          </w:tcPr>
          <w:p>
            <w:pPr>
              <w:pStyle w:val="15"/>
            </w:pPr>
            <w:r>
              <w:t>28.43</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val="en-US"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en-US"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w:t>
      </w:r>
      <w:r>
        <w:rPr>
          <w:rFonts w:hint="eastAsia" w:eastAsia="方正仿宋_GBK"/>
          <w:color w:val="000000"/>
          <w:sz w:val="28"/>
          <w:lang w:val="en-US" w:eastAsia="zh-CN"/>
        </w:rPr>
        <w:t>县</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M1NjRmYjc1NTEyNzMwOWFmODc4ZThiNDhkNmNlYzYifQ=="/>
  </w:docVars>
  <w:rsids>
    <w:rsidRoot w:val="00CE1AA2"/>
    <w:rsid w:val="004103FE"/>
    <w:rsid w:val="00CE1AA2"/>
    <w:rsid w:val="00E84A22"/>
    <w:rsid w:val="00F857A3"/>
    <w:rsid w:val="00F85B43"/>
    <w:rsid w:val="02E843BE"/>
    <w:rsid w:val="034B7EED"/>
    <w:rsid w:val="045215BE"/>
    <w:rsid w:val="054A784B"/>
    <w:rsid w:val="0A870BFA"/>
    <w:rsid w:val="0B373F6A"/>
    <w:rsid w:val="0C607959"/>
    <w:rsid w:val="0D805CD3"/>
    <w:rsid w:val="0E440D92"/>
    <w:rsid w:val="0FA933C0"/>
    <w:rsid w:val="0FAD1102"/>
    <w:rsid w:val="113D1CE8"/>
    <w:rsid w:val="12E65279"/>
    <w:rsid w:val="1360223A"/>
    <w:rsid w:val="14F12E43"/>
    <w:rsid w:val="164A0676"/>
    <w:rsid w:val="16903B93"/>
    <w:rsid w:val="1696141D"/>
    <w:rsid w:val="190653E0"/>
    <w:rsid w:val="25D845A8"/>
    <w:rsid w:val="26C50688"/>
    <w:rsid w:val="278B6011"/>
    <w:rsid w:val="2DF95C51"/>
    <w:rsid w:val="30077F63"/>
    <w:rsid w:val="305764CE"/>
    <w:rsid w:val="306A1142"/>
    <w:rsid w:val="3220355E"/>
    <w:rsid w:val="358A3443"/>
    <w:rsid w:val="36455341"/>
    <w:rsid w:val="36723C5D"/>
    <w:rsid w:val="37540F75"/>
    <w:rsid w:val="383E473E"/>
    <w:rsid w:val="385724BC"/>
    <w:rsid w:val="39E76710"/>
    <w:rsid w:val="3DD05E38"/>
    <w:rsid w:val="3DF750DD"/>
    <w:rsid w:val="41036525"/>
    <w:rsid w:val="41A41B95"/>
    <w:rsid w:val="42D76771"/>
    <w:rsid w:val="439F5CC5"/>
    <w:rsid w:val="449027FD"/>
    <w:rsid w:val="44D32F02"/>
    <w:rsid w:val="46CF6D1C"/>
    <w:rsid w:val="47F70466"/>
    <w:rsid w:val="4A240BDF"/>
    <w:rsid w:val="4DD94895"/>
    <w:rsid w:val="4ED41501"/>
    <w:rsid w:val="4EE01C53"/>
    <w:rsid w:val="569C10A1"/>
    <w:rsid w:val="56C35577"/>
    <w:rsid w:val="571A0D91"/>
    <w:rsid w:val="57F86DE8"/>
    <w:rsid w:val="5B8100D4"/>
    <w:rsid w:val="5BFE049B"/>
    <w:rsid w:val="5C5270F7"/>
    <w:rsid w:val="5D233596"/>
    <w:rsid w:val="5E1B00F5"/>
    <w:rsid w:val="5E5C4EEB"/>
    <w:rsid w:val="5E624433"/>
    <w:rsid w:val="605C6609"/>
    <w:rsid w:val="608A528C"/>
    <w:rsid w:val="620F382A"/>
    <w:rsid w:val="62C27B96"/>
    <w:rsid w:val="63250BED"/>
    <w:rsid w:val="66E856F1"/>
    <w:rsid w:val="67673AEC"/>
    <w:rsid w:val="69CF2C3D"/>
    <w:rsid w:val="6B9B2D32"/>
    <w:rsid w:val="6BAC3463"/>
    <w:rsid w:val="6C64581A"/>
    <w:rsid w:val="6CD2256C"/>
    <w:rsid w:val="6DEC3A24"/>
    <w:rsid w:val="6F435BBB"/>
    <w:rsid w:val="71080A89"/>
    <w:rsid w:val="721938AD"/>
    <w:rsid w:val="74544C5C"/>
    <w:rsid w:val="74EA6291"/>
    <w:rsid w:val="77DE2BD1"/>
    <w:rsid w:val="78434DAE"/>
    <w:rsid w:val="78F23295"/>
    <w:rsid w:val="78F80E38"/>
    <w:rsid w:val="79764DDF"/>
    <w:rsid w:val="7CD57E28"/>
    <w:rsid w:val="7EB436E3"/>
    <w:rsid w:val="7F875650"/>
    <w:rsid w:val="7F9E2E7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34"/>
    <w:qFormat/>
    <w:uiPriority w:val="99"/>
    <w:pPr>
      <w:tabs>
        <w:tab w:val="center" w:pos="4153"/>
        <w:tab w:val="right" w:pos="8306"/>
      </w:tabs>
      <w:snapToGrid w:val="0"/>
    </w:pPr>
    <w:rPr>
      <w:sz w:val="18"/>
      <w:szCs w:val="18"/>
    </w:rPr>
  </w:style>
  <w:style w:type="paragraph" w:styleId="4">
    <w:name w:val="header"/>
    <w:basedOn w:val="1"/>
    <w:link w:val="33"/>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qFormat/>
    <w:uiPriority w:val="99"/>
    <w:rPr>
      <w:rFonts w:ascii="方正书宋_GBK" w:hAnsi="方正书宋_GBK" w:eastAsia="方正书宋_GBK" w:cs="方正书宋_GBK"/>
      <w:b/>
      <w:sz w:val="21"/>
    </w:rPr>
  </w:style>
  <w:style w:type="paragraph" w:customStyle="1" w:styleId="21">
    <w:name w:val="插入文本样式-插入部门职责文件"/>
    <w:basedOn w:val="1"/>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单元格样式23"/>
    <w:basedOn w:val="1"/>
    <w:qFormat/>
    <w:uiPriority w:val="99"/>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3">
    <w:name w:val="Header Char"/>
    <w:basedOn w:val="10"/>
    <w:link w:val="4"/>
    <w:semiHidden/>
    <w:qFormat/>
    <w:uiPriority w:val="99"/>
    <w:rPr>
      <w:kern w:val="0"/>
      <w:sz w:val="18"/>
      <w:szCs w:val="18"/>
      <w:lang w:eastAsia="uk-UA"/>
    </w:rPr>
  </w:style>
  <w:style w:type="character" w:customStyle="1" w:styleId="34">
    <w:name w:val="Footer Char"/>
    <w:basedOn w:val="10"/>
    <w:link w:val="3"/>
    <w:semiHidden/>
    <w:qFormat/>
    <w:uiPriority w:val="99"/>
    <w:rPr>
      <w:kern w:val="0"/>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47</Pages>
  <Words>16662</Words>
  <Characters>18921</Characters>
  <Lines>0</Lines>
  <Paragraphs>0</Paragraphs>
  <TotalTime>2</TotalTime>
  <ScaleCrop>false</ScaleCrop>
  <LinksUpToDate>false</LinksUpToDate>
  <CharactersWithSpaces>19300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2022-06-23T03:48:00Z</dcterms:created>
  <dc:creator>Administrator</dc:creator>
  <cp:lastModifiedBy>Administrator</cp:lastModifiedBy>
  <cp:lastPrinted>2022-07-14T02:15:00Z</cp:lastPrinted>
  <dcterms:modified xsi:type="dcterms:W3CDTF">2024-04-10T07:48:39Z</dcterms:modified>
  <dc:title>2022年部门预算信息公开目录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455A56F0E4424353BD0FA96D2022E717</vt:lpwstr>
  </property>
</Properties>
</file>