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ascii="宋体" w:hAnsi="宋体" w:cs="宋体"/>
          <w:b/>
          <w:bCs/>
          <w:sz w:val="44"/>
          <w:szCs w:val="44"/>
        </w:rPr>
      </w:pPr>
    </w:p>
    <w:p>
      <w:pPr>
        <w:jc w:val="center"/>
        <w:rPr>
          <w:rFonts w:ascii="宋体" w:hAnsi="宋体" w:cs="宋体"/>
          <w:b/>
          <w:bCs/>
          <w:sz w:val="44"/>
          <w:szCs w:val="44"/>
        </w:rPr>
      </w:pPr>
      <w:r>
        <w:rPr>
          <w:rFonts w:hint="eastAsia" w:ascii="宋体" w:hAnsi="宋体" w:cs="宋体"/>
          <w:b/>
          <w:bCs/>
          <w:sz w:val="44"/>
          <w:szCs w:val="44"/>
        </w:rPr>
        <w:t>无极县经济开发区管委会</w:t>
      </w:r>
    </w:p>
    <w:p>
      <w:pPr>
        <w:jc w:val="center"/>
        <w:rPr>
          <w:rFonts w:ascii="宋体" w:hAnsi="宋体" w:cs="宋体"/>
          <w:b/>
          <w:bCs/>
          <w:sz w:val="44"/>
          <w:szCs w:val="44"/>
        </w:rPr>
      </w:pPr>
      <w:bookmarkStart w:id="0" w:name="_GoBack"/>
      <w:r>
        <w:rPr>
          <w:rFonts w:hint="eastAsia" w:ascii="宋体" w:hAnsi="宋体" w:cs="宋体"/>
          <w:b/>
          <w:bCs/>
          <w:sz w:val="44"/>
          <w:szCs w:val="44"/>
        </w:rPr>
        <w:t>2017年部门预算信息公开说明目录</w:t>
      </w:r>
    </w:p>
    <w:bookmarkEnd w:id="0"/>
    <w:p/>
    <w:p/>
    <w:p>
      <w:pPr>
        <w:ind w:firstLine="640" w:firstLineChars="200"/>
        <w:rPr>
          <w:rFonts w:ascii="宋体" w:hAnsi="宋体" w:cs="仿宋_GB2312"/>
          <w:sz w:val="32"/>
          <w:szCs w:val="32"/>
        </w:rPr>
      </w:pPr>
      <w:r>
        <w:rPr>
          <w:rFonts w:hint="eastAsia" w:ascii="宋体" w:hAnsi="宋体" w:cs="仿宋_GB2312"/>
          <w:sz w:val="32"/>
          <w:szCs w:val="32"/>
        </w:rPr>
        <w:t>一、部门职责及机构设置情况</w:t>
      </w:r>
    </w:p>
    <w:p>
      <w:pPr>
        <w:ind w:firstLine="640" w:firstLineChars="200"/>
        <w:rPr>
          <w:rFonts w:ascii="宋体" w:hAnsi="宋体" w:cs="仿宋_GB2312"/>
          <w:sz w:val="32"/>
          <w:szCs w:val="32"/>
        </w:rPr>
      </w:pPr>
      <w:r>
        <w:rPr>
          <w:rFonts w:hint="eastAsia" w:ascii="宋体" w:hAnsi="宋体" w:cs="仿宋_GB2312"/>
          <w:sz w:val="32"/>
          <w:szCs w:val="32"/>
        </w:rPr>
        <w:t>二、部门预算安排的总体情况</w:t>
      </w:r>
    </w:p>
    <w:p>
      <w:pPr>
        <w:ind w:firstLine="640" w:firstLineChars="200"/>
        <w:rPr>
          <w:rFonts w:ascii="宋体" w:hAnsi="宋体" w:cs="仿宋_GB2312"/>
          <w:sz w:val="32"/>
          <w:szCs w:val="32"/>
        </w:rPr>
      </w:pPr>
      <w:r>
        <w:rPr>
          <w:rFonts w:hint="eastAsia" w:ascii="宋体" w:hAnsi="宋体" w:cs="仿宋_GB2312"/>
          <w:sz w:val="32"/>
          <w:szCs w:val="32"/>
        </w:rPr>
        <w:t>三、机关运行经费安排情况</w:t>
      </w:r>
    </w:p>
    <w:p>
      <w:pPr>
        <w:autoSpaceDE w:val="0"/>
        <w:autoSpaceDN w:val="0"/>
        <w:adjustRightInd w:val="0"/>
        <w:ind w:firstLine="640" w:firstLineChars="200"/>
        <w:jc w:val="left"/>
        <w:rPr>
          <w:rFonts w:ascii="宋体" w:hAnsi="宋体" w:cs="仿宋_GB2312"/>
          <w:sz w:val="32"/>
          <w:szCs w:val="32"/>
        </w:rPr>
      </w:pPr>
      <w:r>
        <w:rPr>
          <w:rFonts w:hint="eastAsia" w:ascii="宋体" w:hAnsi="宋体" w:cs="仿宋_GB2312"/>
          <w:sz w:val="32"/>
          <w:szCs w:val="32"/>
        </w:rPr>
        <w:t>四、财政拨款“三公”经费预算情况及增减变化原因</w:t>
      </w:r>
    </w:p>
    <w:p>
      <w:pPr>
        <w:autoSpaceDE w:val="0"/>
        <w:autoSpaceDN w:val="0"/>
        <w:adjustRightInd w:val="0"/>
        <w:ind w:firstLine="640" w:firstLineChars="200"/>
        <w:jc w:val="left"/>
        <w:rPr>
          <w:rFonts w:ascii="宋体" w:hAnsi="宋体" w:cs="仿宋_GB2312"/>
          <w:sz w:val="32"/>
          <w:szCs w:val="32"/>
        </w:rPr>
      </w:pPr>
      <w:r>
        <w:rPr>
          <w:rFonts w:hint="eastAsia" w:ascii="宋体" w:hAnsi="宋体" w:cs="仿宋_GB2312"/>
          <w:sz w:val="32"/>
          <w:szCs w:val="32"/>
        </w:rPr>
        <w:t>五、绩效预算信息</w:t>
      </w:r>
    </w:p>
    <w:p>
      <w:pPr>
        <w:autoSpaceDE w:val="0"/>
        <w:autoSpaceDN w:val="0"/>
        <w:adjustRightInd w:val="0"/>
        <w:ind w:firstLine="640" w:firstLineChars="200"/>
        <w:jc w:val="left"/>
        <w:rPr>
          <w:rFonts w:ascii="宋体" w:hAnsi="宋体" w:cs="仿宋_GB2312"/>
          <w:sz w:val="32"/>
          <w:szCs w:val="32"/>
        </w:rPr>
      </w:pPr>
      <w:r>
        <w:rPr>
          <w:rFonts w:hint="eastAsia" w:ascii="宋体" w:hAnsi="宋体" w:cs="仿宋_GB2312"/>
          <w:sz w:val="32"/>
          <w:szCs w:val="32"/>
        </w:rPr>
        <w:t>六、政府采购预算情况</w:t>
      </w:r>
    </w:p>
    <w:p>
      <w:pPr>
        <w:autoSpaceDE w:val="0"/>
        <w:autoSpaceDN w:val="0"/>
        <w:adjustRightInd w:val="0"/>
        <w:ind w:firstLine="640" w:firstLineChars="200"/>
        <w:jc w:val="left"/>
        <w:rPr>
          <w:rFonts w:ascii="宋体" w:hAnsi="宋体" w:cs="仿宋_GB2312"/>
          <w:sz w:val="32"/>
          <w:szCs w:val="32"/>
        </w:rPr>
      </w:pPr>
      <w:r>
        <w:rPr>
          <w:rFonts w:hint="eastAsia" w:ascii="宋体" w:hAnsi="宋体" w:cs="仿宋_GB2312"/>
          <w:sz w:val="32"/>
          <w:szCs w:val="32"/>
        </w:rPr>
        <w:t>七、国有资产信息</w:t>
      </w:r>
    </w:p>
    <w:p>
      <w:pPr>
        <w:autoSpaceDE w:val="0"/>
        <w:autoSpaceDN w:val="0"/>
        <w:adjustRightInd w:val="0"/>
        <w:ind w:firstLine="640" w:firstLineChars="200"/>
        <w:jc w:val="left"/>
        <w:rPr>
          <w:rFonts w:ascii="宋体" w:hAnsi="宋体" w:cs="仿宋_GB2312"/>
          <w:sz w:val="32"/>
          <w:szCs w:val="32"/>
        </w:rPr>
      </w:pPr>
      <w:r>
        <w:rPr>
          <w:rFonts w:hint="eastAsia" w:ascii="宋体" w:hAnsi="宋体" w:cs="仿宋_GB2312"/>
          <w:sz w:val="32"/>
          <w:szCs w:val="32"/>
        </w:rPr>
        <w:t>八、名词解释</w:t>
      </w:r>
    </w:p>
    <w:p>
      <w:pPr>
        <w:autoSpaceDE w:val="0"/>
        <w:autoSpaceDN w:val="0"/>
        <w:adjustRightInd w:val="0"/>
        <w:ind w:firstLine="640" w:firstLineChars="200"/>
        <w:jc w:val="left"/>
        <w:rPr>
          <w:rFonts w:ascii="宋体" w:hAnsi="宋体"/>
          <w:sz w:val="32"/>
          <w:szCs w:val="32"/>
        </w:rPr>
      </w:pPr>
      <w:r>
        <w:rPr>
          <w:rFonts w:hint="eastAsia" w:ascii="宋体" w:hAnsi="宋体" w:cs="仿宋_GB2312"/>
          <w:sz w:val="32"/>
          <w:szCs w:val="32"/>
        </w:rPr>
        <w:t>九、其他需要说明的事项</w:t>
      </w:r>
    </w:p>
    <w:p>
      <w:pPr>
        <w:ind w:firstLine="640" w:firstLineChars="200"/>
        <w:rPr>
          <w:rFonts w:ascii="仿宋_GB2312" w:hAnsi="仿宋" w:eastAsia="仿宋_GB2312" w:cs="仿宋"/>
          <w:sz w:val="32"/>
          <w:szCs w:val="32"/>
        </w:rPr>
      </w:pPr>
      <w:r>
        <w:rPr>
          <w:rFonts w:hint="eastAsia" w:ascii="仿宋_GB2312" w:hAnsi="仿宋" w:eastAsia="仿宋_GB2312" w:cs="仿宋"/>
          <w:sz w:val="32"/>
          <w:szCs w:val="32"/>
        </w:rPr>
        <w:t>按照</w:t>
      </w:r>
      <w:r>
        <w:rPr>
          <w:rFonts w:hint="eastAsia" w:ascii="仿宋_GB2312" w:hAnsi="仿宋" w:eastAsia="仿宋_GB2312" w:cs="仿宋"/>
          <w:sz w:val="32"/>
          <w:szCs w:val="32"/>
          <w:lang w:eastAsia="zh-CN"/>
        </w:rPr>
        <w:t>《中华人民共和国预算法》</w:t>
      </w:r>
      <w:r>
        <w:rPr>
          <w:rFonts w:hint="eastAsia" w:ascii="仿宋_GB2312" w:hAnsi="仿宋" w:eastAsia="仿宋_GB2312" w:cs="仿宋"/>
          <w:sz w:val="32"/>
          <w:szCs w:val="32"/>
        </w:rPr>
        <w:t>、《地方预决算公开操作规程》和《河北省省级预算公开办法》规定，现将无极县经济开发区2017年部门预算公开如下：</w:t>
      </w:r>
    </w:p>
    <w:p>
      <w:pPr>
        <w:ind w:left="800"/>
        <w:rPr>
          <w:rFonts w:ascii="黑体" w:hAnsi="黑体" w:eastAsia="黑体" w:cs="仿宋_GB2312"/>
          <w:sz w:val="32"/>
          <w:szCs w:val="32"/>
        </w:rPr>
      </w:pPr>
      <w:r>
        <w:rPr>
          <w:rFonts w:hint="eastAsia" w:ascii="黑体" w:hAnsi="黑体" w:eastAsia="黑体" w:cs="仿宋_GB2312"/>
          <w:sz w:val="32"/>
          <w:szCs w:val="32"/>
        </w:rPr>
        <w:t>一、部门职责及机构设置情况</w:t>
      </w:r>
    </w:p>
    <w:p>
      <w:pPr>
        <w:ind w:firstLine="645"/>
        <w:rPr>
          <w:rFonts w:ascii="楷体" w:hAnsi="楷体" w:eastAsia="楷体" w:cs="仿宋_GB2312"/>
          <w:sz w:val="32"/>
          <w:szCs w:val="32"/>
        </w:rPr>
      </w:pPr>
      <w:r>
        <w:rPr>
          <w:rFonts w:hint="eastAsia" w:ascii="楷体" w:hAnsi="楷体" w:eastAsia="楷体" w:cs="仿宋_GB2312"/>
          <w:sz w:val="32"/>
          <w:szCs w:val="32"/>
        </w:rPr>
        <w:t>（一）部门职责</w:t>
      </w:r>
    </w:p>
    <w:p>
      <w:pPr>
        <w:ind w:firstLine="645"/>
        <w:rPr>
          <w:rFonts w:ascii="仿宋" w:hAnsi="仿宋" w:eastAsia="仿宋" w:cs="仿宋_GB2312"/>
          <w:sz w:val="32"/>
          <w:szCs w:val="32"/>
        </w:rPr>
      </w:pPr>
      <w:r>
        <w:rPr>
          <w:rFonts w:hint="eastAsia" w:ascii="仿宋_GB2312" w:hAnsi="仿宋" w:eastAsia="仿宋_GB2312" w:cs="仿宋"/>
          <w:sz w:val="32"/>
          <w:szCs w:val="32"/>
        </w:rPr>
        <w:t>编制辖区的总体规划和经济、社会发展规划，经批准后组织实施；编制辖区区域性城市发展规划、国土利用规划，经批准后组织实施；审核或审批辖区固定资产投资项目；负责辖区基础设施、公用设施的建设与管理；负责辖区财政管理，实施辖区内财政预算、决算、国有资产管理和财政监督工作；负责招商引资、进出口贸易和国内外经济技术合作工作；对区内上级有关部门派驻机构实施双重领导；负责无极县政府交办的其他事项。</w:t>
      </w:r>
    </w:p>
    <w:p>
      <w:pPr>
        <w:ind w:firstLine="645"/>
        <w:rPr>
          <w:rFonts w:ascii="楷体" w:hAnsi="楷体" w:eastAsia="楷体" w:cs="仿宋_GB2312"/>
          <w:sz w:val="32"/>
          <w:szCs w:val="32"/>
        </w:rPr>
      </w:pPr>
      <w:r>
        <w:rPr>
          <w:rFonts w:hint="eastAsia" w:ascii="楷体" w:hAnsi="楷体" w:eastAsia="楷体" w:cs="仿宋_GB2312"/>
          <w:sz w:val="32"/>
          <w:szCs w:val="32"/>
        </w:rPr>
        <w:t>（二）机构设置</w:t>
      </w:r>
    </w:p>
    <w:p>
      <w:pPr>
        <w:jc w:val="center"/>
        <w:rPr>
          <w:rFonts w:ascii="仿宋" w:hAnsi="仿宋" w:eastAsia="仿宋"/>
          <w:sz w:val="32"/>
          <w:szCs w:val="32"/>
        </w:rPr>
      </w:pPr>
      <w:r>
        <w:rPr>
          <w:rFonts w:hint="eastAsia" w:ascii="仿宋" w:hAnsi="仿宋" w:eastAsia="仿宋"/>
          <w:sz w:val="32"/>
          <w:szCs w:val="32"/>
        </w:rPr>
        <w:t>部门机构设置情况</w:t>
      </w:r>
    </w:p>
    <w:tbl>
      <w:tblPr>
        <w:tblStyle w:val="4"/>
        <w:tblW w:w="894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829"/>
        <w:gridCol w:w="1601"/>
        <w:gridCol w:w="1418"/>
        <w:gridCol w:w="209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0" w:hRule="atLeast"/>
          <w:tblHeader/>
          <w:jc w:val="center"/>
        </w:trPr>
        <w:tc>
          <w:tcPr>
            <w:tcW w:w="3829" w:type="dxa"/>
            <w:vMerge w:val="restart"/>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hAnsi="Calibri" w:eastAsia="方正书宋_GBK"/>
                <w:b/>
                <w:sz w:val="24"/>
              </w:rPr>
            </w:pPr>
            <w:r>
              <w:rPr>
                <w:rFonts w:hint="eastAsia" w:ascii="宋体" w:hAnsi="宋体" w:cs="宋体"/>
                <w:b/>
                <w:sz w:val="24"/>
              </w:rPr>
              <w:t>单位名称</w:t>
            </w:r>
          </w:p>
        </w:tc>
        <w:tc>
          <w:tcPr>
            <w:tcW w:w="1601" w:type="dxa"/>
            <w:vMerge w:val="restart"/>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hAnsi="Calibri" w:eastAsia="方正书宋_GBK"/>
                <w:b/>
                <w:sz w:val="24"/>
              </w:rPr>
            </w:pPr>
            <w:r>
              <w:rPr>
                <w:rFonts w:hint="eastAsia" w:ascii="宋体" w:hAnsi="宋体" w:cs="宋体"/>
                <w:b/>
                <w:sz w:val="24"/>
              </w:rPr>
              <w:t>单位性质</w:t>
            </w:r>
          </w:p>
        </w:tc>
        <w:tc>
          <w:tcPr>
            <w:tcW w:w="1418" w:type="dxa"/>
            <w:vMerge w:val="restart"/>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hAnsi="Calibri" w:eastAsia="方正书宋_GBK"/>
                <w:b/>
                <w:sz w:val="24"/>
              </w:rPr>
            </w:pPr>
            <w:r>
              <w:rPr>
                <w:rFonts w:hint="eastAsia" w:ascii="宋体" w:hAnsi="宋体" w:cs="宋体"/>
                <w:b/>
                <w:sz w:val="24"/>
              </w:rPr>
              <w:t>单位规格</w:t>
            </w:r>
          </w:p>
        </w:tc>
        <w:tc>
          <w:tcPr>
            <w:tcW w:w="2094" w:type="dxa"/>
            <w:vMerge w:val="restart"/>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hAnsi="Calibri" w:eastAsia="方正书宋_GBK"/>
                <w:b/>
                <w:sz w:val="24"/>
              </w:rPr>
            </w:pPr>
            <w:r>
              <w:rPr>
                <w:rFonts w:hint="eastAsia" w:ascii="宋体" w:hAnsi="宋体" w:cs="宋体"/>
                <w:b/>
                <w:sz w:val="24"/>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atLeast"/>
          <w:tblHeader/>
          <w:jc w:val="center"/>
        </w:trPr>
        <w:tc>
          <w:tcPr>
            <w:tcW w:w="3829" w:type="dxa"/>
            <w:vMerge w:val="continue"/>
            <w:tcBorders>
              <w:top w:val="single" w:color="000000" w:sz="6" w:space="0"/>
              <w:left w:val="single" w:color="000000" w:sz="6" w:space="0"/>
              <w:bottom w:val="single" w:color="000000" w:sz="6" w:space="0"/>
              <w:right w:val="single" w:color="000000" w:sz="6" w:space="0"/>
            </w:tcBorders>
            <w:vAlign w:val="center"/>
          </w:tcPr>
          <w:p>
            <w:pPr>
              <w:widowControl/>
              <w:jc w:val="left"/>
              <w:rPr>
                <w:rFonts w:ascii="方正书宋_GBK" w:hAnsi="Calibri" w:eastAsia="方正书宋_GBK"/>
                <w:b/>
                <w:sz w:val="24"/>
              </w:rPr>
            </w:pPr>
          </w:p>
        </w:tc>
        <w:tc>
          <w:tcPr>
            <w:tcW w:w="1601" w:type="dxa"/>
            <w:vMerge w:val="continue"/>
            <w:tcBorders>
              <w:top w:val="single" w:color="000000" w:sz="6" w:space="0"/>
              <w:left w:val="single" w:color="000000" w:sz="6" w:space="0"/>
              <w:bottom w:val="single" w:color="000000" w:sz="6" w:space="0"/>
              <w:right w:val="single" w:color="000000" w:sz="6" w:space="0"/>
            </w:tcBorders>
            <w:vAlign w:val="center"/>
          </w:tcPr>
          <w:p>
            <w:pPr>
              <w:widowControl/>
              <w:jc w:val="left"/>
              <w:rPr>
                <w:rFonts w:ascii="方正书宋_GBK" w:hAnsi="Calibri" w:eastAsia="方正书宋_GBK"/>
                <w:b/>
                <w:sz w:val="24"/>
              </w:rPr>
            </w:pPr>
          </w:p>
        </w:tc>
        <w:tc>
          <w:tcPr>
            <w:tcW w:w="1418" w:type="dxa"/>
            <w:vMerge w:val="continue"/>
            <w:tcBorders>
              <w:top w:val="single" w:color="000000" w:sz="6" w:space="0"/>
              <w:left w:val="single" w:color="000000" w:sz="6" w:space="0"/>
              <w:bottom w:val="single" w:color="000000" w:sz="6" w:space="0"/>
              <w:right w:val="single" w:color="000000" w:sz="6" w:space="0"/>
            </w:tcBorders>
            <w:vAlign w:val="center"/>
          </w:tcPr>
          <w:p>
            <w:pPr>
              <w:widowControl/>
              <w:jc w:val="left"/>
              <w:rPr>
                <w:rFonts w:ascii="方正书宋_GBK" w:hAnsi="Calibri" w:eastAsia="方正书宋_GBK"/>
                <w:b/>
                <w:sz w:val="24"/>
              </w:rPr>
            </w:pPr>
          </w:p>
        </w:tc>
        <w:tc>
          <w:tcPr>
            <w:tcW w:w="2094" w:type="dxa"/>
            <w:vMerge w:val="continue"/>
            <w:tcBorders>
              <w:top w:val="single" w:color="000000" w:sz="6" w:space="0"/>
              <w:left w:val="single" w:color="000000" w:sz="6" w:space="0"/>
              <w:bottom w:val="single" w:color="000000" w:sz="6" w:space="0"/>
              <w:right w:val="single" w:color="000000" w:sz="6" w:space="0"/>
            </w:tcBorders>
            <w:vAlign w:val="center"/>
          </w:tcPr>
          <w:p>
            <w:pPr>
              <w:widowControl/>
              <w:jc w:val="left"/>
              <w:rPr>
                <w:rFonts w:ascii="方正书宋_GBK" w:hAnsi="Calibri" w:eastAsia="方正书宋_GBK"/>
                <w:b/>
                <w:sz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44" w:hRule="atLeast"/>
          <w:jc w:val="center"/>
        </w:trPr>
        <w:tc>
          <w:tcPr>
            <w:tcW w:w="3829"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left"/>
              <w:rPr>
                <w:rFonts w:ascii="方正书宋_GBK" w:hAnsi="Calibri" w:eastAsia="方正书宋_GBK"/>
                <w:sz w:val="24"/>
              </w:rPr>
            </w:pPr>
            <w:r>
              <w:rPr>
                <w:rFonts w:hint="eastAsia" w:ascii="宋体" w:hAnsi="宋体" w:cs="宋体"/>
                <w:sz w:val="24"/>
              </w:rPr>
              <w:t>河北无极经济开发区管理委员会</w:t>
            </w:r>
          </w:p>
        </w:tc>
        <w:tc>
          <w:tcPr>
            <w:tcW w:w="1601"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hAnsi="Calibri" w:eastAsia="方正书宋_GBK"/>
                <w:sz w:val="24"/>
              </w:rPr>
            </w:pPr>
            <w:r>
              <w:rPr>
                <w:rFonts w:hint="eastAsia" w:ascii="宋体" w:hAnsi="宋体" w:cs="宋体"/>
                <w:sz w:val="24"/>
              </w:rPr>
              <w:t>行政</w:t>
            </w:r>
          </w:p>
        </w:tc>
        <w:tc>
          <w:tcPr>
            <w:tcW w:w="1418"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hAnsi="Calibri" w:eastAsia="方正书宋_GBK"/>
                <w:sz w:val="24"/>
              </w:rPr>
            </w:pPr>
            <w:r>
              <w:rPr>
                <w:rFonts w:hint="eastAsia" w:ascii="宋体" w:hAnsi="宋体" w:cs="宋体"/>
                <w:sz w:val="24"/>
              </w:rPr>
              <w:t>副处级</w:t>
            </w:r>
          </w:p>
        </w:tc>
        <w:tc>
          <w:tcPr>
            <w:tcW w:w="2094"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hAnsi="Calibri" w:eastAsia="方正书宋_GBK"/>
                <w:sz w:val="24"/>
              </w:rPr>
            </w:pPr>
            <w:r>
              <w:rPr>
                <w:rFonts w:hint="eastAsia" w:ascii="宋体" w:hAnsi="宋体" w:cs="宋体"/>
                <w:sz w:val="24"/>
              </w:rPr>
              <w:t>财政拨款</w:t>
            </w:r>
          </w:p>
        </w:tc>
      </w:tr>
    </w:tbl>
    <w:p>
      <w:pPr>
        <w:rPr>
          <w:rFonts w:ascii="仿宋" w:hAnsi="仿宋" w:eastAsia="仿宋"/>
          <w:sz w:val="32"/>
          <w:szCs w:val="32"/>
        </w:rPr>
      </w:pPr>
    </w:p>
    <w:p>
      <w:pPr>
        <w:ind w:firstLine="640" w:firstLineChars="200"/>
        <w:rPr>
          <w:rFonts w:ascii="黑体" w:hAnsi="黑体" w:eastAsia="黑体" w:cs="仿宋_GB2312"/>
          <w:sz w:val="32"/>
          <w:szCs w:val="32"/>
        </w:rPr>
      </w:pPr>
      <w:r>
        <w:rPr>
          <w:rFonts w:hint="eastAsia" w:ascii="黑体" w:hAnsi="黑体" w:eastAsia="黑体" w:cs="仿宋_GB2312"/>
          <w:sz w:val="32"/>
          <w:szCs w:val="32"/>
        </w:rPr>
        <w:t>二、部门预算安排的总体情况</w:t>
      </w:r>
    </w:p>
    <w:p>
      <w:pPr>
        <w:ind w:firstLine="640" w:firstLineChars="200"/>
        <w:rPr>
          <w:rFonts w:ascii="黑体" w:hAnsi="仿宋_GB2312" w:eastAsia="黑体" w:cs="仿宋_GB2312"/>
          <w:sz w:val="30"/>
          <w:szCs w:val="30"/>
        </w:rPr>
      </w:pPr>
      <w:r>
        <w:rPr>
          <w:rFonts w:hint="eastAsia" w:ascii="仿宋" w:hAnsi="仿宋" w:eastAsia="仿宋" w:cs="仿宋_GB2312"/>
          <w:sz w:val="32"/>
          <w:szCs w:val="32"/>
        </w:rPr>
        <w:t>按照预算管理有关规定，目前我县部门预算的编制实行综合预算制度，即全部收入和支出都反映在预算里，我部门及所属单位所有收支都包含在部门预算中</w:t>
      </w:r>
      <w:r>
        <w:rPr>
          <w:rFonts w:hint="eastAsia" w:ascii="黑体" w:hAnsi="仿宋_GB2312" w:eastAsia="黑体" w:cs="仿宋_GB2312"/>
          <w:sz w:val="30"/>
          <w:szCs w:val="30"/>
        </w:rPr>
        <w:t>。</w:t>
      </w:r>
    </w:p>
    <w:p>
      <w:pPr>
        <w:ind w:firstLine="600" w:firstLineChars="200"/>
        <w:rPr>
          <w:rFonts w:ascii="楷体" w:hAnsi="楷体" w:eastAsia="楷体" w:cs="仿宋_GB2312"/>
          <w:sz w:val="30"/>
          <w:szCs w:val="30"/>
        </w:rPr>
      </w:pPr>
      <w:r>
        <w:rPr>
          <w:rFonts w:hint="eastAsia" w:ascii="楷体" w:hAnsi="楷体" w:eastAsia="楷体" w:cs="仿宋_GB2312"/>
          <w:sz w:val="30"/>
          <w:szCs w:val="30"/>
        </w:rPr>
        <w:t>（一）收入说明</w:t>
      </w:r>
    </w:p>
    <w:p>
      <w:pPr>
        <w:adjustRightInd w:val="0"/>
        <w:snapToGrid w:val="0"/>
        <w:spacing w:line="600" w:lineRule="exact"/>
        <w:ind w:firstLine="640" w:firstLineChars="200"/>
        <w:jc w:val="left"/>
        <w:rPr>
          <w:rFonts w:ascii="仿宋_GB2312" w:hAnsi="Calibri" w:eastAsia="仿宋_GB2312" w:cs="仿宋_GB2312"/>
          <w:bCs/>
          <w:sz w:val="32"/>
          <w:szCs w:val="32"/>
        </w:rPr>
      </w:pPr>
      <w:r>
        <w:rPr>
          <w:rFonts w:hint="eastAsia" w:ascii="仿宋_GB2312" w:hAnsi="Calibri" w:eastAsia="仿宋_GB2312" w:cs="仿宋_GB2312"/>
          <w:bCs/>
          <w:sz w:val="32"/>
          <w:szCs w:val="32"/>
        </w:rPr>
        <w:t>无极县开发区2017年预算收入总计145.42万元。其中，一般公共预算收入145.42万元、政府性基金收入0万元、财政专户核拨收入0万元，其他来源收入0万元。</w:t>
      </w:r>
    </w:p>
    <w:p>
      <w:pPr>
        <w:ind w:firstLine="645"/>
        <w:rPr>
          <w:rFonts w:ascii="楷体" w:hAnsi="楷体" w:eastAsia="楷体"/>
          <w:sz w:val="32"/>
          <w:szCs w:val="32"/>
        </w:rPr>
      </w:pPr>
      <w:r>
        <w:rPr>
          <w:rFonts w:hint="eastAsia" w:ascii="楷体" w:hAnsi="楷体" w:eastAsia="楷体"/>
          <w:sz w:val="32"/>
          <w:szCs w:val="32"/>
        </w:rPr>
        <w:t>（二）支出说明</w:t>
      </w:r>
    </w:p>
    <w:p>
      <w:pPr>
        <w:adjustRightInd w:val="0"/>
        <w:snapToGrid w:val="0"/>
        <w:spacing w:line="600" w:lineRule="exact"/>
        <w:ind w:firstLine="640" w:firstLineChars="200"/>
        <w:jc w:val="left"/>
        <w:rPr>
          <w:rFonts w:ascii="仿宋_GB2312" w:eastAsia="仿宋_GB2312" w:cs="仿宋_GB2312"/>
          <w:bCs/>
          <w:sz w:val="32"/>
          <w:szCs w:val="32"/>
        </w:rPr>
      </w:pPr>
      <w:r>
        <w:rPr>
          <w:rFonts w:hint="eastAsia" w:ascii="仿宋_GB2312" w:eastAsia="仿宋_GB2312" w:cs="仿宋_GB2312"/>
          <w:bCs/>
          <w:sz w:val="32"/>
          <w:szCs w:val="32"/>
        </w:rPr>
        <w:t>2017年预算支出145.42万元。其中，人员经费支出94.92万元，正常公用经费10.50万元，项目支出40万元。</w:t>
      </w:r>
    </w:p>
    <w:p>
      <w:pPr>
        <w:ind w:firstLine="645"/>
        <w:rPr>
          <w:rFonts w:ascii="楷体" w:hAnsi="楷体" w:eastAsia="楷体"/>
          <w:sz w:val="32"/>
          <w:szCs w:val="32"/>
        </w:rPr>
      </w:pPr>
      <w:r>
        <w:rPr>
          <w:rFonts w:hint="eastAsia" w:ascii="楷体" w:hAnsi="楷体" w:eastAsia="楷体"/>
          <w:sz w:val="32"/>
          <w:szCs w:val="32"/>
        </w:rPr>
        <w:t>（三）比上年增减情况</w:t>
      </w:r>
    </w:p>
    <w:p>
      <w:pPr>
        <w:ind w:firstLine="645"/>
        <w:rPr>
          <w:rFonts w:ascii="楷体" w:hAnsi="楷体" w:eastAsia="楷体"/>
          <w:sz w:val="32"/>
          <w:szCs w:val="32"/>
        </w:rPr>
      </w:pPr>
      <w:r>
        <w:rPr>
          <w:rFonts w:hint="eastAsia" w:ascii="仿宋_GB2312" w:eastAsia="仿宋_GB2312" w:cs="仿宋_GB2312"/>
          <w:bCs/>
          <w:sz w:val="32"/>
          <w:szCs w:val="32"/>
        </w:rPr>
        <w:t>与2016年相比增加31.93万元，增加的主要原因是调整工资及政府购买服务项目支出增多。</w:t>
      </w:r>
    </w:p>
    <w:p>
      <w:pPr>
        <w:ind w:firstLine="640" w:firstLineChars="200"/>
        <w:rPr>
          <w:rFonts w:ascii="黑体" w:hAnsi="黑体" w:eastAsia="黑体" w:cs="仿宋_GB2312"/>
          <w:sz w:val="32"/>
          <w:szCs w:val="32"/>
        </w:rPr>
      </w:pPr>
      <w:r>
        <w:rPr>
          <w:rFonts w:hint="eastAsia" w:ascii="黑体" w:hAnsi="黑体" w:eastAsia="黑体" w:cs="仿宋_GB2312"/>
          <w:sz w:val="32"/>
          <w:szCs w:val="32"/>
        </w:rPr>
        <w:t>三、机关运行经费安排情况</w:t>
      </w:r>
    </w:p>
    <w:p>
      <w:pPr>
        <w:ind w:firstLine="640" w:firstLineChars="200"/>
        <w:rPr>
          <w:rFonts w:ascii="仿宋" w:hAnsi="仿宋" w:eastAsia="仿宋" w:cs="仿宋"/>
          <w:color w:val="FF0000"/>
          <w:sz w:val="32"/>
          <w:szCs w:val="32"/>
        </w:rPr>
      </w:pPr>
      <w:r>
        <w:rPr>
          <w:rFonts w:hint="eastAsia" w:ascii="仿宋_GB2312" w:hAnsi="仿宋_GB2312" w:eastAsia="仿宋_GB2312" w:cs="仿宋_GB2312"/>
          <w:sz w:val="32"/>
          <w:szCs w:val="32"/>
        </w:rPr>
        <w:t>2017年机关运行经费共计安排7.5万元，主要用于我部门日常办公，办公区水电费、日常维修，办公用房取暖费，办公用房物业管理费等日常运行支出。</w:t>
      </w:r>
    </w:p>
    <w:p>
      <w:pPr>
        <w:autoSpaceDE w:val="0"/>
        <w:autoSpaceDN w:val="0"/>
        <w:adjustRightInd w:val="0"/>
        <w:ind w:firstLine="640" w:firstLineChars="200"/>
        <w:jc w:val="left"/>
        <w:rPr>
          <w:rFonts w:ascii="黑体" w:hAnsi="黑体" w:eastAsia="黑体" w:cs="仿宋_GB2312"/>
          <w:sz w:val="32"/>
          <w:szCs w:val="32"/>
        </w:rPr>
      </w:pPr>
      <w:r>
        <w:rPr>
          <w:rFonts w:hint="eastAsia" w:ascii="黑体" w:hAnsi="黑体" w:eastAsia="黑体" w:cs="仿宋_GB2312"/>
          <w:sz w:val="32"/>
          <w:szCs w:val="32"/>
        </w:rPr>
        <w:t>四、财政拨款“三公”经费预算情况及增减变化原因</w:t>
      </w:r>
    </w:p>
    <w:p>
      <w:pPr>
        <w:ind w:firstLine="640" w:firstLineChars="200"/>
        <w:outlineLvl w:val="0"/>
        <w:rPr>
          <w:rFonts w:ascii="仿宋" w:hAnsi="仿宋" w:eastAsia="仿宋"/>
          <w:sz w:val="32"/>
          <w:szCs w:val="32"/>
        </w:rPr>
      </w:pPr>
      <w:r>
        <w:rPr>
          <w:rFonts w:hint="eastAsia" w:ascii="仿宋" w:hAnsi="仿宋" w:eastAsia="仿宋"/>
          <w:sz w:val="32"/>
          <w:szCs w:val="32"/>
        </w:rPr>
        <w:t>2017年本部门安排“三公”经费 3 万元，与2016年持平，无增减变化。其中：</w:t>
      </w:r>
    </w:p>
    <w:p>
      <w:pPr>
        <w:ind w:firstLine="640" w:firstLineChars="200"/>
        <w:outlineLvl w:val="0"/>
        <w:rPr>
          <w:rFonts w:ascii="仿宋" w:hAnsi="仿宋" w:eastAsia="仿宋"/>
          <w:sz w:val="32"/>
          <w:szCs w:val="32"/>
        </w:rPr>
      </w:pPr>
      <w:r>
        <w:rPr>
          <w:rFonts w:hint="eastAsia" w:ascii="仿宋" w:hAnsi="仿宋" w:eastAsia="仿宋"/>
          <w:sz w:val="32"/>
          <w:szCs w:val="32"/>
        </w:rPr>
        <w:t>1、因公出国（境）费0万元，与2016年持平，无增减变化。</w:t>
      </w:r>
    </w:p>
    <w:p>
      <w:pPr>
        <w:ind w:firstLine="640" w:firstLineChars="200"/>
        <w:outlineLvl w:val="0"/>
        <w:rPr>
          <w:rFonts w:ascii="仿宋" w:hAnsi="仿宋" w:eastAsia="仿宋"/>
          <w:sz w:val="32"/>
          <w:szCs w:val="32"/>
        </w:rPr>
      </w:pPr>
      <w:r>
        <w:rPr>
          <w:rFonts w:hint="eastAsia" w:ascii="仿宋" w:hAnsi="仿宋" w:eastAsia="仿宋"/>
          <w:sz w:val="32"/>
          <w:szCs w:val="32"/>
        </w:rPr>
        <w:t>2、公务用车购置及运行维护费3万元，与2016年持平，无增减变化。其中：公务用车购置0万元，与2016年持平，无增减变化；公务用车运行维护费3万元，与2016年持平，无增减变化。</w:t>
      </w:r>
    </w:p>
    <w:p>
      <w:pPr>
        <w:ind w:firstLine="640" w:firstLineChars="200"/>
        <w:outlineLvl w:val="0"/>
        <w:rPr>
          <w:rFonts w:ascii="仿宋" w:hAnsi="仿宋" w:eastAsia="仿宋"/>
          <w:sz w:val="32"/>
          <w:szCs w:val="32"/>
        </w:rPr>
      </w:pPr>
      <w:r>
        <w:rPr>
          <w:rFonts w:hint="eastAsia" w:ascii="仿宋" w:hAnsi="仿宋" w:eastAsia="仿宋"/>
          <w:sz w:val="32"/>
          <w:szCs w:val="32"/>
        </w:rPr>
        <w:t>3、公务接待费0万元，与2016年持平，无增减变化。</w:t>
      </w:r>
    </w:p>
    <w:p>
      <w:pPr>
        <w:autoSpaceDE w:val="0"/>
        <w:autoSpaceDN w:val="0"/>
        <w:adjustRightInd w:val="0"/>
        <w:ind w:firstLine="640" w:firstLineChars="200"/>
        <w:jc w:val="left"/>
        <w:rPr>
          <w:rFonts w:ascii="黑体" w:hAnsi="黑体" w:eastAsia="黑体" w:cs="仿宋_GB2312"/>
          <w:sz w:val="32"/>
          <w:szCs w:val="32"/>
        </w:rPr>
      </w:pPr>
      <w:r>
        <w:rPr>
          <w:rFonts w:hint="eastAsia" w:ascii="黑体" w:hAnsi="黑体" w:eastAsia="黑体" w:cs="仿宋_GB2312"/>
          <w:sz w:val="32"/>
          <w:szCs w:val="32"/>
        </w:rPr>
        <w:t>五、绩效预算信息</w:t>
      </w:r>
    </w:p>
    <w:p>
      <w:pPr>
        <w:ind w:firstLine="645"/>
        <w:rPr>
          <w:rFonts w:ascii="楷体" w:hAnsi="楷体" w:eastAsia="楷体"/>
          <w:sz w:val="32"/>
          <w:szCs w:val="32"/>
        </w:rPr>
      </w:pPr>
      <w:r>
        <w:rPr>
          <w:rFonts w:hint="eastAsia" w:ascii="楷体" w:hAnsi="楷体" w:eastAsia="楷体"/>
          <w:sz w:val="32"/>
          <w:szCs w:val="32"/>
        </w:rPr>
        <w:t>（一）总体绩效目标</w:t>
      </w:r>
    </w:p>
    <w:p>
      <w:pPr>
        <w:ind w:firstLine="560"/>
        <w:rPr>
          <w:rFonts w:ascii="仿宋" w:hAnsi="仿宋" w:eastAsia="仿宋"/>
          <w:sz w:val="32"/>
          <w:szCs w:val="32"/>
        </w:rPr>
      </w:pPr>
      <w:r>
        <w:rPr>
          <w:rFonts w:ascii="仿宋" w:hAnsi="仿宋" w:eastAsia="仿宋"/>
          <w:sz w:val="32"/>
          <w:szCs w:val="32"/>
        </w:rPr>
        <w:t>2017年，我们将紧紧围绕开发区中心工作，创新运行体制和机制，创优发展和服务环境，切实把开发区打造成为“基础设施配套、服务功能齐全、管理体系完善”的现代化产业园区。</w:t>
      </w:r>
    </w:p>
    <w:p>
      <w:pPr>
        <w:ind w:firstLine="560"/>
        <w:rPr>
          <w:rFonts w:ascii="仿宋" w:hAnsi="仿宋" w:eastAsia="仿宋"/>
          <w:sz w:val="32"/>
          <w:szCs w:val="32"/>
        </w:rPr>
      </w:pPr>
      <w:r>
        <w:rPr>
          <w:rFonts w:ascii="仿宋" w:hAnsi="仿宋" w:eastAsia="仿宋"/>
          <w:sz w:val="32"/>
          <w:szCs w:val="32"/>
        </w:rPr>
        <w:t>坚持建设高质量，积极打造功能完备发展平台。继续采取BOT、BT等模式，引入资金雄厚、信誉良好的合作伙伴，聘请资质好、实力强的施工单位，高质量、高标准完成基础设施建设，今年力争园区内路、水、电、热、气、通讯等基础要素配置完善。同时，搞好绿化、美化、亮化，进一步增强开发区支撑力和吸引力。2017年，重点抓好以下三方面的工作：一是西区供电增容。西区城西站由3.5万伏增容为5万伏，同时新增北苏11万伏站，以满足西区及卡森绿色家居城的用电需求。二是筹建西区、北区集中供热项目。在西区、北区筹划建设以天然气能和生物质能为原料的集中供热公司，其中北区集中供热结合和合化工公司的生产余热，降低供热成本。三是道路、管网及绿化亮化等基础设施建设。南区，加快已开工道路建设进度，同时，及时跟进管网及绿化亮化等配套设施建设。西区，建设经五街、纬二路，与正港路、果王路形成包含金达涂料、二印企业在内的框架区域。北区，新建向阳街，同时纬三路东延与向阳街接通；对园区内的定魏公路段进行绿化亮化，拟安装路灯116杆，绿化面积1.5万平方米。</w:t>
      </w:r>
    </w:p>
    <w:p>
      <w:pPr>
        <w:ind w:firstLine="645"/>
        <w:rPr>
          <w:rFonts w:ascii="楷体" w:hAnsi="楷体" w:eastAsia="楷体"/>
          <w:sz w:val="32"/>
          <w:szCs w:val="32"/>
        </w:rPr>
      </w:pPr>
      <w:r>
        <w:rPr>
          <w:rFonts w:hint="eastAsia" w:ascii="楷体" w:hAnsi="楷体" w:eastAsia="楷体"/>
          <w:sz w:val="32"/>
          <w:szCs w:val="32"/>
        </w:rPr>
        <w:t>（二）职责分类绩效目标</w:t>
      </w:r>
    </w:p>
    <w:p>
      <w:pPr>
        <w:ind w:firstLine="640" w:firstLineChars="200"/>
        <w:rPr>
          <w:rFonts w:ascii="仿宋" w:hAnsi="仿宋" w:eastAsia="仿宋"/>
          <w:sz w:val="32"/>
          <w:szCs w:val="32"/>
        </w:rPr>
      </w:pPr>
      <w:r>
        <w:rPr>
          <w:rFonts w:ascii="仿宋" w:hAnsi="仿宋" w:eastAsia="仿宋"/>
          <w:sz w:val="32"/>
          <w:szCs w:val="32"/>
        </w:rPr>
        <w:t>一是金马、军成、福瑞德、齐盛4家制革企业，年内全部投入正式运行并达到清洁化生产标准。</w:t>
      </w:r>
    </w:p>
    <w:p>
      <w:pPr>
        <w:ind w:firstLine="640" w:firstLineChars="200"/>
        <w:rPr>
          <w:rFonts w:ascii="仿宋" w:hAnsi="仿宋" w:eastAsia="仿宋"/>
          <w:sz w:val="32"/>
          <w:szCs w:val="32"/>
        </w:rPr>
      </w:pPr>
      <w:r>
        <w:rPr>
          <w:rFonts w:ascii="仿宋" w:hAnsi="仿宋" w:eastAsia="仿宋"/>
          <w:sz w:val="32"/>
          <w:szCs w:val="32"/>
        </w:rPr>
        <w:t>二是谋划建设后整饰产业园，推进皮革后整企业整合重组和集约化发展。</w:t>
      </w:r>
    </w:p>
    <w:p>
      <w:pPr>
        <w:ind w:firstLine="560"/>
        <w:rPr>
          <w:rFonts w:ascii="仿宋" w:hAnsi="仿宋" w:eastAsia="仿宋"/>
          <w:sz w:val="32"/>
          <w:szCs w:val="32"/>
        </w:rPr>
      </w:pPr>
      <w:r>
        <w:rPr>
          <w:rFonts w:ascii="仿宋" w:hAnsi="仿宋" w:eastAsia="仿宋"/>
          <w:sz w:val="32"/>
          <w:szCs w:val="32"/>
        </w:rPr>
        <w:t>三是景森皮革制品项目、舒美汽车真皮内饰项目、嘉泰皮革制品项目，年内竣工投产。</w:t>
      </w:r>
    </w:p>
    <w:p>
      <w:pPr>
        <w:ind w:firstLine="560"/>
        <w:rPr>
          <w:rFonts w:ascii="仿宋" w:hAnsi="仿宋" w:eastAsia="仿宋"/>
          <w:sz w:val="32"/>
          <w:szCs w:val="32"/>
        </w:rPr>
      </w:pPr>
      <w:r>
        <w:rPr>
          <w:rFonts w:ascii="仿宋" w:hAnsi="仿宋" w:eastAsia="仿宋"/>
          <w:sz w:val="32"/>
          <w:szCs w:val="32"/>
        </w:rPr>
        <w:t>四是提升装备制造业行业档次与规模。引导企业开发新产品，推动产业向高精尖发展。</w:t>
      </w:r>
    </w:p>
    <w:p>
      <w:pPr>
        <w:ind w:firstLine="560"/>
        <w:rPr>
          <w:rFonts w:ascii="仿宋" w:hAnsi="仿宋" w:eastAsia="仿宋"/>
          <w:sz w:val="32"/>
          <w:szCs w:val="32"/>
        </w:rPr>
      </w:pPr>
      <w:r>
        <w:rPr>
          <w:rFonts w:ascii="仿宋" w:hAnsi="仿宋" w:eastAsia="仿宋"/>
          <w:sz w:val="32"/>
          <w:szCs w:val="32"/>
        </w:rPr>
        <w:t>五是装饰家居业提升开发能力，引进整体厨卫、高档家具等系列产品，提升产业档次，延伸产业链。</w:t>
      </w:r>
    </w:p>
    <w:p>
      <w:pPr>
        <w:ind w:firstLine="560"/>
        <w:rPr>
          <w:rFonts w:ascii="仿宋" w:hAnsi="仿宋" w:eastAsia="仿宋"/>
          <w:sz w:val="32"/>
          <w:szCs w:val="32"/>
        </w:rPr>
      </w:pPr>
      <w:r>
        <w:rPr>
          <w:rFonts w:ascii="仿宋" w:hAnsi="仿宋" w:eastAsia="仿宋"/>
          <w:sz w:val="32"/>
          <w:szCs w:val="32"/>
        </w:rPr>
        <w:t>六是鼓励医药现有企业开发新产品，谋划建设医药物流中心，利用资源引进更多药企入驻，打造无极医药新优势。</w:t>
      </w:r>
    </w:p>
    <w:p>
      <w:pPr>
        <w:ind w:firstLine="645"/>
        <w:rPr>
          <w:rFonts w:ascii="楷体" w:hAnsi="楷体" w:eastAsia="楷体"/>
          <w:sz w:val="32"/>
          <w:szCs w:val="32"/>
        </w:rPr>
      </w:pPr>
      <w:r>
        <w:rPr>
          <w:rFonts w:hint="eastAsia" w:ascii="楷体" w:hAnsi="楷体" w:eastAsia="楷体"/>
          <w:sz w:val="32"/>
          <w:szCs w:val="32"/>
        </w:rPr>
        <w:t>（三）部门职责-工作活动绩效目标</w:t>
      </w:r>
    </w:p>
    <w:p>
      <w:pPr>
        <w:ind w:firstLine="645"/>
        <w:jc w:val="center"/>
        <w:rPr>
          <w:rFonts w:ascii="仿宋" w:hAnsi="仿宋" w:eastAsia="仿宋"/>
          <w:sz w:val="32"/>
          <w:szCs w:val="32"/>
        </w:rPr>
      </w:pPr>
      <w:r>
        <w:rPr>
          <w:rFonts w:hint="eastAsia" w:ascii="仿宋" w:hAnsi="仿宋" w:eastAsia="仿宋"/>
          <w:sz w:val="32"/>
          <w:szCs w:val="32"/>
        </w:rPr>
        <w:t>部门职责-工作活动绩效目标</w:t>
      </w:r>
    </w:p>
    <w:tbl>
      <w:tblPr>
        <w:tblStyle w:val="4"/>
        <w:tblW w:w="1393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540"/>
        <w:gridCol w:w="1077"/>
        <w:gridCol w:w="2976"/>
        <w:gridCol w:w="2976"/>
        <w:gridCol w:w="1417"/>
        <w:gridCol w:w="909"/>
        <w:gridCol w:w="565"/>
        <w:gridCol w:w="737"/>
        <w:gridCol w:w="73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jc w:val="center"/>
        </w:trPr>
        <w:tc>
          <w:tcPr>
            <w:tcW w:w="10986" w:type="dxa"/>
            <w:gridSpan w:val="5"/>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Theme="minorEastAsia" w:hAnsiTheme="minorEastAsia" w:eastAsiaTheme="minorEastAsia"/>
                <w:sz w:val="28"/>
                <w:szCs w:val="28"/>
              </w:rPr>
            </w:pPr>
            <w:r>
              <w:rPr>
                <w:rFonts w:asciiTheme="minorEastAsia" w:hAnsiTheme="minorEastAsia" w:eastAsiaTheme="minorEastAsia"/>
                <w:sz w:val="28"/>
                <w:szCs w:val="28"/>
              </w:rPr>
              <w:t>607</w:t>
            </w:r>
            <w:r>
              <w:rPr>
                <w:rFonts w:hint="eastAsia" w:asciiTheme="minorEastAsia" w:hAnsiTheme="minorEastAsia" w:eastAsiaTheme="minorEastAsia"/>
                <w:sz w:val="28"/>
                <w:szCs w:val="28"/>
              </w:rPr>
              <w:t>开发区</w:t>
            </w:r>
          </w:p>
        </w:tc>
        <w:tc>
          <w:tcPr>
            <w:tcW w:w="2948" w:type="dxa"/>
            <w:gridSpan w:val="4"/>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Theme="minorEastAsia" w:hAnsiTheme="minorEastAsia" w:eastAsiaTheme="minorEastAsia"/>
                <w:sz w:val="28"/>
                <w:szCs w:val="28"/>
              </w:rPr>
            </w:pPr>
            <w:r>
              <w:rPr>
                <w:rFonts w:hint="eastAsia" w:cs="宋体" w:asciiTheme="minorEastAsia" w:hAnsiTheme="minorEastAsia" w:eastAsiaTheme="minorEastAsia"/>
                <w:sz w:val="28"/>
                <w:szCs w:val="28"/>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jc w:val="center"/>
        </w:trPr>
        <w:tc>
          <w:tcPr>
            <w:tcW w:w="2540" w:type="dxa"/>
            <w:vMerge w:val="restart"/>
            <w:shd w:val="clear" w:color="auto" w:fill="auto"/>
            <w:vAlign w:val="center"/>
          </w:tcPr>
          <w:p>
            <w:pPr>
              <w:spacing w:line="300" w:lineRule="exact"/>
              <w:jc w:val="center"/>
              <w:rPr>
                <w:rFonts w:asciiTheme="minorEastAsia" w:hAnsiTheme="minorEastAsia" w:eastAsiaTheme="minorEastAsia"/>
                <w:b/>
                <w:sz w:val="28"/>
                <w:szCs w:val="28"/>
              </w:rPr>
            </w:pPr>
            <w:r>
              <w:rPr>
                <w:rFonts w:hint="eastAsia" w:cs="宋体" w:asciiTheme="minorEastAsia" w:hAnsiTheme="minorEastAsia" w:eastAsiaTheme="minorEastAsia"/>
                <w:b/>
                <w:sz w:val="28"/>
                <w:szCs w:val="28"/>
              </w:rPr>
              <w:t>职责活动</w:t>
            </w:r>
          </w:p>
        </w:tc>
        <w:tc>
          <w:tcPr>
            <w:tcW w:w="1077" w:type="dxa"/>
            <w:vMerge w:val="restart"/>
            <w:shd w:val="clear" w:color="auto" w:fill="auto"/>
            <w:vAlign w:val="center"/>
          </w:tcPr>
          <w:p>
            <w:pPr>
              <w:spacing w:line="300" w:lineRule="exact"/>
              <w:jc w:val="center"/>
              <w:rPr>
                <w:rFonts w:asciiTheme="minorEastAsia" w:hAnsiTheme="minorEastAsia" w:eastAsiaTheme="minorEastAsia"/>
                <w:b/>
                <w:sz w:val="28"/>
                <w:szCs w:val="28"/>
              </w:rPr>
            </w:pPr>
            <w:r>
              <w:rPr>
                <w:rFonts w:hint="eastAsia" w:cs="宋体" w:asciiTheme="minorEastAsia" w:hAnsiTheme="minorEastAsia" w:eastAsiaTheme="minorEastAsia"/>
                <w:b/>
                <w:sz w:val="28"/>
                <w:szCs w:val="28"/>
              </w:rPr>
              <w:t>年度预算数</w:t>
            </w:r>
          </w:p>
        </w:tc>
        <w:tc>
          <w:tcPr>
            <w:tcW w:w="2976" w:type="dxa"/>
            <w:vMerge w:val="restart"/>
            <w:shd w:val="clear" w:color="auto" w:fill="auto"/>
            <w:vAlign w:val="center"/>
          </w:tcPr>
          <w:p>
            <w:pPr>
              <w:spacing w:line="300" w:lineRule="exact"/>
              <w:jc w:val="center"/>
              <w:rPr>
                <w:rFonts w:asciiTheme="minorEastAsia" w:hAnsiTheme="minorEastAsia" w:eastAsiaTheme="minorEastAsia"/>
                <w:b/>
                <w:sz w:val="28"/>
                <w:szCs w:val="28"/>
              </w:rPr>
            </w:pPr>
            <w:r>
              <w:rPr>
                <w:rFonts w:hint="eastAsia" w:cs="宋体" w:asciiTheme="minorEastAsia" w:hAnsiTheme="minorEastAsia" w:eastAsiaTheme="minorEastAsia"/>
                <w:b/>
                <w:sz w:val="28"/>
                <w:szCs w:val="28"/>
              </w:rPr>
              <w:t>内容描述</w:t>
            </w:r>
          </w:p>
        </w:tc>
        <w:tc>
          <w:tcPr>
            <w:tcW w:w="2976" w:type="dxa"/>
            <w:vMerge w:val="restart"/>
            <w:shd w:val="clear" w:color="auto" w:fill="auto"/>
            <w:vAlign w:val="center"/>
          </w:tcPr>
          <w:p>
            <w:pPr>
              <w:spacing w:line="300" w:lineRule="exact"/>
              <w:jc w:val="center"/>
              <w:rPr>
                <w:rFonts w:asciiTheme="minorEastAsia" w:hAnsiTheme="minorEastAsia" w:eastAsiaTheme="minorEastAsia"/>
                <w:b/>
                <w:sz w:val="28"/>
                <w:szCs w:val="28"/>
              </w:rPr>
            </w:pPr>
            <w:r>
              <w:rPr>
                <w:rFonts w:hint="eastAsia" w:cs="宋体" w:asciiTheme="minorEastAsia" w:hAnsiTheme="minorEastAsia" w:eastAsiaTheme="minorEastAsia"/>
                <w:b/>
                <w:sz w:val="28"/>
                <w:szCs w:val="28"/>
              </w:rPr>
              <w:t>绩效目标</w:t>
            </w:r>
          </w:p>
        </w:tc>
        <w:tc>
          <w:tcPr>
            <w:tcW w:w="1417" w:type="dxa"/>
            <w:vMerge w:val="restart"/>
            <w:shd w:val="clear" w:color="auto" w:fill="auto"/>
            <w:vAlign w:val="center"/>
          </w:tcPr>
          <w:p>
            <w:pPr>
              <w:spacing w:line="300" w:lineRule="exact"/>
              <w:jc w:val="center"/>
              <w:rPr>
                <w:rFonts w:asciiTheme="minorEastAsia" w:hAnsiTheme="minorEastAsia" w:eastAsiaTheme="minorEastAsia"/>
                <w:b/>
                <w:sz w:val="28"/>
                <w:szCs w:val="28"/>
              </w:rPr>
            </w:pPr>
            <w:r>
              <w:rPr>
                <w:rFonts w:hint="eastAsia" w:cs="宋体" w:asciiTheme="minorEastAsia" w:hAnsiTheme="minorEastAsia" w:eastAsiaTheme="minorEastAsia"/>
                <w:b/>
                <w:sz w:val="28"/>
                <w:szCs w:val="28"/>
              </w:rPr>
              <w:t>绩效指标</w:t>
            </w:r>
          </w:p>
        </w:tc>
        <w:tc>
          <w:tcPr>
            <w:tcW w:w="2948" w:type="dxa"/>
            <w:gridSpan w:val="4"/>
            <w:shd w:val="clear" w:color="auto" w:fill="auto"/>
            <w:vAlign w:val="center"/>
          </w:tcPr>
          <w:p>
            <w:pPr>
              <w:spacing w:line="300" w:lineRule="exact"/>
              <w:jc w:val="center"/>
              <w:rPr>
                <w:rFonts w:asciiTheme="minorEastAsia" w:hAnsiTheme="minorEastAsia" w:eastAsiaTheme="minorEastAsia"/>
                <w:b/>
                <w:sz w:val="28"/>
                <w:szCs w:val="28"/>
              </w:rPr>
            </w:pPr>
            <w:r>
              <w:rPr>
                <w:rFonts w:hint="eastAsia" w:cs="宋体" w:asciiTheme="minorEastAsia" w:hAnsiTheme="minorEastAsia" w:eastAsiaTheme="minorEastAsia"/>
                <w:b/>
                <w:sz w:val="28"/>
                <w:szCs w:val="28"/>
              </w:rPr>
              <w:t>评价标准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jc w:val="center"/>
        </w:trPr>
        <w:tc>
          <w:tcPr>
            <w:tcW w:w="2540" w:type="dxa"/>
            <w:vMerge w:val="continue"/>
            <w:shd w:val="clear" w:color="auto" w:fill="auto"/>
            <w:vAlign w:val="center"/>
          </w:tcPr>
          <w:p>
            <w:pPr>
              <w:spacing w:line="300" w:lineRule="exact"/>
              <w:jc w:val="left"/>
              <w:outlineLvl w:val="0"/>
              <w:rPr>
                <w:rFonts w:asciiTheme="minorEastAsia" w:hAnsiTheme="minorEastAsia" w:eastAsiaTheme="minorEastAsia"/>
                <w:sz w:val="28"/>
                <w:szCs w:val="28"/>
              </w:rPr>
            </w:pPr>
          </w:p>
        </w:tc>
        <w:tc>
          <w:tcPr>
            <w:tcW w:w="1077" w:type="dxa"/>
            <w:vMerge w:val="continue"/>
            <w:shd w:val="clear" w:color="auto" w:fill="auto"/>
            <w:vAlign w:val="center"/>
          </w:tcPr>
          <w:p>
            <w:pPr>
              <w:spacing w:line="300" w:lineRule="exact"/>
              <w:jc w:val="left"/>
              <w:outlineLvl w:val="0"/>
              <w:rPr>
                <w:rFonts w:asciiTheme="minorEastAsia" w:hAnsiTheme="minorEastAsia" w:eastAsiaTheme="minorEastAsia"/>
                <w:sz w:val="28"/>
                <w:szCs w:val="28"/>
              </w:rPr>
            </w:pPr>
          </w:p>
        </w:tc>
        <w:tc>
          <w:tcPr>
            <w:tcW w:w="2976" w:type="dxa"/>
            <w:vMerge w:val="continue"/>
            <w:shd w:val="clear" w:color="auto" w:fill="auto"/>
            <w:vAlign w:val="center"/>
          </w:tcPr>
          <w:p>
            <w:pPr>
              <w:spacing w:line="300" w:lineRule="exact"/>
              <w:jc w:val="left"/>
              <w:outlineLvl w:val="0"/>
              <w:rPr>
                <w:rFonts w:asciiTheme="minorEastAsia" w:hAnsiTheme="minorEastAsia" w:eastAsiaTheme="minorEastAsia"/>
                <w:sz w:val="28"/>
                <w:szCs w:val="28"/>
              </w:rPr>
            </w:pPr>
          </w:p>
        </w:tc>
        <w:tc>
          <w:tcPr>
            <w:tcW w:w="2976" w:type="dxa"/>
            <w:vMerge w:val="continue"/>
            <w:shd w:val="clear" w:color="auto" w:fill="auto"/>
            <w:vAlign w:val="center"/>
          </w:tcPr>
          <w:p>
            <w:pPr>
              <w:spacing w:line="300" w:lineRule="exact"/>
              <w:jc w:val="left"/>
              <w:outlineLvl w:val="0"/>
              <w:rPr>
                <w:rFonts w:asciiTheme="minorEastAsia" w:hAnsiTheme="minorEastAsia" w:eastAsiaTheme="minorEastAsia"/>
                <w:sz w:val="28"/>
                <w:szCs w:val="28"/>
              </w:rPr>
            </w:pPr>
          </w:p>
        </w:tc>
        <w:tc>
          <w:tcPr>
            <w:tcW w:w="1417" w:type="dxa"/>
            <w:vMerge w:val="continue"/>
            <w:shd w:val="clear" w:color="auto" w:fill="auto"/>
            <w:vAlign w:val="center"/>
          </w:tcPr>
          <w:p>
            <w:pPr>
              <w:spacing w:line="300" w:lineRule="exact"/>
              <w:jc w:val="left"/>
              <w:outlineLvl w:val="0"/>
              <w:rPr>
                <w:rFonts w:asciiTheme="minorEastAsia" w:hAnsiTheme="minorEastAsia" w:eastAsiaTheme="minorEastAsia"/>
                <w:sz w:val="28"/>
                <w:szCs w:val="28"/>
              </w:rPr>
            </w:pPr>
          </w:p>
        </w:tc>
        <w:tc>
          <w:tcPr>
            <w:tcW w:w="909" w:type="dxa"/>
            <w:shd w:val="clear" w:color="auto" w:fill="auto"/>
            <w:vAlign w:val="center"/>
          </w:tcPr>
          <w:p>
            <w:pPr>
              <w:spacing w:line="300" w:lineRule="exact"/>
              <w:jc w:val="center"/>
              <w:rPr>
                <w:rFonts w:asciiTheme="minorEastAsia" w:hAnsiTheme="minorEastAsia" w:eastAsiaTheme="minorEastAsia"/>
                <w:b/>
                <w:sz w:val="28"/>
                <w:szCs w:val="28"/>
              </w:rPr>
            </w:pPr>
            <w:r>
              <w:rPr>
                <w:rFonts w:hint="eastAsia" w:cs="宋体" w:asciiTheme="minorEastAsia" w:hAnsiTheme="minorEastAsia" w:eastAsiaTheme="minorEastAsia"/>
                <w:b/>
                <w:sz w:val="28"/>
                <w:szCs w:val="28"/>
              </w:rPr>
              <w:t>优</w:t>
            </w:r>
          </w:p>
        </w:tc>
        <w:tc>
          <w:tcPr>
            <w:tcW w:w="565" w:type="dxa"/>
            <w:shd w:val="clear" w:color="auto" w:fill="auto"/>
            <w:vAlign w:val="center"/>
          </w:tcPr>
          <w:p>
            <w:pPr>
              <w:spacing w:line="300" w:lineRule="exact"/>
              <w:jc w:val="center"/>
              <w:rPr>
                <w:rFonts w:asciiTheme="minorEastAsia" w:hAnsiTheme="minorEastAsia" w:eastAsiaTheme="minorEastAsia"/>
                <w:b/>
                <w:sz w:val="28"/>
                <w:szCs w:val="28"/>
              </w:rPr>
            </w:pPr>
            <w:r>
              <w:rPr>
                <w:rFonts w:hint="eastAsia" w:cs="宋体" w:asciiTheme="minorEastAsia" w:hAnsiTheme="minorEastAsia" w:eastAsiaTheme="minorEastAsia"/>
                <w:b/>
                <w:sz w:val="28"/>
                <w:szCs w:val="28"/>
              </w:rPr>
              <w:t>良</w:t>
            </w:r>
          </w:p>
        </w:tc>
        <w:tc>
          <w:tcPr>
            <w:tcW w:w="737" w:type="dxa"/>
            <w:shd w:val="clear" w:color="auto" w:fill="auto"/>
            <w:vAlign w:val="center"/>
          </w:tcPr>
          <w:p>
            <w:pPr>
              <w:spacing w:line="300" w:lineRule="exact"/>
              <w:jc w:val="center"/>
              <w:rPr>
                <w:rFonts w:asciiTheme="minorEastAsia" w:hAnsiTheme="minorEastAsia" w:eastAsiaTheme="minorEastAsia"/>
                <w:b/>
                <w:sz w:val="28"/>
                <w:szCs w:val="28"/>
              </w:rPr>
            </w:pPr>
            <w:r>
              <w:rPr>
                <w:rFonts w:hint="eastAsia" w:cs="宋体" w:asciiTheme="minorEastAsia" w:hAnsiTheme="minorEastAsia" w:eastAsiaTheme="minorEastAsia"/>
                <w:b/>
                <w:sz w:val="28"/>
                <w:szCs w:val="28"/>
              </w:rPr>
              <w:t>中</w:t>
            </w:r>
          </w:p>
        </w:tc>
        <w:tc>
          <w:tcPr>
            <w:tcW w:w="737" w:type="dxa"/>
            <w:shd w:val="clear" w:color="auto" w:fill="auto"/>
            <w:vAlign w:val="center"/>
          </w:tcPr>
          <w:p>
            <w:pPr>
              <w:spacing w:line="300" w:lineRule="exact"/>
              <w:jc w:val="center"/>
              <w:rPr>
                <w:rFonts w:asciiTheme="minorEastAsia" w:hAnsiTheme="minorEastAsia" w:eastAsiaTheme="minorEastAsia"/>
                <w:b/>
                <w:sz w:val="28"/>
                <w:szCs w:val="28"/>
              </w:rPr>
            </w:pPr>
            <w:r>
              <w:rPr>
                <w:rFonts w:hint="eastAsia" w:cs="宋体" w:asciiTheme="minorEastAsia" w:hAnsiTheme="minorEastAsia" w:eastAsiaTheme="minorEastAsia"/>
                <w:b/>
                <w:sz w:val="28"/>
                <w:szCs w:val="28"/>
              </w:rPr>
              <w:t>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540" w:type="dxa"/>
            <w:shd w:val="clear" w:color="auto" w:fill="auto"/>
            <w:vAlign w:val="center"/>
          </w:tcPr>
          <w:p>
            <w:pPr>
              <w:spacing w:line="300" w:lineRule="exact"/>
              <w:ind w:firstLine="562" w:firstLineChars="200"/>
              <w:jc w:val="left"/>
              <w:rPr>
                <w:rFonts w:asciiTheme="minorEastAsia" w:hAnsiTheme="minorEastAsia" w:eastAsiaTheme="minorEastAsia"/>
                <w:b/>
                <w:sz w:val="28"/>
                <w:szCs w:val="28"/>
              </w:rPr>
            </w:pPr>
            <w:r>
              <w:rPr>
                <w:rFonts w:hint="eastAsia" w:cs="宋体" w:asciiTheme="minorEastAsia" w:hAnsiTheme="minorEastAsia" w:eastAsiaTheme="minorEastAsia"/>
                <w:b/>
                <w:sz w:val="28"/>
                <w:szCs w:val="28"/>
              </w:rPr>
              <w:t>编制总体规划</w:t>
            </w:r>
          </w:p>
        </w:tc>
        <w:tc>
          <w:tcPr>
            <w:tcW w:w="1077" w:type="dxa"/>
            <w:shd w:val="clear" w:color="auto" w:fill="auto"/>
            <w:vAlign w:val="center"/>
          </w:tcPr>
          <w:p>
            <w:pPr>
              <w:spacing w:line="300" w:lineRule="exact"/>
              <w:jc w:val="left"/>
              <w:rPr>
                <w:rFonts w:asciiTheme="minorEastAsia" w:hAnsiTheme="minorEastAsia" w:eastAsiaTheme="minorEastAsia"/>
                <w:sz w:val="28"/>
                <w:szCs w:val="28"/>
              </w:rPr>
            </w:pPr>
            <w:r>
              <w:rPr>
                <w:rFonts w:asciiTheme="minorEastAsia" w:hAnsiTheme="minorEastAsia" w:eastAsiaTheme="minorEastAsia"/>
                <w:sz w:val="28"/>
                <w:szCs w:val="28"/>
              </w:rPr>
              <w:t>40.00</w:t>
            </w:r>
          </w:p>
        </w:tc>
        <w:tc>
          <w:tcPr>
            <w:tcW w:w="2976" w:type="dxa"/>
            <w:shd w:val="clear" w:color="auto" w:fill="auto"/>
            <w:vAlign w:val="center"/>
          </w:tcPr>
          <w:p>
            <w:pPr>
              <w:spacing w:line="300" w:lineRule="exact"/>
              <w:jc w:val="left"/>
              <w:rPr>
                <w:rFonts w:asciiTheme="minorEastAsia" w:hAnsiTheme="minorEastAsia" w:eastAsiaTheme="minorEastAsia"/>
                <w:sz w:val="28"/>
                <w:szCs w:val="28"/>
              </w:rPr>
            </w:pPr>
            <w:r>
              <w:rPr>
                <w:rFonts w:hint="eastAsia" w:cs="宋体" w:asciiTheme="minorEastAsia" w:hAnsiTheme="minorEastAsia" w:eastAsiaTheme="minorEastAsia"/>
                <w:sz w:val="28"/>
                <w:szCs w:val="28"/>
              </w:rPr>
              <w:t>编制辖区内的总体规划和经济、社会发展规划；编制辖区内区域发展规划、国土利用规划，经批准后组织实施。研究辖区内重大经济社会发展问题。</w:t>
            </w:r>
          </w:p>
        </w:tc>
        <w:tc>
          <w:tcPr>
            <w:tcW w:w="2976" w:type="dxa"/>
            <w:shd w:val="clear" w:color="auto" w:fill="auto"/>
            <w:vAlign w:val="center"/>
          </w:tcPr>
          <w:p>
            <w:pPr>
              <w:spacing w:line="300" w:lineRule="exact"/>
              <w:jc w:val="left"/>
              <w:rPr>
                <w:rFonts w:asciiTheme="minorEastAsia" w:hAnsiTheme="minorEastAsia" w:eastAsiaTheme="minorEastAsia"/>
                <w:sz w:val="28"/>
                <w:szCs w:val="28"/>
              </w:rPr>
            </w:pPr>
            <w:r>
              <w:rPr>
                <w:rFonts w:hint="eastAsia" w:cs="宋体" w:asciiTheme="minorEastAsia" w:hAnsiTheme="minorEastAsia" w:eastAsiaTheme="minorEastAsia"/>
                <w:sz w:val="28"/>
                <w:szCs w:val="28"/>
              </w:rPr>
              <w:t>合理编制辖区总体规划和经济、社会发展规划、国土利用规划。</w:t>
            </w:r>
          </w:p>
        </w:tc>
        <w:tc>
          <w:tcPr>
            <w:tcW w:w="1417" w:type="dxa"/>
            <w:shd w:val="clear" w:color="auto" w:fill="auto"/>
            <w:vAlign w:val="center"/>
          </w:tcPr>
          <w:p>
            <w:pPr>
              <w:spacing w:line="300" w:lineRule="exact"/>
              <w:jc w:val="left"/>
              <w:rPr>
                <w:rFonts w:asciiTheme="minorEastAsia" w:hAnsiTheme="minorEastAsia" w:eastAsiaTheme="minorEastAsia"/>
                <w:sz w:val="28"/>
                <w:szCs w:val="28"/>
              </w:rPr>
            </w:pPr>
          </w:p>
        </w:tc>
        <w:tc>
          <w:tcPr>
            <w:tcW w:w="909" w:type="dxa"/>
            <w:shd w:val="clear" w:color="auto" w:fill="auto"/>
            <w:vAlign w:val="center"/>
          </w:tcPr>
          <w:p>
            <w:pPr>
              <w:spacing w:line="300" w:lineRule="exact"/>
              <w:jc w:val="center"/>
              <w:rPr>
                <w:rFonts w:asciiTheme="minorEastAsia" w:hAnsiTheme="minorEastAsia" w:eastAsiaTheme="minorEastAsia"/>
                <w:sz w:val="28"/>
                <w:szCs w:val="28"/>
              </w:rPr>
            </w:pPr>
          </w:p>
        </w:tc>
        <w:tc>
          <w:tcPr>
            <w:tcW w:w="565" w:type="dxa"/>
            <w:shd w:val="clear" w:color="auto" w:fill="auto"/>
            <w:vAlign w:val="center"/>
          </w:tcPr>
          <w:p>
            <w:pPr>
              <w:spacing w:line="300" w:lineRule="exact"/>
              <w:jc w:val="center"/>
              <w:rPr>
                <w:rFonts w:asciiTheme="minorEastAsia" w:hAnsiTheme="minorEastAsia" w:eastAsiaTheme="minorEastAsia"/>
                <w:sz w:val="28"/>
                <w:szCs w:val="28"/>
              </w:rPr>
            </w:pPr>
          </w:p>
        </w:tc>
        <w:tc>
          <w:tcPr>
            <w:tcW w:w="737" w:type="dxa"/>
            <w:shd w:val="clear" w:color="auto" w:fill="auto"/>
            <w:vAlign w:val="center"/>
          </w:tcPr>
          <w:p>
            <w:pPr>
              <w:spacing w:line="300" w:lineRule="exact"/>
              <w:jc w:val="center"/>
              <w:rPr>
                <w:rFonts w:asciiTheme="minorEastAsia" w:hAnsiTheme="minorEastAsia" w:eastAsiaTheme="minorEastAsia"/>
                <w:sz w:val="28"/>
                <w:szCs w:val="28"/>
              </w:rPr>
            </w:pPr>
          </w:p>
        </w:tc>
        <w:tc>
          <w:tcPr>
            <w:tcW w:w="737" w:type="dxa"/>
            <w:shd w:val="clear" w:color="auto" w:fill="auto"/>
            <w:vAlign w:val="center"/>
          </w:tcPr>
          <w:p>
            <w:pPr>
              <w:spacing w:line="300" w:lineRule="exact"/>
              <w:jc w:val="center"/>
              <w:rPr>
                <w:rFonts w:asciiTheme="minorEastAsia" w:hAnsiTheme="minorEastAsia" w:eastAsiaTheme="minorEastAsia"/>
                <w:sz w:val="28"/>
                <w:szCs w:val="28"/>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540" w:type="dxa"/>
            <w:shd w:val="clear" w:color="auto" w:fill="auto"/>
            <w:vAlign w:val="center"/>
          </w:tcPr>
          <w:p>
            <w:pPr>
              <w:spacing w:line="300" w:lineRule="exact"/>
              <w:jc w:val="left"/>
              <w:rPr>
                <w:rFonts w:asciiTheme="minorEastAsia" w:hAnsiTheme="minorEastAsia" w:eastAsiaTheme="minorEastAsia"/>
                <w:b/>
                <w:sz w:val="28"/>
                <w:szCs w:val="28"/>
              </w:rPr>
            </w:pPr>
            <w:r>
              <w:rPr>
                <w:rFonts w:hint="eastAsia" w:cs="宋体" w:asciiTheme="minorEastAsia" w:hAnsiTheme="minorEastAsia" w:eastAsiaTheme="minorEastAsia"/>
                <w:b/>
                <w:sz w:val="28"/>
                <w:szCs w:val="28"/>
              </w:rPr>
              <w:t>编制辖区总体规划活动</w:t>
            </w:r>
          </w:p>
        </w:tc>
        <w:tc>
          <w:tcPr>
            <w:tcW w:w="1077" w:type="dxa"/>
            <w:shd w:val="clear" w:color="auto" w:fill="auto"/>
            <w:vAlign w:val="center"/>
          </w:tcPr>
          <w:p>
            <w:pPr>
              <w:spacing w:line="300" w:lineRule="exact"/>
              <w:jc w:val="left"/>
              <w:rPr>
                <w:rFonts w:asciiTheme="minorEastAsia" w:hAnsiTheme="minorEastAsia" w:eastAsiaTheme="minorEastAsia"/>
                <w:sz w:val="28"/>
                <w:szCs w:val="28"/>
              </w:rPr>
            </w:pPr>
            <w:r>
              <w:rPr>
                <w:rFonts w:asciiTheme="minorEastAsia" w:hAnsiTheme="minorEastAsia" w:eastAsiaTheme="minorEastAsia"/>
                <w:sz w:val="28"/>
                <w:szCs w:val="28"/>
              </w:rPr>
              <w:t>40.00</w:t>
            </w:r>
          </w:p>
        </w:tc>
        <w:tc>
          <w:tcPr>
            <w:tcW w:w="2976" w:type="dxa"/>
            <w:shd w:val="clear" w:color="auto" w:fill="auto"/>
            <w:vAlign w:val="center"/>
          </w:tcPr>
          <w:p>
            <w:pPr>
              <w:spacing w:line="300" w:lineRule="exact"/>
              <w:jc w:val="left"/>
              <w:rPr>
                <w:rFonts w:asciiTheme="minorEastAsia" w:hAnsiTheme="minorEastAsia" w:eastAsiaTheme="minorEastAsia"/>
                <w:sz w:val="28"/>
                <w:szCs w:val="28"/>
              </w:rPr>
            </w:pPr>
            <w:r>
              <w:rPr>
                <w:rFonts w:hint="eastAsia" w:cs="宋体" w:asciiTheme="minorEastAsia" w:hAnsiTheme="minorEastAsia" w:eastAsiaTheme="minorEastAsia"/>
                <w:sz w:val="28"/>
                <w:szCs w:val="28"/>
              </w:rPr>
              <w:t>编制辖区内的总体规划和经济、社会发展规划；编制辖区内区域发展规划、国土利用规划，经批准后组织实施。负责辖区内基础设施建设，征地补偿等，研究辖区内重大经济社会发展问题。</w:t>
            </w:r>
          </w:p>
        </w:tc>
        <w:tc>
          <w:tcPr>
            <w:tcW w:w="2976" w:type="dxa"/>
            <w:shd w:val="clear" w:color="auto" w:fill="auto"/>
            <w:vAlign w:val="center"/>
          </w:tcPr>
          <w:p>
            <w:pPr>
              <w:spacing w:line="300" w:lineRule="exact"/>
              <w:jc w:val="left"/>
              <w:rPr>
                <w:rFonts w:asciiTheme="minorEastAsia" w:hAnsiTheme="minorEastAsia" w:eastAsiaTheme="minorEastAsia"/>
                <w:sz w:val="28"/>
                <w:szCs w:val="28"/>
              </w:rPr>
            </w:pPr>
            <w:r>
              <w:rPr>
                <w:rFonts w:hint="eastAsia" w:cs="宋体" w:asciiTheme="minorEastAsia" w:hAnsiTheme="minorEastAsia" w:eastAsiaTheme="minorEastAsia"/>
                <w:sz w:val="28"/>
                <w:szCs w:val="28"/>
              </w:rPr>
              <w:t>合理编制辖区内总体规划，提高开发区竞争力</w:t>
            </w:r>
          </w:p>
        </w:tc>
        <w:tc>
          <w:tcPr>
            <w:tcW w:w="1417" w:type="dxa"/>
            <w:shd w:val="clear" w:color="auto" w:fill="auto"/>
            <w:vAlign w:val="center"/>
          </w:tcPr>
          <w:p>
            <w:pPr>
              <w:spacing w:line="300" w:lineRule="exact"/>
              <w:jc w:val="left"/>
              <w:rPr>
                <w:rFonts w:asciiTheme="minorEastAsia" w:hAnsiTheme="minorEastAsia" w:eastAsiaTheme="minorEastAsia"/>
                <w:sz w:val="28"/>
                <w:szCs w:val="28"/>
              </w:rPr>
            </w:pPr>
            <w:r>
              <w:rPr>
                <w:rFonts w:hint="eastAsia" w:cs="宋体" w:asciiTheme="minorEastAsia" w:hAnsiTheme="minorEastAsia" w:eastAsiaTheme="minorEastAsia"/>
                <w:sz w:val="28"/>
                <w:szCs w:val="28"/>
              </w:rPr>
              <w:t>规划达标率</w:t>
            </w:r>
          </w:p>
        </w:tc>
        <w:tc>
          <w:tcPr>
            <w:tcW w:w="909" w:type="dxa"/>
            <w:shd w:val="clear" w:color="auto" w:fill="auto"/>
            <w:vAlign w:val="center"/>
          </w:tcPr>
          <w:p>
            <w:pPr>
              <w:spacing w:line="300" w:lineRule="exact"/>
              <w:jc w:val="center"/>
              <w:rPr>
                <w:rFonts w:asciiTheme="minorEastAsia" w:hAnsiTheme="minorEastAsia" w:eastAsiaTheme="minorEastAsia"/>
                <w:sz w:val="28"/>
                <w:szCs w:val="28"/>
              </w:rPr>
            </w:pPr>
            <w:r>
              <w:rPr>
                <w:rFonts w:asciiTheme="minorEastAsia" w:hAnsiTheme="minorEastAsia" w:eastAsiaTheme="minorEastAsia"/>
                <w:sz w:val="28"/>
                <w:szCs w:val="28"/>
              </w:rPr>
              <w:t>100%</w:t>
            </w:r>
          </w:p>
        </w:tc>
        <w:tc>
          <w:tcPr>
            <w:tcW w:w="565" w:type="dxa"/>
            <w:shd w:val="clear" w:color="auto" w:fill="auto"/>
            <w:vAlign w:val="center"/>
          </w:tcPr>
          <w:p>
            <w:pPr>
              <w:spacing w:line="300" w:lineRule="exact"/>
              <w:jc w:val="center"/>
              <w:rPr>
                <w:rFonts w:asciiTheme="minorEastAsia" w:hAnsiTheme="minorEastAsia" w:eastAsiaTheme="minorEastAsia"/>
                <w:sz w:val="28"/>
                <w:szCs w:val="28"/>
              </w:rPr>
            </w:pPr>
            <w:r>
              <w:rPr>
                <w:rFonts w:asciiTheme="minorEastAsia" w:hAnsiTheme="minorEastAsia" w:eastAsiaTheme="minorEastAsia"/>
                <w:sz w:val="28"/>
                <w:szCs w:val="28"/>
              </w:rPr>
              <w:t>90%</w:t>
            </w:r>
          </w:p>
        </w:tc>
        <w:tc>
          <w:tcPr>
            <w:tcW w:w="737" w:type="dxa"/>
            <w:shd w:val="clear" w:color="auto" w:fill="auto"/>
            <w:vAlign w:val="center"/>
          </w:tcPr>
          <w:p>
            <w:pPr>
              <w:spacing w:line="300" w:lineRule="exact"/>
              <w:jc w:val="center"/>
              <w:rPr>
                <w:rFonts w:asciiTheme="minorEastAsia" w:hAnsiTheme="minorEastAsia" w:eastAsiaTheme="minorEastAsia"/>
                <w:sz w:val="28"/>
                <w:szCs w:val="28"/>
              </w:rPr>
            </w:pPr>
            <w:r>
              <w:rPr>
                <w:rFonts w:asciiTheme="minorEastAsia" w:hAnsiTheme="minorEastAsia" w:eastAsiaTheme="minorEastAsia"/>
                <w:sz w:val="28"/>
                <w:szCs w:val="28"/>
              </w:rPr>
              <w:t>80%</w:t>
            </w:r>
          </w:p>
        </w:tc>
        <w:tc>
          <w:tcPr>
            <w:tcW w:w="737" w:type="dxa"/>
            <w:shd w:val="clear" w:color="auto" w:fill="auto"/>
            <w:vAlign w:val="center"/>
          </w:tcPr>
          <w:p>
            <w:pPr>
              <w:spacing w:line="300" w:lineRule="exact"/>
              <w:jc w:val="center"/>
              <w:rPr>
                <w:rFonts w:asciiTheme="minorEastAsia" w:hAnsiTheme="minorEastAsia" w:eastAsiaTheme="minorEastAsia"/>
                <w:sz w:val="28"/>
                <w:szCs w:val="28"/>
              </w:rPr>
            </w:pPr>
            <w:r>
              <w:rPr>
                <w:rFonts w:asciiTheme="minorEastAsia" w:hAnsiTheme="minorEastAsia" w:eastAsiaTheme="minorEastAsia"/>
                <w:sz w:val="28"/>
                <w:szCs w:val="28"/>
              </w:rPr>
              <w:t>60%</w:t>
            </w:r>
            <w:r>
              <w:rPr>
                <w:rFonts w:hint="eastAsia" w:cs="宋体" w:asciiTheme="minorEastAsia" w:hAnsiTheme="minorEastAsia" w:eastAsiaTheme="minorEastAsia"/>
                <w:sz w:val="28"/>
                <w:szCs w:val="28"/>
              </w:rPr>
              <w:t>以下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540" w:type="dxa"/>
            <w:shd w:val="clear" w:color="auto" w:fill="auto"/>
            <w:vAlign w:val="center"/>
          </w:tcPr>
          <w:p>
            <w:pPr>
              <w:spacing w:line="300" w:lineRule="exact"/>
              <w:jc w:val="left"/>
              <w:rPr>
                <w:rFonts w:asciiTheme="minorEastAsia" w:hAnsiTheme="minorEastAsia" w:eastAsiaTheme="minorEastAsia"/>
                <w:b/>
                <w:sz w:val="28"/>
                <w:szCs w:val="28"/>
              </w:rPr>
            </w:pPr>
            <w:r>
              <w:rPr>
                <w:rFonts w:hint="eastAsia" w:cs="宋体" w:asciiTheme="minorEastAsia" w:hAnsiTheme="minorEastAsia" w:eastAsiaTheme="minorEastAsia"/>
                <w:b/>
                <w:sz w:val="28"/>
                <w:szCs w:val="28"/>
              </w:rPr>
              <w:t>党建、干部管理</w:t>
            </w:r>
          </w:p>
        </w:tc>
        <w:tc>
          <w:tcPr>
            <w:tcW w:w="1077" w:type="dxa"/>
            <w:shd w:val="clear" w:color="auto" w:fill="auto"/>
            <w:vAlign w:val="center"/>
          </w:tcPr>
          <w:p>
            <w:pPr>
              <w:spacing w:line="300" w:lineRule="exact"/>
              <w:jc w:val="left"/>
              <w:rPr>
                <w:rFonts w:asciiTheme="minorEastAsia" w:hAnsiTheme="minorEastAsia" w:eastAsiaTheme="minorEastAsia"/>
                <w:sz w:val="28"/>
                <w:szCs w:val="28"/>
              </w:rPr>
            </w:pPr>
          </w:p>
        </w:tc>
        <w:tc>
          <w:tcPr>
            <w:tcW w:w="2976" w:type="dxa"/>
            <w:shd w:val="clear" w:color="auto" w:fill="auto"/>
            <w:vAlign w:val="center"/>
          </w:tcPr>
          <w:p>
            <w:pPr>
              <w:spacing w:line="300" w:lineRule="exact"/>
              <w:jc w:val="left"/>
              <w:rPr>
                <w:rFonts w:asciiTheme="minorEastAsia" w:hAnsiTheme="minorEastAsia" w:eastAsiaTheme="minorEastAsia"/>
                <w:sz w:val="28"/>
                <w:szCs w:val="28"/>
              </w:rPr>
            </w:pPr>
            <w:r>
              <w:rPr>
                <w:rFonts w:hint="eastAsia" w:cs="宋体" w:asciiTheme="minorEastAsia" w:hAnsiTheme="minorEastAsia" w:eastAsiaTheme="minorEastAsia"/>
                <w:sz w:val="28"/>
                <w:szCs w:val="28"/>
              </w:rPr>
              <w:t>按照上级党委授权和干部管理权限负责辖区内干部管理；负责辖区内党的建设和其他党务工作；负责宣传和精神文明建设工作；负责辖区内党的纪律检查工作</w:t>
            </w:r>
          </w:p>
        </w:tc>
        <w:tc>
          <w:tcPr>
            <w:tcW w:w="2976" w:type="dxa"/>
            <w:shd w:val="clear" w:color="auto" w:fill="auto"/>
            <w:vAlign w:val="center"/>
          </w:tcPr>
          <w:p>
            <w:pPr>
              <w:spacing w:line="300" w:lineRule="exact"/>
              <w:jc w:val="left"/>
              <w:rPr>
                <w:rFonts w:asciiTheme="minorEastAsia" w:hAnsiTheme="minorEastAsia" w:eastAsiaTheme="minorEastAsia"/>
                <w:sz w:val="28"/>
                <w:szCs w:val="28"/>
              </w:rPr>
            </w:pPr>
            <w:r>
              <w:rPr>
                <w:rFonts w:hint="eastAsia" w:cs="宋体" w:asciiTheme="minorEastAsia" w:hAnsiTheme="minorEastAsia" w:eastAsiaTheme="minorEastAsia"/>
                <w:sz w:val="28"/>
                <w:szCs w:val="28"/>
              </w:rPr>
              <w:t>做好干部管理工作，加强党组织建设和党务工作，开展宣传和精神文明建设工作。</w:t>
            </w:r>
          </w:p>
        </w:tc>
        <w:tc>
          <w:tcPr>
            <w:tcW w:w="1417" w:type="dxa"/>
            <w:shd w:val="clear" w:color="auto" w:fill="auto"/>
            <w:vAlign w:val="center"/>
          </w:tcPr>
          <w:p>
            <w:pPr>
              <w:spacing w:line="300" w:lineRule="exact"/>
              <w:jc w:val="left"/>
              <w:rPr>
                <w:rFonts w:asciiTheme="minorEastAsia" w:hAnsiTheme="minorEastAsia" w:eastAsiaTheme="minorEastAsia"/>
                <w:sz w:val="28"/>
                <w:szCs w:val="28"/>
              </w:rPr>
            </w:pPr>
          </w:p>
        </w:tc>
        <w:tc>
          <w:tcPr>
            <w:tcW w:w="909" w:type="dxa"/>
            <w:shd w:val="clear" w:color="auto" w:fill="auto"/>
            <w:vAlign w:val="center"/>
          </w:tcPr>
          <w:p>
            <w:pPr>
              <w:spacing w:line="300" w:lineRule="exact"/>
              <w:jc w:val="center"/>
              <w:rPr>
                <w:rFonts w:asciiTheme="minorEastAsia" w:hAnsiTheme="minorEastAsia" w:eastAsiaTheme="minorEastAsia"/>
                <w:sz w:val="28"/>
                <w:szCs w:val="28"/>
              </w:rPr>
            </w:pPr>
          </w:p>
        </w:tc>
        <w:tc>
          <w:tcPr>
            <w:tcW w:w="565" w:type="dxa"/>
            <w:shd w:val="clear" w:color="auto" w:fill="auto"/>
            <w:vAlign w:val="center"/>
          </w:tcPr>
          <w:p>
            <w:pPr>
              <w:spacing w:line="300" w:lineRule="exact"/>
              <w:jc w:val="center"/>
              <w:rPr>
                <w:rFonts w:asciiTheme="minorEastAsia" w:hAnsiTheme="minorEastAsia" w:eastAsiaTheme="minorEastAsia"/>
                <w:sz w:val="28"/>
                <w:szCs w:val="28"/>
              </w:rPr>
            </w:pPr>
          </w:p>
        </w:tc>
        <w:tc>
          <w:tcPr>
            <w:tcW w:w="737" w:type="dxa"/>
            <w:shd w:val="clear" w:color="auto" w:fill="auto"/>
            <w:vAlign w:val="center"/>
          </w:tcPr>
          <w:p>
            <w:pPr>
              <w:spacing w:line="300" w:lineRule="exact"/>
              <w:jc w:val="center"/>
              <w:rPr>
                <w:rFonts w:asciiTheme="minorEastAsia" w:hAnsiTheme="minorEastAsia" w:eastAsiaTheme="minorEastAsia"/>
                <w:sz w:val="28"/>
                <w:szCs w:val="28"/>
              </w:rPr>
            </w:pPr>
          </w:p>
        </w:tc>
        <w:tc>
          <w:tcPr>
            <w:tcW w:w="737" w:type="dxa"/>
            <w:shd w:val="clear" w:color="auto" w:fill="auto"/>
            <w:vAlign w:val="center"/>
          </w:tcPr>
          <w:p>
            <w:pPr>
              <w:spacing w:line="300" w:lineRule="exact"/>
              <w:jc w:val="center"/>
              <w:rPr>
                <w:rFonts w:asciiTheme="minorEastAsia" w:hAnsiTheme="minorEastAsia" w:eastAsiaTheme="minorEastAsia"/>
                <w:sz w:val="28"/>
                <w:szCs w:val="28"/>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540" w:type="dxa"/>
            <w:shd w:val="clear" w:color="auto" w:fill="auto"/>
            <w:vAlign w:val="center"/>
          </w:tcPr>
          <w:p>
            <w:pPr>
              <w:spacing w:line="300" w:lineRule="exact"/>
              <w:jc w:val="left"/>
              <w:rPr>
                <w:rFonts w:asciiTheme="minorEastAsia" w:hAnsiTheme="minorEastAsia" w:eastAsiaTheme="minorEastAsia"/>
                <w:b/>
                <w:sz w:val="28"/>
                <w:szCs w:val="28"/>
              </w:rPr>
            </w:pPr>
            <w:r>
              <w:rPr>
                <w:rFonts w:hint="eastAsia" w:cs="宋体" w:asciiTheme="minorEastAsia" w:hAnsiTheme="minorEastAsia" w:eastAsiaTheme="minorEastAsia"/>
                <w:b/>
                <w:sz w:val="28"/>
                <w:szCs w:val="28"/>
              </w:rPr>
              <w:t>开展党建、干部管理活动</w:t>
            </w:r>
          </w:p>
        </w:tc>
        <w:tc>
          <w:tcPr>
            <w:tcW w:w="1077" w:type="dxa"/>
            <w:shd w:val="clear" w:color="auto" w:fill="auto"/>
            <w:vAlign w:val="center"/>
          </w:tcPr>
          <w:p>
            <w:pPr>
              <w:spacing w:line="300" w:lineRule="exact"/>
              <w:jc w:val="left"/>
              <w:rPr>
                <w:rFonts w:asciiTheme="minorEastAsia" w:hAnsiTheme="minorEastAsia" w:eastAsiaTheme="minorEastAsia"/>
                <w:sz w:val="28"/>
                <w:szCs w:val="28"/>
              </w:rPr>
            </w:pPr>
          </w:p>
        </w:tc>
        <w:tc>
          <w:tcPr>
            <w:tcW w:w="2976" w:type="dxa"/>
            <w:shd w:val="clear" w:color="auto" w:fill="auto"/>
            <w:vAlign w:val="center"/>
          </w:tcPr>
          <w:p>
            <w:pPr>
              <w:spacing w:line="300" w:lineRule="exact"/>
              <w:jc w:val="left"/>
              <w:rPr>
                <w:rFonts w:asciiTheme="minorEastAsia" w:hAnsiTheme="minorEastAsia" w:eastAsiaTheme="minorEastAsia"/>
                <w:sz w:val="28"/>
                <w:szCs w:val="28"/>
              </w:rPr>
            </w:pPr>
            <w:r>
              <w:rPr>
                <w:rFonts w:hint="eastAsia" w:cs="宋体" w:asciiTheme="minorEastAsia" w:hAnsiTheme="minorEastAsia" w:eastAsiaTheme="minorEastAsia"/>
                <w:sz w:val="28"/>
                <w:szCs w:val="28"/>
              </w:rPr>
              <w:t>按照上级党委授权和干部管理权限负责辖区内干部管理；负责辖区内党的建设和其他党务工作；负责宣传和精神文明建设工作；负责辖区内党的纪律检查工作</w:t>
            </w:r>
          </w:p>
        </w:tc>
        <w:tc>
          <w:tcPr>
            <w:tcW w:w="2976" w:type="dxa"/>
            <w:shd w:val="clear" w:color="auto" w:fill="auto"/>
            <w:vAlign w:val="center"/>
          </w:tcPr>
          <w:p>
            <w:pPr>
              <w:spacing w:line="300" w:lineRule="exact"/>
              <w:jc w:val="left"/>
              <w:rPr>
                <w:rFonts w:asciiTheme="minorEastAsia" w:hAnsiTheme="minorEastAsia" w:eastAsiaTheme="minorEastAsia"/>
                <w:sz w:val="28"/>
                <w:szCs w:val="28"/>
              </w:rPr>
            </w:pPr>
            <w:r>
              <w:rPr>
                <w:rFonts w:hint="eastAsia" w:cs="宋体" w:asciiTheme="minorEastAsia" w:hAnsiTheme="minorEastAsia" w:eastAsiaTheme="minorEastAsia"/>
                <w:sz w:val="28"/>
                <w:szCs w:val="28"/>
              </w:rPr>
              <w:t>做好干部管理工作，加强党组织建设和党务工作，开展宣传和精神文明建设工作。</w:t>
            </w:r>
          </w:p>
        </w:tc>
        <w:tc>
          <w:tcPr>
            <w:tcW w:w="1417" w:type="dxa"/>
            <w:shd w:val="clear" w:color="auto" w:fill="auto"/>
            <w:vAlign w:val="center"/>
          </w:tcPr>
          <w:p>
            <w:pPr>
              <w:spacing w:line="300" w:lineRule="exact"/>
              <w:jc w:val="left"/>
              <w:rPr>
                <w:rFonts w:asciiTheme="minorEastAsia" w:hAnsiTheme="minorEastAsia" w:eastAsiaTheme="minorEastAsia"/>
                <w:sz w:val="28"/>
                <w:szCs w:val="28"/>
              </w:rPr>
            </w:pPr>
            <w:r>
              <w:rPr>
                <w:rFonts w:hint="eastAsia" w:cs="宋体" w:asciiTheme="minorEastAsia" w:hAnsiTheme="minorEastAsia" w:eastAsiaTheme="minorEastAsia"/>
                <w:sz w:val="28"/>
                <w:szCs w:val="28"/>
              </w:rPr>
              <w:t>干部规范管理率</w:t>
            </w:r>
          </w:p>
        </w:tc>
        <w:tc>
          <w:tcPr>
            <w:tcW w:w="909" w:type="dxa"/>
            <w:shd w:val="clear" w:color="auto" w:fill="auto"/>
            <w:vAlign w:val="center"/>
          </w:tcPr>
          <w:p>
            <w:pPr>
              <w:spacing w:line="300" w:lineRule="exact"/>
              <w:jc w:val="center"/>
              <w:rPr>
                <w:rFonts w:asciiTheme="minorEastAsia" w:hAnsiTheme="minorEastAsia" w:eastAsiaTheme="minorEastAsia"/>
                <w:sz w:val="28"/>
                <w:szCs w:val="28"/>
              </w:rPr>
            </w:pPr>
            <w:r>
              <w:rPr>
                <w:rFonts w:asciiTheme="minorEastAsia" w:hAnsiTheme="minorEastAsia" w:eastAsiaTheme="minorEastAsia"/>
                <w:sz w:val="28"/>
                <w:szCs w:val="28"/>
              </w:rPr>
              <w:t>100%</w:t>
            </w:r>
          </w:p>
        </w:tc>
        <w:tc>
          <w:tcPr>
            <w:tcW w:w="565" w:type="dxa"/>
            <w:shd w:val="clear" w:color="auto" w:fill="auto"/>
            <w:vAlign w:val="center"/>
          </w:tcPr>
          <w:p>
            <w:pPr>
              <w:spacing w:line="300" w:lineRule="exact"/>
              <w:jc w:val="center"/>
              <w:rPr>
                <w:rFonts w:asciiTheme="minorEastAsia" w:hAnsiTheme="minorEastAsia" w:eastAsiaTheme="minorEastAsia"/>
                <w:sz w:val="28"/>
                <w:szCs w:val="28"/>
              </w:rPr>
            </w:pPr>
            <w:r>
              <w:rPr>
                <w:rFonts w:asciiTheme="minorEastAsia" w:hAnsiTheme="minorEastAsia" w:eastAsiaTheme="minorEastAsia"/>
                <w:sz w:val="28"/>
                <w:szCs w:val="28"/>
              </w:rPr>
              <w:t>95%</w:t>
            </w:r>
          </w:p>
        </w:tc>
        <w:tc>
          <w:tcPr>
            <w:tcW w:w="737" w:type="dxa"/>
            <w:shd w:val="clear" w:color="auto" w:fill="auto"/>
            <w:vAlign w:val="center"/>
          </w:tcPr>
          <w:p>
            <w:pPr>
              <w:spacing w:line="300" w:lineRule="exact"/>
              <w:jc w:val="center"/>
              <w:rPr>
                <w:rFonts w:asciiTheme="minorEastAsia" w:hAnsiTheme="minorEastAsia" w:eastAsiaTheme="minorEastAsia"/>
                <w:sz w:val="28"/>
                <w:szCs w:val="28"/>
              </w:rPr>
            </w:pPr>
            <w:r>
              <w:rPr>
                <w:rFonts w:asciiTheme="minorEastAsia" w:hAnsiTheme="minorEastAsia" w:eastAsiaTheme="minorEastAsia"/>
                <w:sz w:val="28"/>
                <w:szCs w:val="28"/>
              </w:rPr>
              <w:t>90%</w:t>
            </w:r>
          </w:p>
        </w:tc>
        <w:tc>
          <w:tcPr>
            <w:tcW w:w="737" w:type="dxa"/>
            <w:shd w:val="clear" w:color="auto" w:fill="auto"/>
            <w:vAlign w:val="center"/>
          </w:tcPr>
          <w:p>
            <w:pPr>
              <w:spacing w:line="300" w:lineRule="exact"/>
              <w:jc w:val="center"/>
              <w:rPr>
                <w:rFonts w:asciiTheme="minorEastAsia" w:hAnsiTheme="minorEastAsia" w:eastAsiaTheme="minorEastAsia"/>
                <w:sz w:val="28"/>
                <w:szCs w:val="28"/>
              </w:rPr>
            </w:pPr>
            <w:r>
              <w:rPr>
                <w:rFonts w:asciiTheme="minorEastAsia" w:hAnsiTheme="minorEastAsia" w:eastAsiaTheme="minorEastAsia"/>
                <w:sz w:val="28"/>
                <w:szCs w:val="28"/>
              </w:rPr>
              <w:t>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540" w:type="dxa"/>
            <w:shd w:val="clear" w:color="auto" w:fill="auto"/>
            <w:vAlign w:val="center"/>
          </w:tcPr>
          <w:p>
            <w:pPr>
              <w:spacing w:line="300" w:lineRule="exact"/>
              <w:ind w:firstLine="562" w:firstLineChars="200"/>
              <w:jc w:val="left"/>
              <w:rPr>
                <w:rFonts w:asciiTheme="minorEastAsia" w:hAnsiTheme="minorEastAsia" w:eastAsiaTheme="minorEastAsia"/>
                <w:b/>
                <w:sz w:val="28"/>
                <w:szCs w:val="28"/>
              </w:rPr>
            </w:pPr>
            <w:r>
              <w:rPr>
                <w:rFonts w:hint="eastAsia" w:cs="宋体" w:asciiTheme="minorEastAsia" w:hAnsiTheme="minorEastAsia" w:eastAsiaTheme="minorEastAsia"/>
                <w:b/>
                <w:sz w:val="28"/>
                <w:szCs w:val="28"/>
              </w:rPr>
              <w:t>招商引资</w:t>
            </w:r>
          </w:p>
        </w:tc>
        <w:tc>
          <w:tcPr>
            <w:tcW w:w="1077" w:type="dxa"/>
            <w:shd w:val="clear" w:color="auto" w:fill="auto"/>
            <w:vAlign w:val="center"/>
          </w:tcPr>
          <w:p>
            <w:pPr>
              <w:spacing w:line="300" w:lineRule="exact"/>
              <w:jc w:val="left"/>
              <w:rPr>
                <w:rFonts w:asciiTheme="minorEastAsia" w:hAnsiTheme="minorEastAsia" w:eastAsiaTheme="minorEastAsia"/>
                <w:sz w:val="28"/>
                <w:szCs w:val="28"/>
              </w:rPr>
            </w:pPr>
          </w:p>
        </w:tc>
        <w:tc>
          <w:tcPr>
            <w:tcW w:w="2976" w:type="dxa"/>
            <w:shd w:val="clear" w:color="auto" w:fill="auto"/>
            <w:vAlign w:val="center"/>
          </w:tcPr>
          <w:p>
            <w:pPr>
              <w:spacing w:line="300" w:lineRule="exact"/>
              <w:jc w:val="left"/>
              <w:rPr>
                <w:rFonts w:asciiTheme="minorEastAsia" w:hAnsiTheme="minorEastAsia" w:eastAsiaTheme="minorEastAsia"/>
                <w:sz w:val="28"/>
                <w:szCs w:val="28"/>
              </w:rPr>
            </w:pPr>
            <w:r>
              <w:rPr>
                <w:rFonts w:hint="eastAsia" w:cs="宋体" w:asciiTheme="minorEastAsia" w:hAnsiTheme="minorEastAsia" w:eastAsiaTheme="minorEastAsia"/>
                <w:sz w:val="28"/>
                <w:szCs w:val="28"/>
              </w:rPr>
              <w:t>负责招商引资、进出口贸易和国内外经济技术合作工作</w:t>
            </w:r>
          </w:p>
        </w:tc>
        <w:tc>
          <w:tcPr>
            <w:tcW w:w="2976" w:type="dxa"/>
            <w:shd w:val="clear" w:color="auto" w:fill="auto"/>
            <w:vAlign w:val="center"/>
          </w:tcPr>
          <w:p>
            <w:pPr>
              <w:spacing w:line="300" w:lineRule="exact"/>
              <w:jc w:val="left"/>
              <w:rPr>
                <w:rFonts w:asciiTheme="minorEastAsia" w:hAnsiTheme="minorEastAsia" w:eastAsiaTheme="minorEastAsia"/>
                <w:sz w:val="28"/>
                <w:szCs w:val="28"/>
              </w:rPr>
            </w:pPr>
            <w:r>
              <w:rPr>
                <w:rFonts w:hint="eastAsia" w:cs="宋体" w:asciiTheme="minorEastAsia" w:hAnsiTheme="minorEastAsia" w:eastAsiaTheme="minorEastAsia"/>
                <w:sz w:val="28"/>
                <w:szCs w:val="28"/>
              </w:rPr>
              <w:t>加大招商引资力度，提升开发区经济实力水平。</w:t>
            </w:r>
          </w:p>
        </w:tc>
        <w:tc>
          <w:tcPr>
            <w:tcW w:w="1417" w:type="dxa"/>
            <w:shd w:val="clear" w:color="auto" w:fill="auto"/>
            <w:vAlign w:val="center"/>
          </w:tcPr>
          <w:p>
            <w:pPr>
              <w:spacing w:line="300" w:lineRule="exact"/>
              <w:jc w:val="left"/>
              <w:rPr>
                <w:rFonts w:asciiTheme="minorEastAsia" w:hAnsiTheme="minorEastAsia" w:eastAsiaTheme="minorEastAsia"/>
                <w:sz w:val="28"/>
                <w:szCs w:val="28"/>
              </w:rPr>
            </w:pPr>
          </w:p>
        </w:tc>
        <w:tc>
          <w:tcPr>
            <w:tcW w:w="909" w:type="dxa"/>
            <w:shd w:val="clear" w:color="auto" w:fill="auto"/>
            <w:vAlign w:val="center"/>
          </w:tcPr>
          <w:p>
            <w:pPr>
              <w:spacing w:line="300" w:lineRule="exact"/>
              <w:jc w:val="center"/>
              <w:rPr>
                <w:rFonts w:asciiTheme="minorEastAsia" w:hAnsiTheme="minorEastAsia" w:eastAsiaTheme="minorEastAsia"/>
                <w:sz w:val="28"/>
                <w:szCs w:val="28"/>
              </w:rPr>
            </w:pPr>
          </w:p>
        </w:tc>
        <w:tc>
          <w:tcPr>
            <w:tcW w:w="565" w:type="dxa"/>
            <w:shd w:val="clear" w:color="auto" w:fill="auto"/>
            <w:vAlign w:val="center"/>
          </w:tcPr>
          <w:p>
            <w:pPr>
              <w:spacing w:line="300" w:lineRule="exact"/>
              <w:jc w:val="center"/>
              <w:rPr>
                <w:rFonts w:asciiTheme="minorEastAsia" w:hAnsiTheme="minorEastAsia" w:eastAsiaTheme="minorEastAsia"/>
                <w:sz w:val="28"/>
                <w:szCs w:val="28"/>
              </w:rPr>
            </w:pPr>
          </w:p>
        </w:tc>
        <w:tc>
          <w:tcPr>
            <w:tcW w:w="737" w:type="dxa"/>
            <w:shd w:val="clear" w:color="auto" w:fill="auto"/>
            <w:vAlign w:val="center"/>
          </w:tcPr>
          <w:p>
            <w:pPr>
              <w:spacing w:line="300" w:lineRule="exact"/>
              <w:jc w:val="center"/>
              <w:rPr>
                <w:rFonts w:asciiTheme="minorEastAsia" w:hAnsiTheme="minorEastAsia" w:eastAsiaTheme="minorEastAsia"/>
                <w:sz w:val="28"/>
                <w:szCs w:val="28"/>
              </w:rPr>
            </w:pPr>
          </w:p>
        </w:tc>
        <w:tc>
          <w:tcPr>
            <w:tcW w:w="737" w:type="dxa"/>
            <w:shd w:val="clear" w:color="auto" w:fill="auto"/>
            <w:vAlign w:val="center"/>
          </w:tcPr>
          <w:p>
            <w:pPr>
              <w:spacing w:line="300" w:lineRule="exact"/>
              <w:jc w:val="center"/>
              <w:rPr>
                <w:rFonts w:asciiTheme="minorEastAsia" w:hAnsiTheme="minorEastAsia" w:eastAsiaTheme="minorEastAsia"/>
                <w:sz w:val="28"/>
                <w:szCs w:val="28"/>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540" w:type="dxa"/>
            <w:shd w:val="clear" w:color="auto" w:fill="auto"/>
            <w:vAlign w:val="center"/>
          </w:tcPr>
          <w:p>
            <w:pPr>
              <w:spacing w:line="300" w:lineRule="exact"/>
              <w:jc w:val="left"/>
              <w:rPr>
                <w:rFonts w:asciiTheme="minorEastAsia" w:hAnsiTheme="minorEastAsia" w:eastAsiaTheme="minorEastAsia"/>
                <w:b/>
                <w:sz w:val="28"/>
                <w:szCs w:val="28"/>
              </w:rPr>
            </w:pPr>
            <w:r>
              <w:rPr>
                <w:rFonts w:hint="eastAsia" w:cs="宋体" w:asciiTheme="minorEastAsia" w:hAnsiTheme="minorEastAsia" w:eastAsiaTheme="minorEastAsia"/>
                <w:b/>
                <w:sz w:val="28"/>
                <w:szCs w:val="28"/>
              </w:rPr>
              <w:t>　招商引资活动</w:t>
            </w:r>
          </w:p>
        </w:tc>
        <w:tc>
          <w:tcPr>
            <w:tcW w:w="1077" w:type="dxa"/>
            <w:shd w:val="clear" w:color="auto" w:fill="auto"/>
            <w:vAlign w:val="center"/>
          </w:tcPr>
          <w:p>
            <w:pPr>
              <w:spacing w:line="300" w:lineRule="exact"/>
              <w:jc w:val="left"/>
              <w:rPr>
                <w:rFonts w:asciiTheme="minorEastAsia" w:hAnsiTheme="minorEastAsia" w:eastAsiaTheme="minorEastAsia"/>
                <w:sz w:val="28"/>
                <w:szCs w:val="28"/>
              </w:rPr>
            </w:pPr>
          </w:p>
        </w:tc>
        <w:tc>
          <w:tcPr>
            <w:tcW w:w="2976" w:type="dxa"/>
            <w:shd w:val="clear" w:color="auto" w:fill="auto"/>
            <w:vAlign w:val="center"/>
          </w:tcPr>
          <w:p>
            <w:pPr>
              <w:spacing w:line="300" w:lineRule="exact"/>
              <w:jc w:val="left"/>
              <w:rPr>
                <w:rFonts w:asciiTheme="minorEastAsia" w:hAnsiTheme="minorEastAsia" w:eastAsiaTheme="minorEastAsia"/>
                <w:sz w:val="28"/>
                <w:szCs w:val="28"/>
              </w:rPr>
            </w:pPr>
            <w:r>
              <w:rPr>
                <w:rFonts w:hint="eastAsia" w:cs="宋体" w:asciiTheme="minorEastAsia" w:hAnsiTheme="minorEastAsia" w:eastAsiaTheme="minorEastAsia"/>
                <w:sz w:val="28"/>
                <w:szCs w:val="28"/>
              </w:rPr>
              <w:t>负责招商引资、进出口贸易和国内外经济技术合作工作</w:t>
            </w:r>
          </w:p>
        </w:tc>
        <w:tc>
          <w:tcPr>
            <w:tcW w:w="2976" w:type="dxa"/>
            <w:shd w:val="clear" w:color="auto" w:fill="auto"/>
            <w:vAlign w:val="center"/>
          </w:tcPr>
          <w:p>
            <w:pPr>
              <w:spacing w:line="300" w:lineRule="exact"/>
              <w:jc w:val="left"/>
              <w:rPr>
                <w:rFonts w:asciiTheme="minorEastAsia" w:hAnsiTheme="minorEastAsia" w:eastAsiaTheme="minorEastAsia"/>
                <w:sz w:val="28"/>
                <w:szCs w:val="28"/>
              </w:rPr>
            </w:pPr>
            <w:r>
              <w:rPr>
                <w:rFonts w:hint="eastAsia" w:cs="宋体" w:asciiTheme="minorEastAsia" w:hAnsiTheme="minorEastAsia" w:eastAsiaTheme="minorEastAsia"/>
                <w:sz w:val="28"/>
                <w:szCs w:val="28"/>
              </w:rPr>
              <w:t>加大招商引资力度，提升开发区经济实力水平。</w:t>
            </w:r>
          </w:p>
        </w:tc>
        <w:tc>
          <w:tcPr>
            <w:tcW w:w="1417" w:type="dxa"/>
            <w:shd w:val="clear" w:color="auto" w:fill="auto"/>
            <w:vAlign w:val="center"/>
          </w:tcPr>
          <w:p>
            <w:pPr>
              <w:spacing w:line="300" w:lineRule="exact"/>
              <w:jc w:val="left"/>
              <w:rPr>
                <w:rFonts w:asciiTheme="minorEastAsia" w:hAnsiTheme="minorEastAsia" w:eastAsiaTheme="minorEastAsia"/>
                <w:sz w:val="28"/>
                <w:szCs w:val="28"/>
              </w:rPr>
            </w:pPr>
            <w:r>
              <w:rPr>
                <w:rFonts w:hint="eastAsia" w:cs="宋体" w:asciiTheme="minorEastAsia" w:hAnsiTheme="minorEastAsia" w:eastAsiaTheme="minorEastAsia"/>
                <w:sz w:val="28"/>
                <w:szCs w:val="28"/>
              </w:rPr>
              <w:t>开发区排名</w:t>
            </w:r>
          </w:p>
        </w:tc>
        <w:tc>
          <w:tcPr>
            <w:tcW w:w="909" w:type="dxa"/>
            <w:shd w:val="clear" w:color="auto" w:fill="auto"/>
            <w:vAlign w:val="center"/>
          </w:tcPr>
          <w:p>
            <w:pPr>
              <w:spacing w:line="300" w:lineRule="exact"/>
              <w:jc w:val="center"/>
              <w:rPr>
                <w:rFonts w:asciiTheme="minorEastAsia" w:hAnsiTheme="minorEastAsia" w:eastAsiaTheme="minorEastAsia"/>
                <w:sz w:val="28"/>
                <w:szCs w:val="28"/>
              </w:rPr>
            </w:pPr>
            <w:r>
              <w:rPr>
                <w:rFonts w:hint="eastAsia" w:cs="宋体" w:asciiTheme="minorEastAsia" w:hAnsiTheme="minorEastAsia" w:eastAsiaTheme="minorEastAsia"/>
                <w:sz w:val="28"/>
                <w:szCs w:val="28"/>
              </w:rPr>
              <w:t>上升</w:t>
            </w:r>
            <w:r>
              <w:rPr>
                <w:rFonts w:asciiTheme="minorEastAsia" w:hAnsiTheme="minorEastAsia" w:eastAsiaTheme="minorEastAsia"/>
                <w:sz w:val="28"/>
                <w:szCs w:val="28"/>
              </w:rPr>
              <w:t>5</w:t>
            </w:r>
            <w:r>
              <w:rPr>
                <w:rFonts w:hint="eastAsia" w:cs="宋体" w:asciiTheme="minorEastAsia" w:hAnsiTheme="minorEastAsia" w:eastAsiaTheme="minorEastAsia"/>
                <w:sz w:val="28"/>
                <w:szCs w:val="28"/>
              </w:rPr>
              <w:t>名</w:t>
            </w:r>
          </w:p>
        </w:tc>
        <w:tc>
          <w:tcPr>
            <w:tcW w:w="565" w:type="dxa"/>
            <w:shd w:val="clear" w:color="auto" w:fill="auto"/>
            <w:vAlign w:val="center"/>
          </w:tcPr>
          <w:p>
            <w:pPr>
              <w:spacing w:line="300" w:lineRule="exact"/>
              <w:jc w:val="center"/>
              <w:rPr>
                <w:rFonts w:asciiTheme="minorEastAsia" w:hAnsiTheme="minorEastAsia" w:eastAsiaTheme="minorEastAsia"/>
                <w:sz w:val="28"/>
                <w:szCs w:val="28"/>
              </w:rPr>
            </w:pPr>
            <w:r>
              <w:rPr>
                <w:rFonts w:hint="eastAsia" w:cs="宋体" w:asciiTheme="minorEastAsia" w:hAnsiTheme="minorEastAsia" w:eastAsiaTheme="minorEastAsia"/>
                <w:sz w:val="28"/>
                <w:szCs w:val="28"/>
              </w:rPr>
              <w:t>上升</w:t>
            </w:r>
            <w:r>
              <w:rPr>
                <w:rFonts w:asciiTheme="minorEastAsia" w:hAnsiTheme="minorEastAsia" w:eastAsiaTheme="minorEastAsia"/>
                <w:sz w:val="28"/>
                <w:szCs w:val="28"/>
              </w:rPr>
              <w:t>2</w:t>
            </w:r>
            <w:r>
              <w:rPr>
                <w:rFonts w:hint="eastAsia" w:cs="宋体" w:asciiTheme="minorEastAsia" w:hAnsiTheme="minorEastAsia" w:eastAsiaTheme="minorEastAsia"/>
                <w:sz w:val="28"/>
                <w:szCs w:val="28"/>
              </w:rPr>
              <w:t>名</w:t>
            </w:r>
          </w:p>
        </w:tc>
        <w:tc>
          <w:tcPr>
            <w:tcW w:w="737" w:type="dxa"/>
            <w:shd w:val="clear" w:color="auto" w:fill="auto"/>
            <w:vAlign w:val="center"/>
          </w:tcPr>
          <w:p>
            <w:pPr>
              <w:spacing w:line="300" w:lineRule="exact"/>
              <w:jc w:val="center"/>
              <w:rPr>
                <w:rFonts w:asciiTheme="minorEastAsia" w:hAnsiTheme="minorEastAsia" w:eastAsiaTheme="minorEastAsia"/>
                <w:sz w:val="28"/>
                <w:szCs w:val="28"/>
              </w:rPr>
            </w:pPr>
            <w:r>
              <w:rPr>
                <w:rFonts w:hint="eastAsia" w:cs="宋体" w:asciiTheme="minorEastAsia" w:hAnsiTheme="minorEastAsia" w:eastAsiaTheme="minorEastAsia"/>
                <w:sz w:val="28"/>
                <w:szCs w:val="28"/>
              </w:rPr>
              <w:t>与去年持平</w:t>
            </w:r>
          </w:p>
        </w:tc>
        <w:tc>
          <w:tcPr>
            <w:tcW w:w="737" w:type="dxa"/>
            <w:shd w:val="clear" w:color="auto" w:fill="auto"/>
            <w:vAlign w:val="center"/>
          </w:tcPr>
          <w:p>
            <w:pPr>
              <w:spacing w:line="300" w:lineRule="exact"/>
              <w:jc w:val="center"/>
              <w:rPr>
                <w:rFonts w:asciiTheme="minorEastAsia" w:hAnsiTheme="minorEastAsia" w:eastAsiaTheme="minorEastAsia"/>
                <w:sz w:val="28"/>
                <w:szCs w:val="28"/>
              </w:rPr>
            </w:pPr>
            <w:r>
              <w:rPr>
                <w:rFonts w:hint="eastAsia" w:cs="宋体" w:asciiTheme="minorEastAsia" w:hAnsiTheme="minorEastAsia" w:eastAsiaTheme="minorEastAsia"/>
                <w:sz w:val="28"/>
                <w:szCs w:val="28"/>
              </w:rPr>
              <w:t>下降</w:t>
            </w:r>
            <w:r>
              <w:rPr>
                <w:rFonts w:asciiTheme="minorEastAsia" w:hAnsiTheme="minorEastAsia" w:eastAsiaTheme="minorEastAsia"/>
                <w:sz w:val="28"/>
                <w:szCs w:val="28"/>
              </w:rPr>
              <w:t>20</w:t>
            </w:r>
            <w:r>
              <w:rPr>
                <w:rFonts w:hint="eastAsia" w:cs="宋体" w:asciiTheme="minorEastAsia" w:hAnsiTheme="minorEastAsia" w:eastAsiaTheme="minorEastAsia"/>
                <w:sz w:val="28"/>
                <w:szCs w:val="28"/>
              </w:rPr>
              <w:t>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540" w:type="dxa"/>
            <w:shd w:val="clear" w:color="auto" w:fill="auto"/>
            <w:vAlign w:val="center"/>
          </w:tcPr>
          <w:p>
            <w:pPr>
              <w:spacing w:line="300" w:lineRule="exact"/>
              <w:ind w:firstLine="562" w:firstLineChars="200"/>
              <w:jc w:val="left"/>
              <w:rPr>
                <w:rFonts w:asciiTheme="minorEastAsia" w:hAnsiTheme="minorEastAsia" w:eastAsiaTheme="minorEastAsia"/>
                <w:b/>
                <w:sz w:val="28"/>
                <w:szCs w:val="28"/>
              </w:rPr>
            </w:pPr>
            <w:r>
              <w:rPr>
                <w:rFonts w:hint="eastAsia" w:cs="宋体" w:asciiTheme="minorEastAsia" w:hAnsiTheme="minorEastAsia" w:eastAsiaTheme="minorEastAsia"/>
                <w:b/>
                <w:sz w:val="28"/>
                <w:szCs w:val="28"/>
              </w:rPr>
              <w:t>财政管理</w:t>
            </w:r>
          </w:p>
        </w:tc>
        <w:tc>
          <w:tcPr>
            <w:tcW w:w="1077" w:type="dxa"/>
            <w:shd w:val="clear" w:color="auto" w:fill="auto"/>
            <w:vAlign w:val="center"/>
          </w:tcPr>
          <w:p>
            <w:pPr>
              <w:spacing w:line="300" w:lineRule="exact"/>
              <w:jc w:val="left"/>
              <w:rPr>
                <w:rFonts w:asciiTheme="minorEastAsia" w:hAnsiTheme="minorEastAsia" w:eastAsiaTheme="minorEastAsia"/>
                <w:sz w:val="28"/>
                <w:szCs w:val="28"/>
              </w:rPr>
            </w:pPr>
          </w:p>
        </w:tc>
        <w:tc>
          <w:tcPr>
            <w:tcW w:w="2976" w:type="dxa"/>
            <w:shd w:val="clear" w:color="auto" w:fill="auto"/>
            <w:vAlign w:val="center"/>
          </w:tcPr>
          <w:p>
            <w:pPr>
              <w:spacing w:line="300" w:lineRule="exact"/>
              <w:jc w:val="left"/>
              <w:rPr>
                <w:rFonts w:asciiTheme="minorEastAsia" w:hAnsiTheme="minorEastAsia" w:eastAsiaTheme="minorEastAsia"/>
                <w:sz w:val="28"/>
                <w:szCs w:val="28"/>
              </w:rPr>
            </w:pPr>
            <w:r>
              <w:rPr>
                <w:rFonts w:hint="eastAsia" w:cs="宋体" w:asciiTheme="minorEastAsia" w:hAnsiTheme="minorEastAsia" w:eastAsiaTheme="minorEastAsia"/>
                <w:sz w:val="28"/>
                <w:szCs w:val="28"/>
              </w:rPr>
              <w:t>负责辖区内财政管理，实施辖区内财政预算、决算、国有资产管理和财政监督工作</w:t>
            </w:r>
          </w:p>
        </w:tc>
        <w:tc>
          <w:tcPr>
            <w:tcW w:w="2976" w:type="dxa"/>
            <w:shd w:val="clear" w:color="auto" w:fill="auto"/>
            <w:vAlign w:val="center"/>
          </w:tcPr>
          <w:p>
            <w:pPr>
              <w:spacing w:line="300" w:lineRule="exact"/>
              <w:jc w:val="left"/>
              <w:rPr>
                <w:rFonts w:asciiTheme="minorEastAsia" w:hAnsiTheme="minorEastAsia" w:eastAsiaTheme="minorEastAsia"/>
                <w:sz w:val="28"/>
                <w:szCs w:val="28"/>
              </w:rPr>
            </w:pPr>
            <w:r>
              <w:rPr>
                <w:rFonts w:hint="eastAsia" w:cs="宋体" w:asciiTheme="minorEastAsia" w:hAnsiTheme="minorEastAsia" w:eastAsiaTheme="minorEastAsia"/>
                <w:sz w:val="28"/>
                <w:szCs w:val="28"/>
              </w:rPr>
              <w:t>做好辖区内财政预算、决算工作，监督国有资产管理。</w:t>
            </w:r>
          </w:p>
        </w:tc>
        <w:tc>
          <w:tcPr>
            <w:tcW w:w="1417" w:type="dxa"/>
            <w:shd w:val="clear" w:color="auto" w:fill="auto"/>
            <w:vAlign w:val="center"/>
          </w:tcPr>
          <w:p>
            <w:pPr>
              <w:spacing w:line="300" w:lineRule="exact"/>
              <w:jc w:val="left"/>
              <w:rPr>
                <w:rFonts w:asciiTheme="minorEastAsia" w:hAnsiTheme="minorEastAsia" w:eastAsiaTheme="minorEastAsia"/>
                <w:sz w:val="28"/>
                <w:szCs w:val="28"/>
              </w:rPr>
            </w:pPr>
          </w:p>
        </w:tc>
        <w:tc>
          <w:tcPr>
            <w:tcW w:w="909" w:type="dxa"/>
            <w:shd w:val="clear" w:color="auto" w:fill="auto"/>
            <w:vAlign w:val="center"/>
          </w:tcPr>
          <w:p>
            <w:pPr>
              <w:spacing w:line="300" w:lineRule="exact"/>
              <w:jc w:val="center"/>
              <w:rPr>
                <w:rFonts w:asciiTheme="minorEastAsia" w:hAnsiTheme="minorEastAsia" w:eastAsiaTheme="minorEastAsia"/>
                <w:sz w:val="28"/>
                <w:szCs w:val="28"/>
              </w:rPr>
            </w:pPr>
          </w:p>
        </w:tc>
        <w:tc>
          <w:tcPr>
            <w:tcW w:w="565" w:type="dxa"/>
            <w:shd w:val="clear" w:color="auto" w:fill="auto"/>
            <w:vAlign w:val="center"/>
          </w:tcPr>
          <w:p>
            <w:pPr>
              <w:spacing w:line="300" w:lineRule="exact"/>
              <w:jc w:val="center"/>
              <w:rPr>
                <w:rFonts w:asciiTheme="minorEastAsia" w:hAnsiTheme="minorEastAsia" w:eastAsiaTheme="minorEastAsia"/>
                <w:sz w:val="28"/>
                <w:szCs w:val="28"/>
              </w:rPr>
            </w:pPr>
          </w:p>
        </w:tc>
        <w:tc>
          <w:tcPr>
            <w:tcW w:w="737" w:type="dxa"/>
            <w:shd w:val="clear" w:color="auto" w:fill="auto"/>
            <w:vAlign w:val="center"/>
          </w:tcPr>
          <w:p>
            <w:pPr>
              <w:spacing w:line="300" w:lineRule="exact"/>
              <w:jc w:val="center"/>
              <w:rPr>
                <w:rFonts w:asciiTheme="minorEastAsia" w:hAnsiTheme="minorEastAsia" w:eastAsiaTheme="minorEastAsia"/>
                <w:sz w:val="28"/>
                <w:szCs w:val="28"/>
              </w:rPr>
            </w:pPr>
          </w:p>
        </w:tc>
        <w:tc>
          <w:tcPr>
            <w:tcW w:w="737" w:type="dxa"/>
            <w:shd w:val="clear" w:color="auto" w:fill="auto"/>
            <w:vAlign w:val="center"/>
          </w:tcPr>
          <w:p>
            <w:pPr>
              <w:spacing w:line="300" w:lineRule="exact"/>
              <w:jc w:val="center"/>
              <w:rPr>
                <w:rFonts w:asciiTheme="minorEastAsia" w:hAnsiTheme="minorEastAsia" w:eastAsiaTheme="minorEastAsia"/>
                <w:sz w:val="28"/>
                <w:szCs w:val="28"/>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540" w:type="dxa"/>
            <w:shd w:val="clear" w:color="auto" w:fill="auto"/>
            <w:vAlign w:val="center"/>
          </w:tcPr>
          <w:p>
            <w:pPr>
              <w:spacing w:line="300" w:lineRule="exact"/>
              <w:ind w:firstLine="281" w:firstLineChars="100"/>
              <w:jc w:val="left"/>
              <w:rPr>
                <w:rFonts w:asciiTheme="minorEastAsia" w:hAnsiTheme="minorEastAsia" w:eastAsiaTheme="minorEastAsia"/>
                <w:b/>
                <w:sz w:val="28"/>
                <w:szCs w:val="28"/>
              </w:rPr>
            </w:pPr>
            <w:r>
              <w:rPr>
                <w:rFonts w:hint="eastAsia" w:cs="宋体" w:asciiTheme="minorEastAsia" w:hAnsiTheme="minorEastAsia" w:eastAsiaTheme="minorEastAsia"/>
                <w:b/>
                <w:sz w:val="28"/>
                <w:szCs w:val="28"/>
              </w:rPr>
              <w:t>财政管理活动</w:t>
            </w:r>
          </w:p>
        </w:tc>
        <w:tc>
          <w:tcPr>
            <w:tcW w:w="1077" w:type="dxa"/>
            <w:shd w:val="clear" w:color="auto" w:fill="auto"/>
            <w:vAlign w:val="center"/>
          </w:tcPr>
          <w:p>
            <w:pPr>
              <w:spacing w:line="300" w:lineRule="exact"/>
              <w:jc w:val="left"/>
              <w:rPr>
                <w:rFonts w:asciiTheme="minorEastAsia" w:hAnsiTheme="minorEastAsia" w:eastAsiaTheme="minorEastAsia"/>
                <w:sz w:val="28"/>
                <w:szCs w:val="28"/>
              </w:rPr>
            </w:pPr>
          </w:p>
        </w:tc>
        <w:tc>
          <w:tcPr>
            <w:tcW w:w="2976" w:type="dxa"/>
            <w:shd w:val="clear" w:color="auto" w:fill="auto"/>
            <w:vAlign w:val="center"/>
          </w:tcPr>
          <w:p>
            <w:pPr>
              <w:spacing w:line="300" w:lineRule="exact"/>
              <w:jc w:val="left"/>
              <w:rPr>
                <w:rFonts w:asciiTheme="minorEastAsia" w:hAnsiTheme="minorEastAsia" w:eastAsiaTheme="minorEastAsia"/>
                <w:sz w:val="28"/>
                <w:szCs w:val="28"/>
              </w:rPr>
            </w:pPr>
            <w:r>
              <w:rPr>
                <w:rFonts w:hint="eastAsia" w:cs="宋体" w:asciiTheme="minorEastAsia" w:hAnsiTheme="minorEastAsia" w:eastAsiaTheme="minorEastAsia"/>
                <w:sz w:val="28"/>
                <w:szCs w:val="28"/>
              </w:rPr>
              <w:t>负责辖区内财政管理，实施辖区内财政预算、决算、国有资产管理和财政监督工作</w:t>
            </w:r>
          </w:p>
        </w:tc>
        <w:tc>
          <w:tcPr>
            <w:tcW w:w="2976" w:type="dxa"/>
            <w:shd w:val="clear" w:color="auto" w:fill="auto"/>
            <w:vAlign w:val="center"/>
          </w:tcPr>
          <w:p>
            <w:pPr>
              <w:spacing w:line="300" w:lineRule="exact"/>
              <w:jc w:val="left"/>
              <w:rPr>
                <w:rFonts w:asciiTheme="minorEastAsia" w:hAnsiTheme="minorEastAsia" w:eastAsiaTheme="minorEastAsia"/>
                <w:sz w:val="28"/>
                <w:szCs w:val="28"/>
              </w:rPr>
            </w:pPr>
            <w:r>
              <w:rPr>
                <w:rFonts w:hint="eastAsia" w:cs="宋体" w:asciiTheme="minorEastAsia" w:hAnsiTheme="minorEastAsia" w:eastAsiaTheme="minorEastAsia"/>
                <w:sz w:val="28"/>
                <w:szCs w:val="28"/>
              </w:rPr>
              <w:t>做好辖区内财政预算、决算工作，监督国有资产管理。</w:t>
            </w:r>
          </w:p>
        </w:tc>
        <w:tc>
          <w:tcPr>
            <w:tcW w:w="1417" w:type="dxa"/>
            <w:shd w:val="clear" w:color="auto" w:fill="auto"/>
            <w:vAlign w:val="center"/>
          </w:tcPr>
          <w:p>
            <w:pPr>
              <w:spacing w:line="300" w:lineRule="exact"/>
              <w:jc w:val="left"/>
              <w:rPr>
                <w:rFonts w:asciiTheme="minorEastAsia" w:hAnsiTheme="minorEastAsia" w:eastAsiaTheme="minorEastAsia"/>
                <w:sz w:val="28"/>
                <w:szCs w:val="28"/>
              </w:rPr>
            </w:pPr>
            <w:r>
              <w:rPr>
                <w:rFonts w:hint="eastAsia" w:cs="宋体" w:asciiTheme="minorEastAsia" w:hAnsiTheme="minorEastAsia" w:eastAsiaTheme="minorEastAsia"/>
                <w:sz w:val="28"/>
                <w:szCs w:val="28"/>
              </w:rPr>
              <w:t>财务工作完成率</w:t>
            </w:r>
          </w:p>
        </w:tc>
        <w:tc>
          <w:tcPr>
            <w:tcW w:w="909" w:type="dxa"/>
            <w:shd w:val="clear" w:color="auto" w:fill="auto"/>
            <w:vAlign w:val="center"/>
          </w:tcPr>
          <w:p>
            <w:pPr>
              <w:spacing w:line="300" w:lineRule="exact"/>
              <w:jc w:val="center"/>
              <w:rPr>
                <w:rFonts w:asciiTheme="minorEastAsia" w:hAnsiTheme="minorEastAsia" w:eastAsiaTheme="minorEastAsia"/>
                <w:sz w:val="28"/>
                <w:szCs w:val="28"/>
              </w:rPr>
            </w:pPr>
            <w:r>
              <w:rPr>
                <w:rFonts w:asciiTheme="minorEastAsia" w:hAnsiTheme="minorEastAsia" w:eastAsiaTheme="minorEastAsia"/>
                <w:sz w:val="28"/>
                <w:szCs w:val="28"/>
              </w:rPr>
              <w:t>100%</w:t>
            </w:r>
          </w:p>
        </w:tc>
        <w:tc>
          <w:tcPr>
            <w:tcW w:w="565" w:type="dxa"/>
            <w:shd w:val="clear" w:color="auto" w:fill="auto"/>
            <w:vAlign w:val="center"/>
          </w:tcPr>
          <w:p>
            <w:pPr>
              <w:spacing w:line="300" w:lineRule="exact"/>
              <w:jc w:val="center"/>
              <w:rPr>
                <w:rFonts w:asciiTheme="minorEastAsia" w:hAnsiTheme="minorEastAsia" w:eastAsiaTheme="minorEastAsia"/>
                <w:sz w:val="28"/>
                <w:szCs w:val="28"/>
              </w:rPr>
            </w:pPr>
            <w:r>
              <w:rPr>
                <w:rFonts w:asciiTheme="minorEastAsia" w:hAnsiTheme="minorEastAsia" w:eastAsiaTheme="minorEastAsia"/>
                <w:sz w:val="28"/>
                <w:szCs w:val="28"/>
              </w:rPr>
              <w:t>90%</w:t>
            </w:r>
          </w:p>
        </w:tc>
        <w:tc>
          <w:tcPr>
            <w:tcW w:w="737" w:type="dxa"/>
            <w:shd w:val="clear" w:color="auto" w:fill="auto"/>
            <w:vAlign w:val="center"/>
          </w:tcPr>
          <w:p>
            <w:pPr>
              <w:spacing w:line="300" w:lineRule="exact"/>
              <w:jc w:val="center"/>
              <w:rPr>
                <w:rFonts w:asciiTheme="minorEastAsia" w:hAnsiTheme="minorEastAsia" w:eastAsiaTheme="minorEastAsia"/>
                <w:sz w:val="28"/>
                <w:szCs w:val="28"/>
              </w:rPr>
            </w:pPr>
            <w:r>
              <w:rPr>
                <w:rFonts w:asciiTheme="minorEastAsia" w:hAnsiTheme="minorEastAsia" w:eastAsiaTheme="minorEastAsia"/>
                <w:sz w:val="28"/>
                <w:szCs w:val="28"/>
              </w:rPr>
              <w:t>80%</w:t>
            </w:r>
          </w:p>
        </w:tc>
        <w:tc>
          <w:tcPr>
            <w:tcW w:w="737" w:type="dxa"/>
            <w:shd w:val="clear" w:color="auto" w:fill="auto"/>
            <w:vAlign w:val="center"/>
          </w:tcPr>
          <w:p>
            <w:pPr>
              <w:spacing w:line="300" w:lineRule="exact"/>
              <w:jc w:val="center"/>
              <w:rPr>
                <w:rFonts w:asciiTheme="minorEastAsia" w:hAnsiTheme="minorEastAsia" w:eastAsiaTheme="minorEastAsia"/>
                <w:sz w:val="28"/>
                <w:szCs w:val="28"/>
              </w:rPr>
            </w:pPr>
            <w:r>
              <w:rPr>
                <w:rFonts w:asciiTheme="minorEastAsia" w:hAnsiTheme="minorEastAsia" w:eastAsiaTheme="minorEastAsia"/>
                <w:sz w:val="28"/>
                <w:szCs w:val="28"/>
              </w:rPr>
              <w:t>60%</w:t>
            </w:r>
            <w:r>
              <w:rPr>
                <w:rFonts w:hint="eastAsia" w:cs="宋体" w:asciiTheme="minorEastAsia" w:hAnsiTheme="minorEastAsia" w:eastAsiaTheme="minorEastAsia"/>
                <w:sz w:val="28"/>
                <w:szCs w:val="28"/>
              </w:rPr>
              <w:t>以下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540" w:type="dxa"/>
            <w:shd w:val="clear" w:color="auto" w:fill="auto"/>
            <w:vAlign w:val="center"/>
          </w:tcPr>
          <w:p>
            <w:pPr>
              <w:spacing w:line="300" w:lineRule="exact"/>
              <w:ind w:firstLine="281" w:firstLineChars="100"/>
              <w:jc w:val="left"/>
              <w:rPr>
                <w:rFonts w:asciiTheme="minorEastAsia" w:hAnsiTheme="minorEastAsia" w:eastAsiaTheme="minorEastAsia"/>
                <w:b/>
                <w:sz w:val="28"/>
                <w:szCs w:val="28"/>
              </w:rPr>
            </w:pPr>
            <w:r>
              <w:rPr>
                <w:rFonts w:hint="eastAsia" w:cs="宋体" w:asciiTheme="minorEastAsia" w:hAnsiTheme="minorEastAsia" w:eastAsiaTheme="minorEastAsia"/>
                <w:b/>
                <w:sz w:val="28"/>
                <w:szCs w:val="28"/>
              </w:rPr>
              <w:t>环保安监工作</w:t>
            </w:r>
          </w:p>
        </w:tc>
        <w:tc>
          <w:tcPr>
            <w:tcW w:w="1077" w:type="dxa"/>
            <w:shd w:val="clear" w:color="auto" w:fill="auto"/>
            <w:vAlign w:val="center"/>
          </w:tcPr>
          <w:p>
            <w:pPr>
              <w:spacing w:line="300" w:lineRule="exact"/>
              <w:jc w:val="left"/>
              <w:rPr>
                <w:rFonts w:asciiTheme="minorEastAsia" w:hAnsiTheme="minorEastAsia" w:eastAsiaTheme="minorEastAsia"/>
                <w:sz w:val="28"/>
                <w:szCs w:val="28"/>
              </w:rPr>
            </w:pPr>
          </w:p>
        </w:tc>
        <w:tc>
          <w:tcPr>
            <w:tcW w:w="2976" w:type="dxa"/>
            <w:shd w:val="clear" w:color="auto" w:fill="auto"/>
            <w:vAlign w:val="center"/>
          </w:tcPr>
          <w:p>
            <w:pPr>
              <w:spacing w:line="300" w:lineRule="exact"/>
              <w:jc w:val="left"/>
              <w:rPr>
                <w:rFonts w:asciiTheme="minorEastAsia" w:hAnsiTheme="minorEastAsia" w:eastAsiaTheme="minorEastAsia"/>
                <w:sz w:val="28"/>
                <w:szCs w:val="28"/>
              </w:rPr>
            </w:pPr>
            <w:r>
              <w:rPr>
                <w:rFonts w:hint="eastAsia" w:cs="宋体" w:asciiTheme="minorEastAsia" w:hAnsiTheme="minorEastAsia" w:eastAsiaTheme="minorEastAsia"/>
                <w:sz w:val="28"/>
                <w:szCs w:val="28"/>
              </w:rPr>
              <w:t>负责辖区环境保护和安全生产监督管理工作</w:t>
            </w:r>
          </w:p>
        </w:tc>
        <w:tc>
          <w:tcPr>
            <w:tcW w:w="2976" w:type="dxa"/>
            <w:shd w:val="clear" w:color="auto" w:fill="auto"/>
            <w:vAlign w:val="center"/>
          </w:tcPr>
          <w:p>
            <w:pPr>
              <w:spacing w:line="300" w:lineRule="exact"/>
              <w:jc w:val="left"/>
              <w:rPr>
                <w:rFonts w:asciiTheme="minorEastAsia" w:hAnsiTheme="minorEastAsia" w:eastAsiaTheme="minorEastAsia"/>
                <w:sz w:val="28"/>
                <w:szCs w:val="28"/>
              </w:rPr>
            </w:pPr>
            <w:r>
              <w:rPr>
                <w:rFonts w:hint="eastAsia" w:cs="宋体" w:asciiTheme="minorEastAsia" w:hAnsiTheme="minorEastAsia" w:eastAsiaTheme="minorEastAsia"/>
                <w:sz w:val="28"/>
                <w:szCs w:val="28"/>
              </w:rPr>
              <w:t>做好辖区内企业环境保护工作，防治大气污染；做好安全生产监督管理工作</w:t>
            </w:r>
          </w:p>
        </w:tc>
        <w:tc>
          <w:tcPr>
            <w:tcW w:w="1417" w:type="dxa"/>
            <w:shd w:val="clear" w:color="auto" w:fill="auto"/>
            <w:vAlign w:val="center"/>
          </w:tcPr>
          <w:p>
            <w:pPr>
              <w:spacing w:line="300" w:lineRule="exact"/>
              <w:jc w:val="left"/>
              <w:rPr>
                <w:rFonts w:asciiTheme="minorEastAsia" w:hAnsiTheme="minorEastAsia" w:eastAsiaTheme="minorEastAsia"/>
                <w:sz w:val="28"/>
                <w:szCs w:val="28"/>
              </w:rPr>
            </w:pPr>
          </w:p>
        </w:tc>
        <w:tc>
          <w:tcPr>
            <w:tcW w:w="909" w:type="dxa"/>
            <w:shd w:val="clear" w:color="auto" w:fill="auto"/>
            <w:vAlign w:val="center"/>
          </w:tcPr>
          <w:p>
            <w:pPr>
              <w:spacing w:line="300" w:lineRule="exact"/>
              <w:jc w:val="center"/>
              <w:rPr>
                <w:rFonts w:asciiTheme="minorEastAsia" w:hAnsiTheme="minorEastAsia" w:eastAsiaTheme="minorEastAsia"/>
                <w:sz w:val="28"/>
                <w:szCs w:val="28"/>
              </w:rPr>
            </w:pPr>
          </w:p>
        </w:tc>
        <w:tc>
          <w:tcPr>
            <w:tcW w:w="565" w:type="dxa"/>
            <w:shd w:val="clear" w:color="auto" w:fill="auto"/>
            <w:vAlign w:val="center"/>
          </w:tcPr>
          <w:p>
            <w:pPr>
              <w:spacing w:line="300" w:lineRule="exact"/>
              <w:jc w:val="center"/>
              <w:rPr>
                <w:rFonts w:asciiTheme="minorEastAsia" w:hAnsiTheme="minorEastAsia" w:eastAsiaTheme="minorEastAsia"/>
                <w:sz w:val="28"/>
                <w:szCs w:val="28"/>
              </w:rPr>
            </w:pPr>
          </w:p>
        </w:tc>
        <w:tc>
          <w:tcPr>
            <w:tcW w:w="737" w:type="dxa"/>
            <w:shd w:val="clear" w:color="auto" w:fill="auto"/>
            <w:vAlign w:val="center"/>
          </w:tcPr>
          <w:p>
            <w:pPr>
              <w:spacing w:line="300" w:lineRule="exact"/>
              <w:jc w:val="center"/>
              <w:rPr>
                <w:rFonts w:asciiTheme="minorEastAsia" w:hAnsiTheme="minorEastAsia" w:eastAsiaTheme="minorEastAsia"/>
                <w:sz w:val="28"/>
                <w:szCs w:val="28"/>
              </w:rPr>
            </w:pPr>
          </w:p>
        </w:tc>
        <w:tc>
          <w:tcPr>
            <w:tcW w:w="737" w:type="dxa"/>
            <w:shd w:val="clear" w:color="auto" w:fill="auto"/>
            <w:vAlign w:val="center"/>
          </w:tcPr>
          <w:p>
            <w:pPr>
              <w:spacing w:line="300" w:lineRule="exact"/>
              <w:jc w:val="center"/>
              <w:rPr>
                <w:rFonts w:asciiTheme="minorEastAsia" w:hAnsiTheme="minorEastAsia" w:eastAsiaTheme="minorEastAsia"/>
                <w:sz w:val="28"/>
                <w:szCs w:val="28"/>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540" w:type="dxa"/>
            <w:shd w:val="clear" w:color="auto" w:fill="auto"/>
            <w:vAlign w:val="center"/>
          </w:tcPr>
          <w:p>
            <w:pPr>
              <w:spacing w:line="300" w:lineRule="exact"/>
              <w:jc w:val="left"/>
              <w:rPr>
                <w:rFonts w:asciiTheme="minorEastAsia" w:hAnsiTheme="minorEastAsia" w:eastAsiaTheme="minorEastAsia"/>
                <w:b/>
                <w:sz w:val="28"/>
                <w:szCs w:val="28"/>
              </w:rPr>
            </w:pPr>
            <w:r>
              <w:rPr>
                <w:rFonts w:hint="eastAsia" w:cs="宋体" w:asciiTheme="minorEastAsia" w:hAnsiTheme="minorEastAsia" w:eastAsiaTheme="minorEastAsia"/>
                <w:b/>
                <w:sz w:val="28"/>
                <w:szCs w:val="28"/>
              </w:rPr>
              <w:t>　环保安监活动</w:t>
            </w:r>
          </w:p>
        </w:tc>
        <w:tc>
          <w:tcPr>
            <w:tcW w:w="1077" w:type="dxa"/>
            <w:shd w:val="clear" w:color="auto" w:fill="auto"/>
            <w:vAlign w:val="center"/>
          </w:tcPr>
          <w:p>
            <w:pPr>
              <w:spacing w:line="300" w:lineRule="exact"/>
              <w:jc w:val="left"/>
              <w:rPr>
                <w:rFonts w:asciiTheme="minorEastAsia" w:hAnsiTheme="minorEastAsia" w:eastAsiaTheme="minorEastAsia"/>
                <w:sz w:val="28"/>
                <w:szCs w:val="28"/>
              </w:rPr>
            </w:pPr>
          </w:p>
        </w:tc>
        <w:tc>
          <w:tcPr>
            <w:tcW w:w="2976" w:type="dxa"/>
            <w:shd w:val="clear" w:color="auto" w:fill="auto"/>
            <w:vAlign w:val="center"/>
          </w:tcPr>
          <w:p>
            <w:pPr>
              <w:spacing w:line="300" w:lineRule="exact"/>
              <w:jc w:val="left"/>
              <w:rPr>
                <w:rFonts w:asciiTheme="minorEastAsia" w:hAnsiTheme="minorEastAsia" w:eastAsiaTheme="minorEastAsia"/>
                <w:sz w:val="28"/>
                <w:szCs w:val="28"/>
              </w:rPr>
            </w:pPr>
            <w:r>
              <w:rPr>
                <w:rFonts w:hint="eastAsia" w:cs="宋体" w:asciiTheme="minorEastAsia" w:hAnsiTheme="minorEastAsia" w:eastAsiaTheme="minorEastAsia"/>
                <w:sz w:val="28"/>
                <w:szCs w:val="28"/>
              </w:rPr>
              <w:t>做好辖区内企业环境保护工作，防治大气污染；做好安全生产监督管理工作做好辖区内企业环境保护工作，防治大气污染；做好安全生产监督管理工作</w:t>
            </w:r>
          </w:p>
        </w:tc>
        <w:tc>
          <w:tcPr>
            <w:tcW w:w="2976" w:type="dxa"/>
            <w:shd w:val="clear" w:color="auto" w:fill="auto"/>
            <w:vAlign w:val="center"/>
          </w:tcPr>
          <w:p>
            <w:pPr>
              <w:spacing w:line="300" w:lineRule="exact"/>
              <w:jc w:val="left"/>
              <w:rPr>
                <w:rFonts w:asciiTheme="minorEastAsia" w:hAnsiTheme="minorEastAsia" w:eastAsiaTheme="minorEastAsia"/>
                <w:sz w:val="28"/>
                <w:szCs w:val="28"/>
              </w:rPr>
            </w:pPr>
            <w:r>
              <w:rPr>
                <w:rFonts w:hint="eastAsia" w:cs="宋体" w:asciiTheme="minorEastAsia" w:hAnsiTheme="minorEastAsia" w:eastAsiaTheme="minorEastAsia"/>
                <w:sz w:val="28"/>
                <w:szCs w:val="28"/>
              </w:rPr>
              <w:t>做好辖区内企业环境保护工作，防治大气污染；做好安全生产监督管理工作</w:t>
            </w:r>
          </w:p>
        </w:tc>
        <w:tc>
          <w:tcPr>
            <w:tcW w:w="1417" w:type="dxa"/>
            <w:shd w:val="clear" w:color="auto" w:fill="auto"/>
            <w:vAlign w:val="center"/>
          </w:tcPr>
          <w:p>
            <w:pPr>
              <w:spacing w:line="300" w:lineRule="exact"/>
              <w:jc w:val="left"/>
              <w:rPr>
                <w:rFonts w:asciiTheme="minorEastAsia" w:hAnsiTheme="minorEastAsia" w:eastAsiaTheme="minorEastAsia"/>
                <w:sz w:val="28"/>
                <w:szCs w:val="28"/>
              </w:rPr>
            </w:pPr>
            <w:r>
              <w:rPr>
                <w:rFonts w:hint="eastAsia" w:cs="宋体" w:asciiTheme="minorEastAsia" w:hAnsiTheme="minorEastAsia" w:eastAsiaTheme="minorEastAsia"/>
                <w:sz w:val="28"/>
                <w:szCs w:val="28"/>
              </w:rPr>
              <w:t>辖区内企业环保安监达标率</w:t>
            </w:r>
          </w:p>
        </w:tc>
        <w:tc>
          <w:tcPr>
            <w:tcW w:w="909" w:type="dxa"/>
            <w:shd w:val="clear" w:color="auto" w:fill="auto"/>
            <w:vAlign w:val="center"/>
          </w:tcPr>
          <w:p>
            <w:pPr>
              <w:spacing w:line="300" w:lineRule="exact"/>
              <w:jc w:val="center"/>
              <w:rPr>
                <w:rFonts w:asciiTheme="minorEastAsia" w:hAnsiTheme="minorEastAsia" w:eastAsiaTheme="minorEastAsia"/>
                <w:sz w:val="28"/>
                <w:szCs w:val="28"/>
              </w:rPr>
            </w:pPr>
            <w:r>
              <w:rPr>
                <w:rFonts w:asciiTheme="minorEastAsia" w:hAnsiTheme="minorEastAsia" w:eastAsiaTheme="minorEastAsia"/>
                <w:sz w:val="28"/>
                <w:szCs w:val="28"/>
              </w:rPr>
              <w:t>100%</w:t>
            </w:r>
          </w:p>
        </w:tc>
        <w:tc>
          <w:tcPr>
            <w:tcW w:w="565" w:type="dxa"/>
            <w:shd w:val="clear" w:color="auto" w:fill="auto"/>
            <w:vAlign w:val="center"/>
          </w:tcPr>
          <w:p>
            <w:pPr>
              <w:spacing w:line="300" w:lineRule="exact"/>
              <w:jc w:val="center"/>
              <w:rPr>
                <w:rFonts w:asciiTheme="minorEastAsia" w:hAnsiTheme="minorEastAsia" w:eastAsiaTheme="minorEastAsia"/>
                <w:sz w:val="28"/>
                <w:szCs w:val="28"/>
              </w:rPr>
            </w:pPr>
            <w:r>
              <w:rPr>
                <w:rFonts w:asciiTheme="minorEastAsia" w:hAnsiTheme="minorEastAsia" w:eastAsiaTheme="minorEastAsia"/>
                <w:sz w:val="28"/>
                <w:szCs w:val="28"/>
              </w:rPr>
              <w:t>90%</w:t>
            </w:r>
          </w:p>
        </w:tc>
        <w:tc>
          <w:tcPr>
            <w:tcW w:w="737" w:type="dxa"/>
            <w:shd w:val="clear" w:color="auto" w:fill="auto"/>
            <w:vAlign w:val="center"/>
          </w:tcPr>
          <w:p>
            <w:pPr>
              <w:spacing w:line="300" w:lineRule="exact"/>
              <w:jc w:val="center"/>
              <w:rPr>
                <w:rFonts w:asciiTheme="minorEastAsia" w:hAnsiTheme="minorEastAsia" w:eastAsiaTheme="minorEastAsia"/>
                <w:sz w:val="28"/>
                <w:szCs w:val="28"/>
              </w:rPr>
            </w:pPr>
            <w:r>
              <w:rPr>
                <w:rFonts w:asciiTheme="minorEastAsia" w:hAnsiTheme="minorEastAsia" w:eastAsiaTheme="minorEastAsia"/>
                <w:sz w:val="28"/>
                <w:szCs w:val="28"/>
              </w:rPr>
              <w:t>80%</w:t>
            </w:r>
          </w:p>
        </w:tc>
        <w:tc>
          <w:tcPr>
            <w:tcW w:w="737" w:type="dxa"/>
            <w:shd w:val="clear" w:color="auto" w:fill="auto"/>
            <w:vAlign w:val="center"/>
          </w:tcPr>
          <w:p>
            <w:pPr>
              <w:spacing w:line="300" w:lineRule="exact"/>
              <w:jc w:val="center"/>
              <w:rPr>
                <w:rFonts w:asciiTheme="minorEastAsia" w:hAnsiTheme="minorEastAsia" w:eastAsiaTheme="minorEastAsia"/>
                <w:sz w:val="28"/>
                <w:szCs w:val="28"/>
              </w:rPr>
            </w:pPr>
            <w:r>
              <w:rPr>
                <w:rFonts w:asciiTheme="minorEastAsia" w:hAnsiTheme="minorEastAsia" w:eastAsiaTheme="minorEastAsia"/>
                <w:sz w:val="28"/>
                <w:szCs w:val="28"/>
              </w:rPr>
              <w:t>60%</w:t>
            </w:r>
            <w:r>
              <w:rPr>
                <w:rFonts w:hint="eastAsia" w:cs="宋体" w:asciiTheme="minorEastAsia" w:hAnsiTheme="minorEastAsia" w:eastAsiaTheme="minorEastAsia"/>
                <w:sz w:val="28"/>
                <w:szCs w:val="28"/>
              </w:rPr>
              <w:t>以下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540" w:type="dxa"/>
            <w:shd w:val="clear" w:color="auto" w:fill="auto"/>
            <w:vAlign w:val="center"/>
          </w:tcPr>
          <w:p>
            <w:pPr>
              <w:spacing w:line="300" w:lineRule="exact"/>
              <w:ind w:firstLine="562" w:firstLineChars="200"/>
              <w:jc w:val="left"/>
              <w:rPr>
                <w:rFonts w:asciiTheme="minorEastAsia" w:hAnsiTheme="minorEastAsia" w:eastAsiaTheme="minorEastAsia"/>
                <w:b/>
                <w:sz w:val="28"/>
                <w:szCs w:val="28"/>
              </w:rPr>
            </w:pPr>
            <w:r>
              <w:rPr>
                <w:rFonts w:hint="eastAsia" w:cs="宋体" w:asciiTheme="minorEastAsia" w:hAnsiTheme="minorEastAsia" w:eastAsiaTheme="minorEastAsia"/>
                <w:b/>
                <w:sz w:val="28"/>
                <w:szCs w:val="28"/>
              </w:rPr>
              <w:t>其他工作</w:t>
            </w:r>
          </w:p>
        </w:tc>
        <w:tc>
          <w:tcPr>
            <w:tcW w:w="1077" w:type="dxa"/>
            <w:shd w:val="clear" w:color="auto" w:fill="auto"/>
            <w:vAlign w:val="center"/>
          </w:tcPr>
          <w:p>
            <w:pPr>
              <w:spacing w:line="300" w:lineRule="exact"/>
              <w:jc w:val="left"/>
              <w:rPr>
                <w:rFonts w:asciiTheme="minorEastAsia" w:hAnsiTheme="minorEastAsia" w:eastAsiaTheme="minorEastAsia"/>
                <w:sz w:val="28"/>
                <w:szCs w:val="28"/>
              </w:rPr>
            </w:pPr>
          </w:p>
        </w:tc>
        <w:tc>
          <w:tcPr>
            <w:tcW w:w="2976" w:type="dxa"/>
            <w:shd w:val="clear" w:color="auto" w:fill="auto"/>
            <w:vAlign w:val="center"/>
          </w:tcPr>
          <w:p>
            <w:pPr>
              <w:spacing w:line="300" w:lineRule="exact"/>
              <w:jc w:val="left"/>
              <w:rPr>
                <w:rFonts w:asciiTheme="minorEastAsia" w:hAnsiTheme="minorEastAsia" w:eastAsiaTheme="minorEastAsia"/>
                <w:sz w:val="28"/>
                <w:szCs w:val="28"/>
              </w:rPr>
            </w:pPr>
            <w:r>
              <w:rPr>
                <w:rFonts w:hint="eastAsia" w:cs="宋体" w:asciiTheme="minorEastAsia" w:hAnsiTheme="minorEastAsia" w:eastAsiaTheme="minorEastAsia"/>
                <w:sz w:val="28"/>
                <w:szCs w:val="28"/>
              </w:rPr>
              <w:t>贯彻落实党的路线、方针、政策和上级党委的决议；负责无极县政府交办的其他事项</w:t>
            </w:r>
          </w:p>
        </w:tc>
        <w:tc>
          <w:tcPr>
            <w:tcW w:w="2976" w:type="dxa"/>
            <w:shd w:val="clear" w:color="auto" w:fill="auto"/>
            <w:vAlign w:val="center"/>
          </w:tcPr>
          <w:p>
            <w:pPr>
              <w:spacing w:line="300" w:lineRule="exact"/>
              <w:jc w:val="left"/>
              <w:rPr>
                <w:rFonts w:asciiTheme="minorEastAsia" w:hAnsiTheme="minorEastAsia" w:eastAsiaTheme="minorEastAsia"/>
                <w:sz w:val="28"/>
                <w:szCs w:val="28"/>
              </w:rPr>
            </w:pPr>
            <w:r>
              <w:rPr>
                <w:rFonts w:hint="eastAsia" w:cs="宋体" w:asciiTheme="minorEastAsia" w:hAnsiTheme="minorEastAsia" w:eastAsiaTheme="minorEastAsia"/>
                <w:sz w:val="28"/>
                <w:szCs w:val="28"/>
              </w:rPr>
              <w:t>认真落实党的政策方针，做好上级党委、政府交办的其他事项</w:t>
            </w:r>
          </w:p>
        </w:tc>
        <w:tc>
          <w:tcPr>
            <w:tcW w:w="1417" w:type="dxa"/>
            <w:shd w:val="clear" w:color="auto" w:fill="auto"/>
            <w:vAlign w:val="center"/>
          </w:tcPr>
          <w:p>
            <w:pPr>
              <w:spacing w:line="300" w:lineRule="exact"/>
              <w:jc w:val="left"/>
              <w:rPr>
                <w:rFonts w:asciiTheme="minorEastAsia" w:hAnsiTheme="minorEastAsia" w:eastAsiaTheme="minorEastAsia"/>
                <w:sz w:val="28"/>
                <w:szCs w:val="28"/>
              </w:rPr>
            </w:pPr>
          </w:p>
        </w:tc>
        <w:tc>
          <w:tcPr>
            <w:tcW w:w="909" w:type="dxa"/>
            <w:shd w:val="clear" w:color="auto" w:fill="auto"/>
            <w:vAlign w:val="center"/>
          </w:tcPr>
          <w:p>
            <w:pPr>
              <w:spacing w:line="300" w:lineRule="exact"/>
              <w:jc w:val="center"/>
              <w:rPr>
                <w:rFonts w:asciiTheme="minorEastAsia" w:hAnsiTheme="minorEastAsia" w:eastAsiaTheme="minorEastAsia"/>
                <w:sz w:val="28"/>
                <w:szCs w:val="28"/>
              </w:rPr>
            </w:pPr>
          </w:p>
        </w:tc>
        <w:tc>
          <w:tcPr>
            <w:tcW w:w="565" w:type="dxa"/>
            <w:shd w:val="clear" w:color="auto" w:fill="auto"/>
            <w:vAlign w:val="center"/>
          </w:tcPr>
          <w:p>
            <w:pPr>
              <w:spacing w:line="300" w:lineRule="exact"/>
              <w:jc w:val="center"/>
              <w:rPr>
                <w:rFonts w:asciiTheme="minorEastAsia" w:hAnsiTheme="minorEastAsia" w:eastAsiaTheme="minorEastAsia"/>
                <w:sz w:val="28"/>
                <w:szCs w:val="28"/>
              </w:rPr>
            </w:pPr>
          </w:p>
        </w:tc>
        <w:tc>
          <w:tcPr>
            <w:tcW w:w="737" w:type="dxa"/>
            <w:shd w:val="clear" w:color="auto" w:fill="auto"/>
            <w:vAlign w:val="center"/>
          </w:tcPr>
          <w:p>
            <w:pPr>
              <w:spacing w:line="300" w:lineRule="exact"/>
              <w:jc w:val="center"/>
              <w:rPr>
                <w:rFonts w:asciiTheme="minorEastAsia" w:hAnsiTheme="minorEastAsia" w:eastAsiaTheme="minorEastAsia"/>
                <w:sz w:val="28"/>
                <w:szCs w:val="28"/>
              </w:rPr>
            </w:pPr>
          </w:p>
        </w:tc>
        <w:tc>
          <w:tcPr>
            <w:tcW w:w="737" w:type="dxa"/>
            <w:shd w:val="clear" w:color="auto" w:fill="auto"/>
            <w:vAlign w:val="center"/>
          </w:tcPr>
          <w:p>
            <w:pPr>
              <w:spacing w:line="300" w:lineRule="exact"/>
              <w:jc w:val="center"/>
              <w:rPr>
                <w:rFonts w:asciiTheme="minorEastAsia" w:hAnsiTheme="minorEastAsia" w:eastAsiaTheme="minorEastAsia"/>
                <w:sz w:val="28"/>
                <w:szCs w:val="28"/>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540" w:type="dxa"/>
            <w:shd w:val="clear" w:color="auto" w:fill="auto"/>
            <w:vAlign w:val="center"/>
          </w:tcPr>
          <w:p>
            <w:pPr>
              <w:spacing w:line="300" w:lineRule="exact"/>
              <w:ind w:firstLine="562" w:firstLineChars="200"/>
              <w:jc w:val="left"/>
              <w:rPr>
                <w:rFonts w:asciiTheme="minorEastAsia" w:hAnsiTheme="minorEastAsia" w:eastAsiaTheme="minorEastAsia"/>
                <w:b/>
                <w:sz w:val="28"/>
                <w:szCs w:val="28"/>
              </w:rPr>
            </w:pPr>
            <w:r>
              <w:rPr>
                <w:rFonts w:hint="eastAsia" w:cs="宋体" w:asciiTheme="minorEastAsia" w:hAnsiTheme="minorEastAsia" w:eastAsiaTheme="minorEastAsia"/>
                <w:b/>
                <w:sz w:val="28"/>
                <w:szCs w:val="28"/>
              </w:rPr>
              <w:t>其他工作</w:t>
            </w:r>
          </w:p>
        </w:tc>
        <w:tc>
          <w:tcPr>
            <w:tcW w:w="1077" w:type="dxa"/>
            <w:shd w:val="clear" w:color="auto" w:fill="auto"/>
            <w:vAlign w:val="center"/>
          </w:tcPr>
          <w:p>
            <w:pPr>
              <w:spacing w:line="300" w:lineRule="exact"/>
              <w:jc w:val="left"/>
              <w:rPr>
                <w:rFonts w:asciiTheme="minorEastAsia" w:hAnsiTheme="minorEastAsia" w:eastAsiaTheme="minorEastAsia"/>
                <w:sz w:val="28"/>
                <w:szCs w:val="28"/>
              </w:rPr>
            </w:pPr>
          </w:p>
        </w:tc>
        <w:tc>
          <w:tcPr>
            <w:tcW w:w="2976" w:type="dxa"/>
            <w:shd w:val="clear" w:color="auto" w:fill="auto"/>
            <w:vAlign w:val="center"/>
          </w:tcPr>
          <w:p>
            <w:pPr>
              <w:spacing w:line="300" w:lineRule="exact"/>
              <w:jc w:val="left"/>
              <w:rPr>
                <w:rFonts w:asciiTheme="minorEastAsia" w:hAnsiTheme="minorEastAsia" w:eastAsiaTheme="minorEastAsia"/>
                <w:sz w:val="28"/>
                <w:szCs w:val="28"/>
              </w:rPr>
            </w:pPr>
            <w:r>
              <w:rPr>
                <w:rFonts w:hint="eastAsia" w:cs="宋体" w:asciiTheme="minorEastAsia" w:hAnsiTheme="minorEastAsia" w:eastAsiaTheme="minorEastAsia"/>
                <w:sz w:val="28"/>
                <w:szCs w:val="28"/>
              </w:rPr>
              <w:t>贯彻落实党的路线、方针、政策和上级党委的决议；负责无极县政府交办的其他事项</w:t>
            </w:r>
          </w:p>
        </w:tc>
        <w:tc>
          <w:tcPr>
            <w:tcW w:w="2976" w:type="dxa"/>
            <w:shd w:val="clear" w:color="auto" w:fill="auto"/>
            <w:vAlign w:val="center"/>
          </w:tcPr>
          <w:p>
            <w:pPr>
              <w:spacing w:line="300" w:lineRule="exact"/>
              <w:jc w:val="left"/>
              <w:rPr>
                <w:rFonts w:asciiTheme="minorEastAsia" w:hAnsiTheme="minorEastAsia" w:eastAsiaTheme="minorEastAsia"/>
                <w:sz w:val="28"/>
                <w:szCs w:val="28"/>
              </w:rPr>
            </w:pPr>
            <w:r>
              <w:rPr>
                <w:rFonts w:hint="eastAsia" w:cs="宋体" w:asciiTheme="minorEastAsia" w:hAnsiTheme="minorEastAsia" w:eastAsiaTheme="minorEastAsia"/>
                <w:sz w:val="28"/>
                <w:szCs w:val="28"/>
              </w:rPr>
              <w:t>认真落实党的政策方针，做好上级党委、政府交办的其他事项</w:t>
            </w:r>
          </w:p>
        </w:tc>
        <w:tc>
          <w:tcPr>
            <w:tcW w:w="1417" w:type="dxa"/>
            <w:shd w:val="clear" w:color="auto" w:fill="auto"/>
            <w:vAlign w:val="center"/>
          </w:tcPr>
          <w:p>
            <w:pPr>
              <w:spacing w:line="300" w:lineRule="exact"/>
              <w:jc w:val="left"/>
              <w:rPr>
                <w:rFonts w:asciiTheme="minorEastAsia" w:hAnsiTheme="minorEastAsia" w:eastAsiaTheme="minorEastAsia"/>
                <w:sz w:val="28"/>
                <w:szCs w:val="28"/>
              </w:rPr>
            </w:pPr>
            <w:r>
              <w:rPr>
                <w:rFonts w:hint="eastAsia" w:cs="宋体" w:asciiTheme="minorEastAsia" w:hAnsiTheme="minorEastAsia" w:eastAsiaTheme="minorEastAsia"/>
                <w:sz w:val="28"/>
                <w:szCs w:val="28"/>
              </w:rPr>
              <w:t>上级交办工作完成率</w:t>
            </w:r>
          </w:p>
        </w:tc>
        <w:tc>
          <w:tcPr>
            <w:tcW w:w="909" w:type="dxa"/>
            <w:shd w:val="clear" w:color="auto" w:fill="auto"/>
            <w:vAlign w:val="center"/>
          </w:tcPr>
          <w:p>
            <w:pPr>
              <w:spacing w:line="300" w:lineRule="exact"/>
              <w:jc w:val="center"/>
              <w:rPr>
                <w:rFonts w:asciiTheme="minorEastAsia" w:hAnsiTheme="minorEastAsia" w:eastAsiaTheme="minorEastAsia"/>
                <w:sz w:val="28"/>
                <w:szCs w:val="28"/>
              </w:rPr>
            </w:pPr>
            <w:r>
              <w:rPr>
                <w:rFonts w:asciiTheme="minorEastAsia" w:hAnsiTheme="minorEastAsia" w:eastAsiaTheme="minorEastAsia"/>
                <w:sz w:val="28"/>
                <w:szCs w:val="28"/>
              </w:rPr>
              <w:t>100%</w:t>
            </w:r>
          </w:p>
        </w:tc>
        <w:tc>
          <w:tcPr>
            <w:tcW w:w="565" w:type="dxa"/>
            <w:shd w:val="clear" w:color="auto" w:fill="auto"/>
            <w:vAlign w:val="center"/>
          </w:tcPr>
          <w:p>
            <w:pPr>
              <w:spacing w:line="300" w:lineRule="exact"/>
              <w:jc w:val="center"/>
              <w:rPr>
                <w:rFonts w:asciiTheme="minorEastAsia" w:hAnsiTheme="minorEastAsia" w:eastAsiaTheme="minorEastAsia"/>
                <w:sz w:val="28"/>
                <w:szCs w:val="28"/>
              </w:rPr>
            </w:pPr>
            <w:r>
              <w:rPr>
                <w:rFonts w:asciiTheme="minorEastAsia" w:hAnsiTheme="minorEastAsia" w:eastAsiaTheme="minorEastAsia"/>
                <w:sz w:val="28"/>
                <w:szCs w:val="28"/>
              </w:rPr>
              <w:t>95%</w:t>
            </w:r>
          </w:p>
        </w:tc>
        <w:tc>
          <w:tcPr>
            <w:tcW w:w="737" w:type="dxa"/>
            <w:shd w:val="clear" w:color="auto" w:fill="auto"/>
            <w:vAlign w:val="center"/>
          </w:tcPr>
          <w:p>
            <w:pPr>
              <w:spacing w:line="300" w:lineRule="exact"/>
              <w:jc w:val="center"/>
              <w:rPr>
                <w:rFonts w:asciiTheme="minorEastAsia" w:hAnsiTheme="minorEastAsia" w:eastAsiaTheme="minorEastAsia"/>
                <w:sz w:val="28"/>
                <w:szCs w:val="28"/>
              </w:rPr>
            </w:pPr>
            <w:r>
              <w:rPr>
                <w:rFonts w:asciiTheme="minorEastAsia" w:hAnsiTheme="minorEastAsia" w:eastAsiaTheme="minorEastAsia"/>
                <w:sz w:val="28"/>
                <w:szCs w:val="28"/>
              </w:rPr>
              <w:t>90%</w:t>
            </w:r>
          </w:p>
        </w:tc>
        <w:tc>
          <w:tcPr>
            <w:tcW w:w="737" w:type="dxa"/>
            <w:shd w:val="clear" w:color="auto" w:fill="auto"/>
            <w:vAlign w:val="center"/>
          </w:tcPr>
          <w:p>
            <w:pPr>
              <w:spacing w:line="300" w:lineRule="exact"/>
              <w:jc w:val="center"/>
              <w:rPr>
                <w:rFonts w:asciiTheme="minorEastAsia" w:hAnsiTheme="minorEastAsia" w:eastAsiaTheme="minorEastAsia"/>
                <w:sz w:val="28"/>
                <w:szCs w:val="28"/>
              </w:rPr>
            </w:pPr>
            <w:r>
              <w:rPr>
                <w:rFonts w:asciiTheme="minorEastAsia" w:hAnsiTheme="minorEastAsia" w:eastAsiaTheme="minorEastAsia"/>
                <w:sz w:val="28"/>
                <w:szCs w:val="28"/>
              </w:rPr>
              <w:t>80%</w:t>
            </w:r>
          </w:p>
        </w:tc>
      </w:tr>
    </w:tbl>
    <w:p>
      <w:pPr>
        <w:ind w:firstLine="645"/>
        <w:jc w:val="center"/>
        <w:rPr>
          <w:rFonts w:ascii="仿宋" w:hAnsi="仿宋" w:eastAsia="仿宋"/>
          <w:sz w:val="32"/>
          <w:szCs w:val="32"/>
        </w:rPr>
      </w:pPr>
    </w:p>
    <w:p>
      <w:pPr>
        <w:autoSpaceDE w:val="0"/>
        <w:autoSpaceDN w:val="0"/>
        <w:adjustRightInd w:val="0"/>
        <w:ind w:firstLine="640" w:firstLineChars="200"/>
        <w:jc w:val="left"/>
        <w:rPr>
          <w:rFonts w:ascii="黑体" w:hAnsi="黑体" w:eastAsia="黑体" w:cs="仿宋_GB2312"/>
          <w:sz w:val="32"/>
          <w:szCs w:val="32"/>
        </w:rPr>
      </w:pPr>
      <w:r>
        <w:rPr>
          <w:rFonts w:hint="eastAsia" w:ascii="黑体" w:hAnsi="黑体" w:eastAsia="黑体" w:cs="仿宋_GB2312"/>
          <w:sz w:val="32"/>
          <w:szCs w:val="32"/>
        </w:rPr>
        <w:t>六、政府采购预算情况</w:t>
      </w:r>
    </w:p>
    <w:p>
      <w:pPr>
        <w:autoSpaceDE w:val="0"/>
        <w:autoSpaceDN w:val="0"/>
        <w:adjustRightInd w:val="0"/>
        <w:ind w:firstLine="600" w:firstLineChars="200"/>
        <w:jc w:val="left"/>
        <w:rPr>
          <w:rFonts w:ascii="黑体" w:hAnsi="黑体" w:eastAsia="黑体" w:cs="仿宋_GB2312"/>
          <w:sz w:val="32"/>
          <w:szCs w:val="32"/>
        </w:rPr>
      </w:pPr>
      <w:r>
        <w:rPr>
          <w:rFonts w:hint="eastAsia" w:ascii="仿宋_GB2312" w:eastAsia="仿宋_GB2312"/>
          <w:sz w:val="30"/>
          <w:szCs w:val="30"/>
        </w:rPr>
        <w:t>2017年我部门安排政府采购预算0万元。</w:t>
      </w:r>
    </w:p>
    <w:p>
      <w:pPr>
        <w:autoSpaceDE w:val="0"/>
        <w:autoSpaceDN w:val="0"/>
        <w:adjustRightInd w:val="0"/>
        <w:ind w:firstLine="640" w:firstLineChars="200"/>
        <w:jc w:val="left"/>
        <w:rPr>
          <w:rFonts w:ascii="黑体" w:hAnsi="黑体" w:eastAsia="黑体" w:cs="仿宋_GB2312"/>
          <w:sz w:val="32"/>
          <w:szCs w:val="32"/>
        </w:rPr>
      </w:pPr>
      <w:r>
        <w:rPr>
          <w:rFonts w:hint="eastAsia" w:ascii="黑体" w:hAnsi="黑体" w:eastAsia="黑体" w:cs="仿宋_GB2312"/>
          <w:sz w:val="32"/>
          <w:szCs w:val="32"/>
        </w:rPr>
        <w:t>七、国有资产信息</w:t>
      </w:r>
    </w:p>
    <w:p>
      <w:pPr>
        <w:ind w:firstLine="688" w:firstLineChars="215"/>
        <w:rPr>
          <w:rFonts w:ascii="仿宋" w:hAnsi="仿宋" w:eastAsia="仿宋" w:cs="仿宋"/>
          <w:sz w:val="32"/>
          <w:szCs w:val="32"/>
        </w:rPr>
      </w:pPr>
      <w:r>
        <w:rPr>
          <w:rFonts w:hint="eastAsia" w:ascii="仿宋" w:hAnsi="仿宋" w:eastAsia="仿宋" w:cs="仿宋"/>
          <w:sz w:val="32"/>
          <w:szCs w:val="32"/>
        </w:rPr>
        <w:t>无极县经济开发区上年末固定资产金额为53万元（详见下表）。本年度拟购置固定资产金额为0万元。</w:t>
      </w:r>
    </w:p>
    <w:p>
      <w:pPr>
        <w:autoSpaceDE w:val="0"/>
        <w:autoSpaceDN w:val="0"/>
        <w:adjustRightInd w:val="0"/>
        <w:ind w:left="420" w:leftChars="200"/>
        <w:jc w:val="center"/>
        <w:rPr>
          <w:rFonts w:ascii="仿宋" w:hAnsi="仿宋" w:eastAsia="仿宋"/>
          <w:sz w:val="32"/>
        </w:rPr>
      </w:pPr>
      <w:r>
        <w:rPr>
          <w:rFonts w:hint="eastAsia" w:ascii="仿宋" w:hAnsi="仿宋" w:eastAsia="仿宋"/>
          <w:sz w:val="32"/>
        </w:rPr>
        <w:t>无极县经济开发区固定资产占用情况表</w:t>
      </w:r>
    </w:p>
    <w:tbl>
      <w:tblPr>
        <w:tblStyle w:val="4"/>
        <w:tblW w:w="0" w:type="auto"/>
        <w:tblInd w:w="93" w:type="dxa"/>
        <w:tblLayout w:type="fixed"/>
        <w:tblCellMar>
          <w:top w:w="0" w:type="dxa"/>
          <w:left w:w="108" w:type="dxa"/>
          <w:bottom w:w="0" w:type="dxa"/>
          <w:right w:w="108" w:type="dxa"/>
        </w:tblCellMar>
      </w:tblPr>
      <w:tblGrid>
        <w:gridCol w:w="5224"/>
        <w:gridCol w:w="3155"/>
        <w:gridCol w:w="5103"/>
      </w:tblGrid>
      <w:tr>
        <w:tblPrEx>
          <w:tblCellMar>
            <w:top w:w="0" w:type="dxa"/>
            <w:left w:w="108" w:type="dxa"/>
            <w:bottom w:w="0" w:type="dxa"/>
            <w:right w:w="108" w:type="dxa"/>
          </w:tblCellMar>
        </w:tblPrEx>
        <w:trPr>
          <w:trHeight w:val="510" w:hRule="atLeast"/>
        </w:trPr>
        <w:tc>
          <w:tcPr>
            <w:tcW w:w="8379" w:type="dxa"/>
            <w:gridSpan w:val="2"/>
            <w:tcBorders>
              <w:top w:val="nil"/>
              <w:left w:val="nil"/>
              <w:bottom w:val="nil"/>
              <w:right w:val="nil"/>
            </w:tcBorders>
            <w:vAlign w:val="center"/>
          </w:tcPr>
          <w:p>
            <w:pPr>
              <w:widowControl/>
              <w:jc w:val="left"/>
              <w:rPr>
                <w:rFonts w:cs="宋体" w:asciiTheme="minorEastAsia" w:hAnsiTheme="minorEastAsia" w:eastAsiaTheme="minorEastAsia"/>
                <w:kern w:val="0"/>
                <w:sz w:val="28"/>
                <w:szCs w:val="28"/>
              </w:rPr>
            </w:pPr>
            <w:r>
              <w:rPr>
                <w:rFonts w:hint="eastAsia" w:cs="宋体" w:asciiTheme="minorEastAsia" w:hAnsiTheme="minorEastAsia" w:eastAsiaTheme="minorEastAsia"/>
                <w:kern w:val="0"/>
                <w:sz w:val="28"/>
                <w:szCs w:val="28"/>
              </w:rPr>
              <w:t xml:space="preserve">编制部门：无极县经济开发区 </w:t>
            </w:r>
          </w:p>
        </w:tc>
        <w:tc>
          <w:tcPr>
            <w:tcW w:w="5103" w:type="dxa"/>
            <w:tcBorders>
              <w:top w:val="nil"/>
              <w:left w:val="nil"/>
              <w:bottom w:val="nil"/>
              <w:right w:val="nil"/>
            </w:tcBorders>
            <w:vAlign w:val="center"/>
          </w:tcPr>
          <w:p>
            <w:pPr>
              <w:widowControl/>
              <w:ind w:firstLine="560" w:firstLineChars="200"/>
              <w:jc w:val="left"/>
              <w:rPr>
                <w:rFonts w:cs="宋体" w:asciiTheme="minorEastAsia" w:hAnsiTheme="minorEastAsia" w:eastAsiaTheme="minorEastAsia"/>
                <w:kern w:val="0"/>
                <w:sz w:val="28"/>
                <w:szCs w:val="28"/>
              </w:rPr>
            </w:pPr>
            <w:r>
              <w:rPr>
                <w:rFonts w:hint="eastAsia" w:cs="宋体" w:asciiTheme="minorEastAsia" w:hAnsiTheme="minorEastAsia" w:eastAsiaTheme="minorEastAsia"/>
                <w:kern w:val="0"/>
                <w:sz w:val="28"/>
                <w:szCs w:val="28"/>
              </w:rPr>
              <w:t xml:space="preserve">截止时间：2016年12月31日  </w:t>
            </w:r>
          </w:p>
        </w:tc>
      </w:tr>
      <w:tr>
        <w:tblPrEx>
          <w:tblCellMar>
            <w:top w:w="0" w:type="dxa"/>
            <w:left w:w="108" w:type="dxa"/>
            <w:bottom w:w="0" w:type="dxa"/>
            <w:right w:w="108" w:type="dxa"/>
          </w:tblCellMar>
        </w:tblPrEx>
        <w:trPr>
          <w:trHeight w:val="645" w:hRule="atLeast"/>
        </w:trPr>
        <w:tc>
          <w:tcPr>
            <w:tcW w:w="5224" w:type="dxa"/>
            <w:tcBorders>
              <w:top w:val="single" w:color="000000" w:sz="4" w:space="0"/>
              <w:left w:val="single" w:color="000000" w:sz="4" w:space="0"/>
              <w:bottom w:val="single" w:color="000000" w:sz="4" w:space="0"/>
              <w:right w:val="single" w:color="000000" w:sz="4" w:space="0"/>
            </w:tcBorders>
            <w:vAlign w:val="center"/>
          </w:tcPr>
          <w:p>
            <w:pPr>
              <w:widowControl/>
              <w:jc w:val="center"/>
              <w:rPr>
                <w:rFonts w:cs="宋体" w:asciiTheme="minorEastAsia" w:hAnsiTheme="minorEastAsia" w:eastAsiaTheme="minorEastAsia"/>
                <w:b/>
                <w:bCs/>
                <w:kern w:val="0"/>
                <w:sz w:val="28"/>
                <w:szCs w:val="28"/>
              </w:rPr>
            </w:pPr>
            <w:r>
              <w:rPr>
                <w:rFonts w:hint="eastAsia" w:cs="宋体" w:asciiTheme="minorEastAsia" w:hAnsiTheme="minorEastAsia" w:eastAsiaTheme="minorEastAsia"/>
                <w:b/>
                <w:bCs/>
                <w:kern w:val="0"/>
                <w:sz w:val="28"/>
                <w:szCs w:val="28"/>
              </w:rPr>
              <w:t>项   目</w:t>
            </w:r>
          </w:p>
        </w:tc>
        <w:tc>
          <w:tcPr>
            <w:tcW w:w="3155" w:type="dxa"/>
            <w:tcBorders>
              <w:top w:val="single" w:color="000000" w:sz="4" w:space="0"/>
              <w:left w:val="nil"/>
              <w:bottom w:val="single" w:color="000000" w:sz="4" w:space="0"/>
              <w:right w:val="single" w:color="000000" w:sz="4" w:space="0"/>
            </w:tcBorders>
            <w:vAlign w:val="center"/>
          </w:tcPr>
          <w:p>
            <w:pPr>
              <w:widowControl/>
              <w:jc w:val="center"/>
              <w:rPr>
                <w:rFonts w:cs="宋体" w:asciiTheme="minorEastAsia" w:hAnsiTheme="minorEastAsia" w:eastAsiaTheme="minorEastAsia"/>
                <w:b/>
                <w:bCs/>
                <w:kern w:val="0"/>
                <w:sz w:val="28"/>
                <w:szCs w:val="28"/>
              </w:rPr>
            </w:pPr>
            <w:r>
              <w:rPr>
                <w:rFonts w:hint="eastAsia" w:cs="宋体" w:asciiTheme="minorEastAsia" w:hAnsiTheme="minorEastAsia" w:eastAsiaTheme="minorEastAsia"/>
                <w:b/>
                <w:bCs/>
                <w:kern w:val="0"/>
                <w:sz w:val="28"/>
                <w:szCs w:val="28"/>
              </w:rPr>
              <w:t>数量</w:t>
            </w:r>
          </w:p>
        </w:tc>
        <w:tc>
          <w:tcPr>
            <w:tcW w:w="5103" w:type="dxa"/>
            <w:tcBorders>
              <w:top w:val="single" w:color="000000" w:sz="4" w:space="0"/>
              <w:left w:val="nil"/>
              <w:bottom w:val="single" w:color="000000" w:sz="4" w:space="0"/>
              <w:right w:val="single" w:color="000000" w:sz="4" w:space="0"/>
            </w:tcBorders>
            <w:vAlign w:val="center"/>
          </w:tcPr>
          <w:p>
            <w:pPr>
              <w:widowControl/>
              <w:jc w:val="center"/>
              <w:rPr>
                <w:rFonts w:cs="宋体" w:asciiTheme="minorEastAsia" w:hAnsiTheme="minorEastAsia" w:eastAsiaTheme="minorEastAsia"/>
                <w:b/>
                <w:bCs/>
                <w:kern w:val="0"/>
                <w:sz w:val="28"/>
                <w:szCs w:val="28"/>
              </w:rPr>
            </w:pPr>
            <w:r>
              <w:rPr>
                <w:rFonts w:hint="eastAsia" w:cs="宋体" w:asciiTheme="minorEastAsia" w:hAnsiTheme="minorEastAsia" w:eastAsiaTheme="minorEastAsia"/>
                <w:b/>
                <w:bCs/>
                <w:kern w:val="0"/>
                <w:sz w:val="28"/>
                <w:szCs w:val="28"/>
              </w:rPr>
              <w:t>价值（金额单位：万元）</w:t>
            </w:r>
          </w:p>
        </w:tc>
      </w:tr>
      <w:tr>
        <w:tblPrEx>
          <w:tblCellMar>
            <w:top w:w="0" w:type="dxa"/>
            <w:left w:w="108" w:type="dxa"/>
            <w:bottom w:w="0" w:type="dxa"/>
            <w:right w:w="108" w:type="dxa"/>
          </w:tblCellMar>
        </w:tblPrEx>
        <w:trPr>
          <w:trHeight w:val="552" w:hRule="atLeast"/>
        </w:trPr>
        <w:tc>
          <w:tcPr>
            <w:tcW w:w="5224" w:type="dxa"/>
            <w:tcBorders>
              <w:top w:val="nil"/>
              <w:left w:val="single" w:color="000000" w:sz="4" w:space="0"/>
              <w:bottom w:val="single" w:color="000000" w:sz="4" w:space="0"/>
              <w:right w:val="single" w:color="000000" w:sz="4" w:space="0"/>
            </w:tcBorders>
            <w:vAlign w:val="center"/>
          </w:tcPr>
          <w:p>
            <w:pPr>
              <w:widowControl/>
              <w:jc w:val="center"/>
              <w:rPr>
                <w:rFonts w:cs="宋体" w:asciiTheme="minorEastAsia" w:hAnsiTheme="minorEastAsia" w:eastAsiaTheme="minorEastAsia"/>
                <w:kern w:val="0"/>
                <w:sz w:val="28"/>
                <w:szCs w:val="28"/>
              </w:rPr>
            </w:pPr>
            <w:r>
              <w:rPr>
                <w:rFonts w:hint="eastAsia" w:cs="宋体" w:asciiTheme="minorEastAsia" w:hAnsiTheme="minorEastAsia" w:eastAsiaTheme="minorEastAsia"/>
                <w:kern w:val="0"/>
                <w:sz w:val="28"/>
                <w:szCs w:val="28"/>
              </w:rPr>
              <w:t>资产总额</w:t>
            </w:r>
          </w:p>
        </w:tc>
        <w:tc>
          <w:tcPr>
            <w:tcW w:w="3155" w:type="dxa"/>
            <w:tcBorders>
              <w:top w:val="nil"/>
              <w:left w:val="nil"/>
              <w:bottom w:val="single" w:color="000000" w:sz="4" w:space="0"/>
              <w:right w:val="single" w:color="000000" w:sz="4" w:space="0"/>
            </w:tcBorders>
            <w:vAlign w:val="center"/>
          </w:tcPr>
          <w:p>
            <w:pPr>
              <w:widowControl/>
              <w:jc w:val="center"/>
              <w:rPr>
                <w:rFonts w:cs="宋体" w:asciiTheme="minorEastAsia" w:hAnsiTheme="minorEastAsia" w:eastAsiaTheme="minorEastAsia"/>
                <w:kern w:val="0"/>
                <w:sz w:val="28"/>
                <w:szCs w:val="28"/>
              </w:rPr>
            </w:pPr>
            <w:r>
              <w:rPr>
                <w:rFonts w:hint="eastAsia" w:cs="宋体" w:asciiTheme="minorEastAsia" w:hAnsiTheme="minorEastAsia" w:eastAsiaTheme="minorEastAsia"/>
                <w:kern w:val="0"/>
                <w:sz w:val="28"/>
                <w:szCs w:val="28"/>
              </w:rPr>
              <w:t>——</w:t>
            </w:r>
          </w:p>
        </w:tc>
        <w:tc>
          <w:tcPr>
            <w:tcW w:w="5103" w:type="dxa"/>
            <w:tcBorders>
              <w:top w:val="nil"/>
              <w:left w:val="nil"/>
              <w:bottom w:val="single" w:color="000000" w:sz="4" w:space="0"/>
              <w:right w:val="single" w:color="000000" w:sz="4" w:space="0"/>
            </w:tcBorders>
            <w:vAlign w:val="center"/>
          </w:tcPr>
          <w:p>
            <w:pPr>
              <w:widowControl/>
              <w:jc w:val="center"/>
              <w:rPr>
                <w:rFonts w:cs="宋体" w:asciiTheme="minorEastAsia" w:hAnsiTheme="minorEastAsia" w:eastAsiaTheme="minorEastAsia"/>
                <w:kern w:val="0"/>
                <w:sz w:val="28"/>
                <w:szCs w:val="28"/>
              </w:rPr>
            </w:pPr>
            <w:r>
              <w:rPr>
                <w:rFonts w:hint="eastAsia" w:cs="宋体" w:asciiTheme="minorEastAsia" w:hAnsiTheme="minorEastAsia" w:eastAsiaTheme="minorEastAsia"/>
                <w:kern w:val="0"/>
                <w:sz w:val="28"/>
                <w:szCs w:val="28"/>
              </w:rPr>
              <w:t>53</w:t>
            </w:r>
          </w:p>
        </w:tc>
      </w:tr>
      <w:tr>
        <w:tblPrEx>
          <w:tblCellMar>
            <w:top w:w="0" w:type="dxa"/>
            <w:left w:w="108" w:type="dxa"/>
            <w:bottom w:w="0" w:type="dxa"/>
            <w:right w:w="108" w:type="dxa"/>
          </w:tblCellMar>
        </w:tblPrEx>
        <w:trPr>
          <w:trHeight w:val="476" w:hRule="atLeast"/>
        </w:trPr>
        <w:tc>
          <w:tcPr>
            <w:tcW w:w="5224" w:type="dxa"/>
            <w:tcBorders>
              <w:top w:val="nil"/>
              <w:left w:val="single" w:color="000000" w:sz="4" w:space="0"/>
              <w:bottom w:val="single" w:color="000000" w:sz="4" w:space="0"/>
              <w:right w:val="single" w:color="000000" w:sz="4" w:space="0"/>
            </w:tcBorders>
            <w:vAlign w:val="center"/>
          </w:tcPr>
          <w:p>
            <w:pPr>
              <w:widowControl/>
              <w:jc w:val="left"/>
              <w:rPr>
                <w:rFonts w:cs="宋体" w:asciiTheme="minorEastAsia" w:hAnsiTheme="minorEastAsia" w:eastAsiaTheme="minorEastAsia"/>
                <w:kern w:val="0"/>
                <w:sz w:val="28"/>
                <w:szCs w:val="28"/>
              </w:rPr>
            </w:pPr>
            <w:r>
              <w:rPr>
                <w:rFonts w:hint="eastAsia" w:cs="宋体" w:asciiTheme="minorEastAsia" w:hAnsiTheme="minorEastAsia" w:eastAsiaTheme="minorEastAsia"/>
                <w:kern w:val="0"/>
                <w:sz w:val="28"/>
                <w:szCs w:val="28"/>
              </w:rPr>
              <w:t>1、房屋（平方米）</w:t>
            </w:r>
          </w:p>
        </w:tc>
        <w:tc>
          <w:tcPr>
            <w:tcW w:w="3155" w:type="dxa"/>
            <w:tcBorders>
              <w:top w:val="nil"/>
              <w:left w:val="nil"/>
              <w:bottom w:val="single" w:color="000000" w:sz="4" w:space="0"/>
              <w:right w:val="single" w:color="000000" w:sz="4" w:space="0"/>
            </w:tcBorders>
            <w:vAlign w:val="center"/>
          </w:tcPr>
          <w:p>
            <w:pPr>
              <w:widowControl/>
              <w:jc w:val="center"/>
              <w:rPr>
                <w:rFonts w:cs="宋体" w:asciiTheme="minorEastAsia" w:hAnsiTheme="minorEastAsia" w:eastAsiaTheme="minorEastAsia"/>
                <w:kern w:val="0"/>
                <w:sz w:val="28"/>
                <w:szCs w:val="28"/>
              </w:rPr>
            </w:pPr>
            <w:r>
              <w:rPr>
                <w:rFonts w:hint="eastAsia" w:cs="宋体" w:asciiTheme="minorEastAsia" w:hAnsiTheme="minorEastAsia" w:eastAsiaTheme="minorEastAsia"/>
                <w:kern w:val="0"/>
                <w:sz w:val="28"/>
                <w:szCs w:val="28"/>
              </w:rPr>
              <w:t>——</w:t>
            </w:r>
          </w:p>
        </w:tc>
        <w:tc>
          <w:tcPr>
            <w:tcW w:w="5103" w:type="dxa"/>
            <w:tcBorders>
              <w:top w:val="nil"/>
              <w:left w:val="nil"/>
              <w:bottom w:val="single" w:color="000000" w:sz="4" w:space="0"/>
              <w:right w:val="single" w:color="000000" w:sz="4" w:space="0"/>
            </w:tcBorders>
            <w:vAlign w:val="center"/>
          </w:tcPr>
          <w:p>
            <w:pPr>
              <w:widowControl/>
              <w:jc w:val="center"/>
              <w:rPr>
                <w:rFonts w:cs="宋体" w:asciiTheme="minorEastAsia" w:hAnsiTheme="minorEastAsia" w:eastAsiaTheme="minorEastAsia"/>
                <w:kern w:val="0"/>
                <w:sz w:val="28"/>
                <w:szCs w:val="28"/>
              </w:rPr>
            </w:pPr>
          </w:p>
        </w:tc>
      </w:tr>
      <w:tr>
        <w:tblPrEx>
          <w:tblCellMar>
            <w:top w:w="0" w:type="dxa"/>
            <w:left w:w="108" w:type="dxa"/>
            <w:bottom w:w="0" w:type="dxa"/>
            <w:right w:w="108" w:type="dxa"/>
          </w:tblCellMar>
        </w:tblPrEx>
        <w:trPr>
          <w:trHeight w:val="645" w:hRule="atLeast"/>
        </w:trPr>
        <w:tc>
          <w:tcPr>
            <w:tcW w:w="5224" w:type="dxa"/>
            <w:tcBorders>
              <w:top w:val="nil"/>
              <w:left w:val="single" w:color="000000" w:sz="4" w:space="0"/>
              <w:bottom w:val="single" w:color="000000" w:sz="4" w:space="0"/>
              <w:right w:val="single" w:color="000000" w:sz="4" w:space="0"/>
            </w:tcBorders>
            <w:vAlign w:val="center"/>
          </w:tcPr>
          <w:p>
            <w:pPr>
              <w:widowControl/>
              <w:jc w:val="left"/>
              <w:rPr>
                <w:rFonts w:cs="宋体" w:asciiTheme="minorEastAsia" w:hAnsiTheme="minorEastAsia" w:eastAsiaTheme="minorEastAsia"/>
                <w:kern w:val="0"/>
                <w:sz w:val="28"/>
                <w:szCs w:val="28"/>
              </w:rPr>
            </w:pPr>
            <w:r>
              <w:rPr>
                <w:rFonts w:hint="eastAsia" w:cs="宋体" w:asciiTheme="minorEastAsia" w:hAnsiTheme="minorEastAsia" w:eastAsiaTheme="minorEastAsia"/>
                <w:kern w:val="0"/>
                <w:sz w:val="28"/>
                <w:szCs w:val="28"/>
              </w:rPr>
              <w:t xml:space="preserve">  其中：办公用房（平方米）</w:t>
            </w:r>
          </w:p>
        </w:tc>
        <w:tc>
          <w:tcPr>
            <w:tcW w:w="3155" w:type="dxa"/>
            <w:tcBorders>
              <w:top w:val="nil"/>
              <w:left w:val="nil"/>
              <w:bottom w:val="single" w:color="000000" w:sz="4" w:space="0"/>
              <w:right w:val="single" w:color="000000" w:sz="4" w:space="0"/>
            </w:tcBorders>
            <w:vAlign w:val="center"/>
          </w:tcPr>
          <w:p>
            <w:pPr>
              <w:widowControl/>
              <w:jc w:val="center"/>
              <w:rPr>
                <w:rFonts w:cs="宋体" w:asciiTheme="minorEastAsia" w:hAnsiTheme="minorEastAsia" w:eastAsiaTheme="minorEastAsia"/>
                <w:kern w:val="0"/>
                <w:sz w:val="28"/>
                <w:szCs w:val="28"/>
              </w:rPr>
            </w:pPr>
            <w:r>
              <w:rPr>
                <w:rFonts w:hint="eastAsia" w:cs="宋体" w:asciiTheme="minorEastAsia" w:hAnsiTheme="minorEastAsia" w:eastAsiaTheme="minorEastAsia"/>
                <w:kern w:val="0"/>
                <w:sz w:val="28"/>
                <w:szCs w:val="28"/>
              </w:rPr>
              <w:t>——</w:t>
            </w:r>
          </w:p>
        </w:tc>
        <w:tc>
          <w:tcPr>
            <w:tcW w:w="5103" w:type="dxa"/>
            <w:tcBorders>
              <w:top w:val="nil"/>
              <w:left w:val="nil"/>
              <w:bottom w:val="single" w:color="000000" w:sz="4" w:space="0"/>
              <w:right w:val="single" w:color="000000" w:sz="4" w:space="0"/>
            </w:tcBorders>
            <w:vAlign w:val="center"/>
          </w:tcPr>
          <w:p>
            <w:pPr>
              <w:widowControl/>
              <w:jc w:val="center"/>
              <w:rPr>
                <w:rFonts w:cs="宋体" w:asciiTheme="minorEastAsia" w:hAnsiTheme="minorEastAsia" w:eastAsiaTheme="minorEastAsia"/>
                <w:kern w:val="0"/>
                <w:sz w:val="28"/>
                <w:szCs w:val="28"/>
              </w:rPr>
            </w:pPr>
          </w:p>
        </w:tc>
      </w:tr>
      <w:tr>
        <w:tblPrEx>
          <w:tblCellMar>
            <w:top w:w="0" w:type="dxa"/>
            <w:left w:w="108" w:type="dxa"/>
            <w:bottom w:w="0" w:type="dxa"/>
            <w:right w:w="108" w:type="dxa"/>
          </w:tblCellMar>
        </w:tblPrEx>
        <w:trPr>
          <w:trHeight w:val="645" w:hRule="atLeast"/>
        </w:trPr>
        <w:tc>
          <w:tcPr>
            <w:tcW w:w="5224" w:type="dxa"/>
            <w:tcBorders>
              <w:top w:val="nil"/>
              <w:left w:val="single" w:color="000000" w:sz="4" w:space="0"/>
              <w:bottom w:val="single" w:color="000000" w:sz="4" w:space="0"/>
              <w:right w:val="single" w:color="000000" w:sz="4" w:space="0"/>
            </w:tcBorders>
            <w:vAlign w:val="center"/>
          </w:tcPr>
          <w:p>
            <w:pPr>
              <w:widowControl/>
              <w:jc w:val="left"/>
              <w:rPr>
                <w:rFonts w:cs="宋体" w:asciiTheme="minorEastAsia" w:hAnsiTheme="minorEastAsia" w:eastAsiaTheme="minorEastAsia"/>
                <w:kern w:val="0"/>
                <w:sz w:val="28"/>
                <w:szCs w:val="28"/>
              </w:rPr>
            </w:pPr>
            <w:r>
              <w:rPr>
                <w:rFonts w:hint="eastAsia" w:cs="宋体" w:asciiTheme="minorEastAsia" w:hAnsiTheme="minorEastAsia" w:eastAsiaTheme="minorEastAsia"/>
                <w:kern w:val="0"/>
                <w:sz w:val="28"/>
                <w:szCs w:val="28"/>
              </w:rPr>
              <w:t>2、车辆（台、辆）</w:t>
            </w:r>
          </w:p>
        </w:tc>
        <w:tc>
          <w:tcPr>
            <w:tcW w:w="3155" w:type="dxa"/>
            <w:tcBorders>
              <w:top w:val="nil"/>
              <w:left w:val="nil"/>
              <w:bottom w:val="single" w:color="000000" w:sz="4" w:space="0"/>
              <w:right w:val="single" w:color="000000" w:sz="4" w:space="0"/>
            </w:tcBorders>
            <w:vAlign w:val="center"/>
          </w:tcPr>
          <w:p>
            <w:pPr>
              <w:widowControl/>
              <w:jc w:val="center"/>
              <w:rPr>
                <w:rFonts w:cs="宋体" w:asciiTheme="minorEastAsia" w:hAnsiTheme="minorEastAsia" w:eastAsiaTheme="minorEastAsia"/>
                <w:kern w:val="0"/>
                <w:sz w:val="28"/>
                <w:szCs w:val="28"/>
              </w:rPr>
            </w:pPr>
            <w:r>
              <w:rPr>
                <w:rFonts w:hint="eastAsia" w:cs="宋体" w:asciiTheme="minorEastAsia" w:hAnsiTheme="minorEastAsia" w:eastAsiaTheme="minorEastAsia"/>
                <w:kern w:val="0"/>
                <w:sz w:val="28"/>
                <w:szCs w:val="28"/>
              </w:rPr>
              <w:t>1</w:t>
            </w:r>
          </w:p>
        </w:tc>
        <w:tc>
          <w:tcPr>
            <w:tcW w:w="5103" w:type="dxa"/>
            <w:tcBorders>
              <w:top w:val="nil"/>
              <w:left w:val="nil"/>
              <w:bottom w:val="single" w:color="000000" w:sz="4" w:space="0"/>
              <w:right w:val="single" w:color="000000" w:sz="4" w:space="0"/>
            </w:tcBorders>
            <w:vAlign w:val="center"/>
          </w:tcPr>
          <w:p>
            <w:pPr>
              <w:widowControl/>
              <w:jc w:val="center"/>
              <w:rPr>
                <w:rFonts w:cs="宋体" w:asciiTheme="minorEastAsia" w:hAnsiTheme="minorEastAsia" w:eastAsiaTheme="minorEastAsia"/>
                <w:kern w:val="0"/>
                <w:sz w:val="28"/>
                <w:szCs w:val="28"/>
              </w:rPr>
            </w:pPr>
            <w:r>
              <w:rPr>
                <w:rFonts w:hint="eastAsia" w:cs="宋体" w:asciiTheme="minorEastAsia" w:hAnsiTheme="minorEastAsia" w:eastAsiaTheme="minorEastAsia"/>
                <w:kern w:val="0"/>
                <w:sz w:val="28"/>
                <w:szCs w:val="28"/>
              </w:rPr>
              <w:t>14</w:t>
            </w:r>
          </w:p>
        </w:tc>
      </w:tr>
      <w:tr>
        <w:tblPrEx>
          <w:tblCellMar>
            <w:top w:w="0" w:type="dxa"/>
            <w:left w:w="108" w:type="dxa"/>
            <w:bottom w:w="0" w:type="dxa"/>
            <w:right w:w="108" w:type="dxa"/>
          </w:tblCellMar>
        </w:tblPrEx>
        <w:trPr>
          <w:trHeight w:val="645" w:hRule="atLeast"/>
        </w:trPr>
        <w:tc>
          <w:tcPr>
            <w:tcW w:w="5224" w:type="dxa"/>
            <w:tcBorders>
              <w:top w:val="nil"/>
              <w:left w:val="single" w:color="000000" w:sz="4" w:space="0"/>
              <w:bottom w:val="single" w:color="000000" w:sz="4" w:space="0"/>
              <w:right w:val="single" w:color="000000" w:sz="4" w:space="0"/>
            </w:tcBorders>
            <w:vAlign w:val="center"/>
          </w:tcPr>
          <w:p>
            <w:pPr>
              <w:widowControl/>
              <w:jc w:val="left"/>
              <w:rPr>
                <w:rFonts w:cs="宋体" w:asciiTheme="minorEastAsia" w:hAnsiTheme="minorEastAsia" w:eastAsiaTheme="minorEastAsia"/>
                <w:kern w:val="0"/>
                <w:sz w:val="28"/>
                <w:szCs w:val="28"/>
              </w:rPr>
            </w:pPr>
            <w:r>
              <w:rPr>
                <w:rFonts w:hint="eastAsia" w:cs="宋体" w:asciiTheme="minorEastAsia" w:hAnsiTheme="minorEastAsia" w:eastAsiaTheme="minorEastAsia"/>
                <w:kern w:val="0"/>
                <w:sz w:val="28"/>
                <w:szCs w:val="28"/>
              </w:rPr>
              <w:t>3、单价在20万元以上设备</w:t>
            </w:r>
          </w:p>
        </w:tc>
        <w:tc>
          <w:tcPr>
            <w:tcW w:w="3155" w:type="dxa"/>
            <w:tcBorders>
              <w:top w:val="nil"/>
              <w:left w:val="nil"/>
              <w:bottom w:val="single" w:color="000000" w:sz="4" w:space="0"/>
              <w:right w:val="single" w:color="000000" w:sz="4" w:space="0"/>
            </w:tcBorders>
            <w:vAlign w:val="center"/>
          </w:tcPr>
          <w:p>
            <w:pPr>
              <w:widowControl/>
              <w:jc w:val="center"/>
              <w:rPr>
                <w:rFonts w:cs="宋体" w:asciiTheme="minorEastAsia" w:hAnsiTheme="minorEastAsia" w:eastAsiaTheme="minorEastAsia"/>
                <w:kern w:val="0"/>
                <w:sz w:val="28"/>
                <w:szCs w:val="28"/>
              </w:rPr>
            </w:pPr>
            <w:r>
              <w:rPr>
                <w:rFonts w:hint="eastAsia" w:cs="宋体" w:asciiTheme="minorEastAsia" w:hAnsiTheme="minorEastAsia" w:eastAsiaTheme="minorEastAsia"/>
                <w:kern w:val="0"/>
                <w:sz w:val="28"/>
                <w:szCs w:val="28"/>
              </w:rPr>
              <w:t>——</w:t>
            </w:r>
          </w:p>
        </w:tc>
        <w:tc>
          <w:tcPr>
            <w:tcW w:w="5103" w:type="dxa"/>
            <w:tcBorders>
              <w:top w:val="nil"/>
              <w:left w:val="nil"/>
              <w:bottom w:val="single" w:color="000000" w:sz="4" w:space="0"/>
              <w:right w:val="single" w:color="000000" w:sz="4" w:space="0"/>
            </w:tcBorders>
            <w:vAlign w:val="center"/>
          </w:tcPr>
          <w:p>
            <w:pPr>
              <w:widowControl/>
              <w:jc w:val="center"/>
              <w:rPr>
                <w:rFonts w:cs="宋体" w:asciiTheme="minorEastAsia" w:hAnsiTheme="minorEastAsia" w:eastAsiaTheme="minorEastAsia"/>
                <w:kern w:val="0"/>
                <w:sz w:val="28"/>
                <w:szCs w:val="28"/>
              </w:rPr>
            </w:pPr>
          </w:p>
        </w:tc>
      </w:tr>
      <w:tr>
        <w:tblPrEx>
          <w:tblCellMar>
            <w:top w:w="0" w:type="dxa"/>
            <w:left w:w="108" w:type="dxa"/>
            <w:bottom w:w="0" w:type="dxa"/>
            <w:right w:w="108" w:type="dxa"/>
          </w:tblCellMar>
        </w:tblPrEx>
        <w:trPr>
          <w:trHeight w:val="645" w:hRule="atLeast"/>
        </w:trPr>
        <w:tc>
          <w:tcPr>
            <w:tcW w:w="5224" w:type="dxa"/>
            <w:tcBorders>
              <w:top w:val="nil"/>
              <w:left w:val="single" w:color="000000" w:sz="4" w:space="0"/>
              <w:bottom w:val="single" w:color="000000" w:sz="4" w:space="0"/>
              <w:right w:val="single" w:color="000000" w:sz="4" w:space="0"/>
            </w:tcBorders>
            <w:vAlign w:val="center"/>
          </w:tcPr>
          <w:p>
            <w:pPr>
              <w:widowControl/>
              <w:jc w:val="left"/>
              <w:rPr>
                <w:rFonts w:cs="宋体" w:asciiTheme="minorEastAsia" w:hAnsiTheme="minorEastAsia" w:eastAsiaTheme="minorEastAsia"/>
                <w:kern w:val="0"/>
                <w:sz w:val="28"/>
                <w:szCs w:val="28"/>
              </w:rPr>
            </w:pPr>
            <w:r>
              <w:rPr>
                <w:rFonts w:hint="eastAsia" w:cs="宋体" w:asciiTheme="minorEastAsia" w:hAnsiTheme="minorEastAsia" w:eastAsiaTheme="minorEastAsia"/>
                <w:kern w:val="0"/>
                <w:sz w:val="28"/>
                <w:szCs w:val="28"/>
              </w:rPr>
              <w:t>4、其他固定资产</w:t>
            </w:r>
          </w:p>
        </w:tc>
        <w:tc>
          <w:tcPr>
            <w:tcW w:w="3155" w:type="dxa"/>
            <w:tcBorders>
              <w:top w:val="nil"/>
              <w:left w:val="nil"/>
              <w:bottom w:val="single" w:color="000000" w:sz="4" w:space="0"/>
              <w:right w:val="single" w:color="000000" w:sz="4" w:space="0"/>
            </w:tcBorders>
            <w:vAlign w:val="center"/>
          </w:tcPr>
          <w:p>
            <w:pPr>
              <w:widowControl/>
              <w:jc w:val="center"/>
              <w:rPr>
                <w:rFonts w:cs="宋体" w:asciiTheme="minorEastAsia" w:hAnsiTheme="minorEastAsia" w:eastAsiaTheme="minorEastAsia"/>
                <w:kern w:val="0"/>
                <w:sz w:val="28"/>
                <w:szCs w:val="28"/>
              </w:rPr>
            </w:pPr>
            <w:r>
              <w:rPr>
                <w:rFonts w:hint="eastAsia" w:cs="宋体" w:asciiTheme="minorEastAsia" w:hAnsiTheme="minorEastAsia" w:eastAsiaTheme="minorEastAsia"/>
                <w:kern w:val="0"/>
                <w:sz w:val="28"/>
                <w:szCs w:val="28"/>
              </w:rPr>
              <w:t>——</w:t>
            </w:r>
          </w:p>
        </w:tc>
        <w:tc>
          <w:tcPr>
            <w:tcW w:w="5103" w:type="dxa"/>
            <w:tcBorders>
              <w:top w:val="nil"/>
              <w:left w:val="nil"/>
              <w:bottom w:val="single" w:color="000000" w:sz="4" w:space="0"/>
              <w:right w:val="single" w:color="000000" w:sz="4" w:space="0"/>
            </w:tcBorders>
            <w:vAlign w:val="center"/>
          </w:tcPr>
          <w:p>
            <w:pPr>
              <w:widowControl/>
              <w:jc w:val="center"/>
              <w:rPr>
                <w:rFonts w:cs="宋体" w:asciiTheme="minorEastAsia" w:hAnsiTheme="minorEastAsia" w:eastAsiaTheme="minorEastAsia"/>
                <w:kern w:val="0"/>
                <w:sz w:val="28"/>
                <w:szCs w:val="28"/>
              </w:rPr>
            </w:pPr>
            <w:r>
              <w:rPr>
                <w:rFonts w:hint="eastAsia" w:cs="宋体" w:asciiTheme="minorEastAsia" w:hAnsiTheme="minorEastAsia" w:eastAsiaTheme="minorEastAsia"/>
                <w:kern w:val="0"/>
                <w:sz w:val="28"/>
                <w:szCs w:val="28"/>
              </w:rPr>
              <w:t>39</w:t>
            </w:r>
          </w:p>
        </w:tc>
      </w:tr>
    </w:tbl>
    <w:p>
      <w:pPr>
        <w:autoSpaceDE w:val="0"/>
        <w:autoSpaceDN w:val="0"/>
        <w:adjustRightInd w:val="0"/>
        <w:ind w:firstLine="640" w:firstLineChars="200"/>
        <w:jc w:val="left"/>
        <w:rPr>
          <w:rFonts w:ascii="黑体" w:hAnsi="黑体" w:eastAsia="黑体" w:cs="仿宋_GB2312"/>
          <w:sz w:val="32"/>
          <w:szCs w:val="32"/>
        </w:rPr>
      </w:pPr>
      <w:r>
        <w:rPr>
          <w:rFonts w:hint="eastAsia" w:ascii="黑体" w:hAnsi="黑体" w:eastAsia="黑体" w:cs="仿宋_GB2312"/>
          <w:sz w:val="32"/>
          <w:szCs w:val="32"/>
        </w:rPr>
        <w:t>八、名词解释</w:t>
      </w:r>
    </w:p>
    <w:p>
      <w:pPr>
        <w:ind w:firstLine="720"/>
        <w:rPr>
          <w:rFonts w:ascii="仿宋" w:hAnsi="仿宋" w:eastAsia="仿宋"/>
          <w:b/>
          <w:sz w:val="32"/>
          <w:szCs w:val="32"/>
        </w:rPr>
      </w:pPr>
      <w:r>
        <w:rPr>
          <w:rFonts w:hint="eastAsia" w:ascii="仿宋" w:hAnsi="仿宋" w:eastAsia="仿宋"/>
          <w:b/>
          <w:sz w:val="32"/>
          <w:szCs w:val="32"/>
        </w:rPr>
        <w:t>1.财政拨款收入</w:t>
      </w:r>
    </w:p>
    <w:p>
      <w:pPr>
        <w:ind w:firstLine="720"/>
        <w:rPr>
          <w:rFonts w:ascii="仿宋" w:hAnsi="仿宋" w:eastAsia="仿宋"/>
          <w:sz w:val="32"/>
          <w:szCs w:val="32"/>
        </w:rPr>
      </w:pPr>
      <w:r>
        <w:rPr>
          <w:rFonts w:hint="eastAsia" w:ascii="仿宋" w:hAnsi="仿宋" w:eastAsia="仿宋"/>
          <w:sz w:val="32"/>
          <w:szCs w:val="32"/>
        </w:rPr>
        <w:t>财政拨款收入是指财政部门按照批复的预算核拨给单位的财政预算资金。</w:t>
      </w:r>
    </w:p>
    <w:p>
      <w:pPr>
        <w:ind w:firstLine="720"/>
        <w:rPr>
          <w:rFonts w:ascii="仿宋" w:hAnsi="仿宋" w:eastAsia="仿宋"/>
          <w:b/>
          <w:sz w:val="32"/>
          <w:szCs w:val="32"/>
        </w:rPr>
      </w:pPr>
      <w:r>
        <w:rPr>
          <w:rFonts w:hint="eastAsia" w:ascii="仿宋" w:hAnsi="仿宋" w:eastAsia="仿宋"/>
          <w:b/>
          <w:sz w:val="32"/>
          <w:szCs w:val="32"/>
        </w:rPr>
        <w:t>2.基本支出、项目支出</w:t>
      </w:r>
    </w:p>
    <w:p>
      <w:pPr>
        <w:ind w:firstLine="720"/>
        <w:rPr>
          <w:rFonts w:ascii="仿宋" w:hAnsi="仿宋" w:eastAsia="仿宋"/>
          <w:sz w:val="32"/>
          <w:szCs w:val="32"/>
        </w:rPr>
      </w:pPr>
      <w:r>
        <w:rPr>
          <w:rFonts w:hint="eastAsia" w:ascii="仿宋" w:hAnsi="仿宋" w:eastAsia="仿宋"/>
          <w:sz w:val="32"/>
          <w:szCs w:val="32"/>
        </w:rPr>
        <w:t>基本支出是指预算单位为保障机构正常运转和完成日常工作而发生的各项支出，包括人员经费和日常公用经费。</w:t>
      </w:r>
    </w:p>
    <w:p>
      <w:pPr>
        <w:ind w:firstLine="720"/>
        <w:rPr>
          <w:rFonts w:ascii="仿宋" w:hAnsi="仿宋" w:eastAsia="仿宋"/>
          <w:sz w:val="32"/>
          <w:szCs w:val="32"/>
        </w:rPr>
      </w:pPr>
      <w:r>
        <w:rPr>
          <w:rFonts w:hint="eastAsia" w:ascii="仿宋" w:hAnsi="仿宋" w:eastAsia="仿宋"/>
          <w:sz w:val="32"/>
          <w:szCs w:val="32"/>
        </w:rPr>
        <w:t>项目支出是指在基本支出之外完成特定行政任务和事业发展目标所发生的支出。</w:t>
      </w:r>
    </w:p>
    <w:p>
      <w:pPr>
        <w:ind w:firstLine="720"/>
        <w:rPr>
          <w:rFonts w:ascii="仿宋" w:hAnsi="仿宋" w:eastAsia="仿宋"/>
          <w:b/>
          <w:sz w:val="32"/>
          <w:szCs w:val="32"/>
        </w:rPr>
      </w:pPr>
      <w:r>
        <w:rPr>
          <w:rFonts w:hint="eastAsia" w:ascii="仿宋" w:hAnsi="仿宋" w:eastAsia="仿宋"/>
          <w:b/>
          <w:sz w:val="32"/>
          <w:szCs w:val="32"/>
        </w:rPr>
        <w:t>3.一般公共服务支出</w:t>
      </w:r>
    </w:p>
    <w:p>
      <w:pPr>
        <w:ind w:firstLine="720"/>
        <w:rPr>
          <w:rFonts w:ascii="仿宋" w:hAnsi="仿宋" w:eastAsia="仿宋"/>
          <w:sz w:val="32"/>
          <w:szCs w:val="32"/>
        </w:rPr>
      </w:pPr>
      <w:r>
        <w:rPr>
          <w:rFonts w:hint="eastAsia" w:ascii="仿宋" w:hAnsi="仿宋" w:eastAsia="仿宋"/>
          <w:sz w:val="32"/>
          <w:szCs w:val="32"/>
        </w:rPr>
        <w:t>一般公共服务支出是指反映预算单位一般公共服务的支出。</w:t>
      </w:r>
    </w:p>
    <w:p>
      <w:pPr>
        <w:ind w:firstLine="720"/>
        <w:rPr>
          <w:rFonts w:ascii="仿宋" w:hAnsi="仿宋" w:eastAsia="仿宋"/>
          <w:b/>
          <w:sz w:val="32"/>
          <w:szCs w:val="32"/>
        </w:rPr>
      </w:pPr>
      <w:r>
        <w:rPr>
          <w:rFonts w:hint="eastAsia" w:ascii="仿宋" w:hAnsi="仿宋" w:eastAsia="仿宋"/>
          <w:b/>
          <w:sz w:val="32"/>
          <w:szCs w:val="32"/>
        </w:rPr>
        <w:t>4.文化体育与传媒支出</w:t>
      </w:r>
    </w:p>
    <w:p>
      <w:pPr>
        <w:ind w:firstLine="720"/>
        <w:rPr>
          <w:rFonts w:ascii="仿宋" w:hAnsi="仿宋" w:eastAsia="仿宋"/>
          <w:sz w:val="32"/>
          <w:szCs w:val="32"/>
        </w:rPr>
      </w:pPr>
      <w:r>
        <w:rPr>
          <w:rFonts w:hint="eastAsia" w:ascii="仿宋" w:hAnsi="仿宋" w:eastAsia="仿宋"/>
          <w:sz w:val="32"/>
          <w:szCs w:val="32"/>
        </w:rPr>
        <w:t>文化体育与传媒支出是指反映预算单位在文化、文物、体育、广播影视、新闻出版等方面的支出。</w:t>
      </w:r>
    </w:p>
    <w:p>
      <w:pPr>
        <w:ind w:firstLine="720"/>
        <w:rPr>
          <w:rFonts w:ascii="仿宋" w:hAnsi="仿宋" w:eastAsia="仿宋"/>
          <w:b/>
          <w:sz w:val="32"/>
          <w:szCs w:val="32"/>
        </w:rPr>
      </w:pPr>
      <w:r>
        <w:rPr>
          <w:rFonts w:hint="eastAsia" w:ascii="仿宋" w:hAnsi="仿宋" w:eastAsia="仿宋"/>
          <w:b/>
          <w:sz w:val="32"/>
          <w:szCs w:val="32"/>
        </w:rPr>
        <w:t>5.社会保障和就业支出</w:t>
      </w:r>
    </w:p>
    <w:p>
      <w:pPr>
        <w:ind w:firstLine="720"/>
        <w:rPr>
          <w:rFonts w:ascii="仿宋" w:hAnsi="仿宋" w:eastAsia="仿宋"/>
          <w:sz w:val="32"/>
          <w:szCs w:val="32"/>
        </w:rPr>
      </w:pPr>
      <w:r>
        <w:rPr>
          <w:rFonts w:hint="eastAsia" w:ascii="仿宋" w:hAnsi="仿宋" w:eastAsia="仿宋"/>
          <w:sz w:val="32"/>
          <w:szCs w:val="32"/>
        </w:rPr>
        <w:t>社会保障和就业支出是指预算单位在社会保障和就业方面的支出。</w:t>
      </w:r>
    </w:p>
    <w:p>
      <w:pPr>
        <w:ind w:firstLine="720"/>
        <w:rPr>
          <w:rFonts w:ascii="仿宋" w:hAnsi="仿宋" w:eastAsia="仿宋"/>
          <w:b/>
          <w:sz w:val="32"/>
          <w:szCs w:val="32"/>
        </w:rPr>
      </w:pPr>
      <w:r>
        <w:rPr>
          <w:rFonts w:hint="eastAsia" w:ascii="仿宋" w:hAnsi="仿宋" w:eastAsia="仿宋"/>
          <w:b/>
          <w:sz w:val="32"/>
          <w:szCs w:val="32"/>
        </w:rPr>
        <w:t>6.机关运行经费</w:t>
      </w:r>
    </w:p>
    <w:p>
      <w:pPr>
        <w:ind w:firstLine="720"/>
        <w:rPr>
          <w:rFonts w:ascii="仿宋" w:hAnsi="仿宋" w:eastAsia="仿宋"/>
          <w:sz w:val="32"/>
          <w:szCs w:val="32"/>
        </w:rPr>
      </w:pPr>
      <w:r>
        <w:rPr>
          <w:rFonts w:hint="eastAsia" w:ascii="仿宋" w:hAnsi="仿宋" w:eastAsia="仿宋"/>
          <w:sz w:val="32"/>
          <w:szCs w:val="32"/>
        </w:rPr>
        <w:t>机关运行经费是指为保障行政单位运行支出的人员工资和用于购买货物、服务的各项资金，包括人员经费、办公费、印刷费、邮电费、差旅费、会议费、福利费、日常维修费、专用材料及一般设备购置费、办公用房水电费、公务用车运行维护费及其他费用。</w:t>
      </w:r>
    </w:p>
    <w:p>
      <w:pPr>
        <w:ind w:firstLine="720"/>
        <w:rPr>
          <w:rFonts w:ascii="仿宋" w:hAnsi="仿宋" w:eastAsia="仿宋"/>
          <w:b/>
          <w:sz w:val="32"/>
          <w:szCs w:val="32"/>
        </w:rPr>
      </w:pPr>
      <w:r>
        <w:rPr>
          <w:rFonts w:hint="eastAsia" w:ascii="仿宋" w:hAnsi="仿宋" w:eastAsia="仿宋"/>
          <w:b/>
          <w:sz w:val="32"/>
          <w:szCs w:val="32"/>
        </w:rPr>
        <w:t>7.“三公”经费</w:t>
      </w:r>
    </w:p>
    <w:p>
      <w:pPr>
        <w:ind w:firstLine="720"/>
        <w:rPr>
          <w:rFonts w:ascii="仿宋" w:hAnsi="仿宋" w:eastAsia="仿宋"/>
          <w:sz w:val="32"/>
          <w:szCs w:val="32"/>
        </w:rPr>
      </w:pPr>
      <w:r>
        <w:rPr>
          <w:rFonts w:hint="eastAsia" w:ascii="仿宋" w:hAnsi="仿宋" w:eastAsia="仿宋"/>
          <w:sz w:val="32"/>
          <w:szCs w:val="32"/>
        </w:rPr>
        <w:t>“三公”经费是指因公出国（境）费、公务用车购置及运行维护费和公务接待费。</w:t>
      </w:r>
    </w:p>
    <w:p>
      <w:pPr>
        <w:ind w:firstLine="720"/>
        <w:rPr>
          <w:rFonts w:ascii="仿宋" w:hAnsi="仿宋" w:eastAsia="仿宋"/>
          <w:sz w:val="32"/>
          <w:szCs w:val="32"/>
        </w:rPr>
      </w:pPr>
      <w:r>
        <w:rPr>
          <w:rFonts w:hint="eastAsia" w:ascii="仿宋" w:hAnsi="仿宋" w:eastAsia="仿宋"/>
          <w:sz w:val="32"/>
          <w:szCs w:val="32"/>
        </w:rPr>
        <w:t>因公出国（境）费是指单位公务出国（境）的国际旅费、国外城市间交通费、住宿费、伙食费、培训费、公杂费等支出。</w:t>
      </w:r>
    </w:p>
    <w:p>
      <w:pPr>
        <w:ind w:firstLine="720"/>
        <w:rPr>
          <w:rFonts w:ascii="仿宋" w:hAnsi="仿宋" w:eastAsia="仿宋"/>
          <w:sz w:val="32"/>
          <w:szCs w:val="32"/>
        </w:rPr>
      </w:pPr>
      <w:r>
        <w:rPr>
          <w:rFonts w:hint="eastAsia" w:ascii="仿宋" w:hAnsi="仿宋" w:eastAsia="仿宋"/>
          <w:sz w:val="32"/>
          <w:szCs w:val="32"/>
        </w:rPr>
        <w:t>公务用车购置及运行维护费是指单位购置公务用车及公务用车租用费、燃料费、维修费、路桥费、保险费等支出。</w:t>
      </w:r>
    </w:p>
    <w:p>
      <w:pPr>
        <w:ind w:firstLine="720"/>
        <w:rPr>
          <w:rFonts w:ascii="仿宋" w:hAnsi="仿宋" w:eastAsia="仿宋"/>
          <w:sz w:val="32"/>
          <w:szCs w:val="32"/>
        </w:rPr>
      </w:pPr>
      <w:r>
        <w:rPr>
          <w:rFonts w:hint="eastAsia" w:ascii="仿宋" w:hAnsi="仿宋" w:eastAsia="仿宋"/>
          <w:sz w:val="32"/>
          <w:szCs w:val="32"/>
        </w:rPr>
        <w:t>公务接待费是指单位按规定开支的各类公务接待（含外宾接待）费用。</w:t>
      </w:r>
    </w:p>
    <w:p>
      <w:pPr>
        <w:autoSpaceDE w:val="0"/>
        <w:autoSpaceDN w:val="0"/>
        <w:adjustRightInd w:val="0"/>
        <w:ind w:firstLine="640" w:firstLineChars="200"/>
        <w:jc w:val="left"/>
        <w:rPr>
          <w:rFonts w:ascii="黑体" w:hAnsi="黑体" w:eastAsia="黑体"/>
          <w:sz w:val="32"/>
          <w:szCs w:val="32"/>
        </w:rPr>
      </w:pPr>
      <w:r>
        <w:rPr>
          <w:rFonts w:hint="eastAsia" w:ascii="黑体" w:hAnsi="黑体" w:eastAsia="黑体" w:cs="仿宋_GB2312"/>
          <w:sz w:val="32"/>
          <w:szCs w:val="32"/>
        </w:rPr>
        <w:t>九、其他需要说明的事项</w:t>
      </w:r>
    </w:p>
    <w:p>
      <w:pPr>
        <w:ind w:firstLine="688" w:firstLineChars="215"/>
        <w:rPr>
          <w:rFonts w:ascii="仿宋" w:hAnsi="仿宋" w:eastAsia="仿宋"/>
          <w:sz w:val="32"/>
          <w:szCs w:val="32"/>
        </w:rPr>
      </w:pPr>
      <w:r>
        <w:rPr>
          <w:rFonts w:hint="eastAsia" w:ascii="仿宋" w:hAnsi="仿宋" w:eastAsia="仿宋"/>
          <w:sz w:val="32"/>
          <w:szCs w:val="32"/>
        </w:rPr>
        <w:t>无。</w:t>
      </w:r>
    </w:p>
    <w:sectPr>
      <w:headerReference r:id="rId5" w:type="first"/>
      <w:footerReference r:id="rId8" w:type="first"/>
      <w:headerReference r:id="rId3" w:type="default"/>
      <w:footerReference r:id="rId6" w:type="default"/>
      <w:headerReference r:id="rId4" w:type="even"/>
      <w:footerReference r:id="rId7" w:type="even"/>
      <w:pgSz w:w="16838" w:h="11906" w:orient="landscape"/>
      <w:pgMar w:top="1800" w:right="1440" w:bottom="1800" w:left="144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altName w:val="仿宋"/>
    <w:panose1 w:val="00000000000000000000"/>
    <w:charset w:val="86"/>
    <w:family w:val="modern"/>
    <w:pitch w:val="default"/>
    <w:sig w:usb0="00000000" w:usb1="00000000" w:usb2="00000010" w:usb3="00000000" w:csb0="00040000" w:csb1="00000000"/>
  </w:font>
  <w:font w:name="仿宋">
    <w:panose1 w:val="02010609060101010101"/>
    <w:charset w:val="86"/>
    <w:family w:val="auto"/>
    <w:pitch w:val="default"/>
    <w:sig w:usb0="800002BF" w:usb1="38CF7CFA" w:usb2="00000016" w:usb3="00000000" w:csb0="00040001" w:csb1="00000000"/>
  </w:font>
  <w:font w:name="楷体">
    <w:panose1 w:val="02010609060101010101"/>
    <w:charset w:val="86"/>
    <w:family w:val="modern"/>
    <w:pitch w:val="default"/>
    <w:sig w:usb0="800002BF" w:usb1="38CF7CFA" w:usb2="00000016" w:usb3="00000000" w:csb0="00040001" w:csb1="00000000"/>
  </w:font>
  <w:font w:name="方正书宋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Bdr>
        <w:bottom w:val="none" w:color="auto" w:sz="0" w:space="0"/>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1"/>
  <w:bordersDoNotSurroundHeader w:val="1"/>
  <w:bordersDoNotSurroundFooter w:val="1"/>
  <w:documentProtection w:enforcement="0"/>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2"/>
  </w:compat>
  <w:rsids>
    <w:rsidRoot w:val="003576F4"/>
    <w:rsid w:val="000B3C55"/>
    <w:rsid w:val="001C6305"/>
    <w:rsid w:val="00235D6E"/>
    <w:rsid w:val="00345A4D"/>
    <w:rsid w:val="003576F4"/>
    <w:rsid w:val="00371534"/>
    <w:rsid w:val="003A0649"/>
    <w:rsid w:val="0063034A"/>
    <w:rsid w:val="007D622B"/>
    <w:rsid w:val="007E7A4D"/>
    <w:rsid w:val="00A23A45"/>
    <w:rsid w:val="00A84BEB"/>
    <w:rsid w:val="00C26AB0"/>
    <w:rsid w:val="00C42BCB"/>
    <w:rsid w:val="00C85472"/>
    <w:rsid w:val="00D024C9"/>
    <w:rsid w:val="00D77FCE"/>
    <w:rsid w:val="00E17CAA"/>
    <w:rsid w:val="00F11AEA"/>
    <w:rsid w:val="00FC170C"/>
    <w:rsid w:val="7CEA1987"/>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5">
    <w:name w:val="Default Paragraph Font"/>
    <w:semiHidden/>
    <w:unhideWhenUsed/>
    <w:uiPriority w:val="1"/>
  </w:style>
  <w:style w:type="table" w:default="1" w:styleId="4">
    <w:name w:val="Normal Table"/>
    <w:semiHidden/>
    <w:unhideWhenUsed/>
    <w:uiPriority w:val="99"/>
    <w:tblPr>
      <w:tblCellMar>
        <w:top w:w="0" w:type="dxa"/>
        <w:left w:w="108" w:type="dxa"/>
        <w:bottom w:w="0" w:type="dxa"/>
        <w:right w:w="108" w:type="dxa"/>
      </w:tblCellMar>
    </w:tblPr>
  </w:style>
  <w:style w:type="paragraph" w:styleId="2">
    <w:name w:val="footer"/>
    <w:basedOn w:val="1"/>
    <w:link w:val="7"/>
    <w:unhideWhenUsed/>
    <w:qFormat/>
    <w:uiPriority w:val="99"/>
    <w:pPr>
      <w:tabs>
        <w:tab w:val="center" w:pos="4153"/>
        <w:tab w:val="right" w:pos="8306"/>
      </w:tabs>
      <w:snapToGrid w:val="0"/>
      <w:jc w:val="left"/>
    </w:pPr>
    <w:rPr>
      <w:sz w:val="18"/>
      <w:szCs w:val="18"/>
    </w:rPr>
  </w:style>
  <w:style w:type="paragraph" w:styleId="3">
    <w:name w:val="header"/>
    <w:basedOn w:val="1"/>
    <w:link w:val="6"/>
    <w:unhideWhenUsed/>
    <w:uiPriority w:val="99"/>
    <w:pPr>
      <w:pBdr>
        <w:bottom w:val="single" w:color="auto" w:sz="6" w:space="1"/>
      </w:pBdr>
      <w:tabs>
        <w:tab w:val="center" w:pos="4153"/>
        <w:tab w:val="right" w:pos="8306"/>
      </w:tabs>
      <w:snapToGrid w:val="0"/>
      <w:jc w:val="center"/>
    </w:pPr>
    <w:rPr>
      <w:sz w:val="18"/>
      <w:szCs w:val="18"/>
    </w:rPr>
  </w:style>
  <w:style w:type="character" w:customStyle="1" w:styleId="6">
    <w:name w:val="页眉 Char"/>
    <w:basedOn w:val="5"/>
    <w:link w:val="3"/>
    <w:qFormat/>
    <w:uiPriority w:val="99"/>
    <w:rPr>
      <w:rFonts w:ascii="Times New Roman" w:hAnsi="Times New Roman" w:eastAsia="宋体" w:cs="Times New Roman"/>
      <w:sz w:val="18"/>
      <w:szCs w:val="18"/>
    </w:rPr>
  </w:style>
  <w:style w:type="character" w:customStyle="1" w:styleId="7">
    <w:name w:val="页脚 Char"/>
    <w:basedOn w:val="5"/>
    <w:link w:val="2"/>
    <w:uiPriority w:val="99"/>
    <w:rPr>
      <w:rFonts w:ascii="Times New Roman" w:hAnsi="Times New Roman" w:eastAsia="宋体" w:cs="Times New Roman"/>
      <w:sz w:val="18"/>
      <w:szCs w:val="18"/>
    </w:rPr>
  </w:style>
  <w:style w:type="paragraph" w:styleId="8">
    <w:name w:val="List Paragraph"/>
    <w:basedOn w:val="1"/>
    <w:qFormat/>
    <w:uiPriority w:val="34"/>
    <w:pPr>
      <w:ind w:firstLine="420" w:firstLineChars="200"/>
    </w:pPr>
  </w:style>
</w:styles>
</file>

<file path=word/_rels/document.xml.rels><?xml version="1.0" encoding="UTF-8" standalone="yes"?>
<Relationships xmlns="http://schemas.openxmlformats.org/package/2006/relationships"><Relationship Id="rId9" Type="http://schemas.openxmlformats.org/officeDocument/2006/relationships/theme" Target="theme/theme1.xml"/><Relationship Id="rId8" Type="http://schemas.openxmlformats.org/officeDocument/2006/relationships/footer" Target="footer3.xml"/><Relationship Id="rId7" Type="http://schemas.openxmlformats.org/officeDocument/2006/relationships/footer" Target="footer2.xml"/><Relationship Id="rId6" Type="http://schemas.openxmlformats.org/officeDocument/2006/relationships/footer" Target="footer1.xml"/><Relationship Id="rId5" Type="http://schemas.openxmlformats.org/officeDocument/2006/relationships/header" Target="header3.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Company>微软中国</Company>
  <Pages>12</Pages>
  <Words>612</Words>
  <Characters>3489</Characters>
  <Lines>29</Lines>
  <Paragraphs>8</Paragraphs>
  <TotalTime>48</TotalTime>
  <ScaleCrop>false</ScaleCrop>
  <LinksUpToDate>false</LinksUpToDate>
  <CharactersWithSpaces>4093</CharactersWithSpaces>
  <Application>WPS Office_11.8.2.11813_F1E327BC-269C-435d-A152-05C5408002CA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2017-08-21T09:42:00Z</dcterms:created>
  <dc:creator>微软用户</dc:creator>
  <cp:lastModifiedBy>Administrator</cp:lastModifiedBy>
  <dcterms:modified xsi:type="dcterms:W3CDTF">2024-01-16T03:28:27Z</dcterms:modified>
  <cp:revision>16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FBF6E8A6F9454B779BDA1735115C7443</vt:lpwstr>
  </property>
</Properties>
</file>