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5" w:name="_GoBack"/>
      <w:bookmarkEnd w:id="15"/>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1</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2</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7</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8</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472.70</w:t>
            </w:r>
          </w:p>
        </w:tc>
        <w:tc>
          <w:tcPr>
            <w:tcW w:w="4535" w:type="dxa"/>
            <w:vAlign w:val="center"/>
          </w:tcPr>
          <w:p>
            <w:pPr>
              <w:pStyle w:val="12"/>
            </w:pPr>
            <w:r>
              <w:t>一、一般公共服务支出</w:t>
            </w:r>
          </w:p>
        </w:tc>
        <w:tc>
          <w:tcPr>
            <w:tcW w:w="2126" w:type="dxa"/>
            <w:vAlign w:val="center"/>
          </w:tcPr>
          <w:p>
            <w:pPr>
              <w:pStyle w:val="11"/>
            </w:pPr>
            <w:r>
              <w:t>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472.70</w:t>
            </w:r>
          </w:p>
        </w:tc>
        <w:tc>
          <w:tcPr>
            <w:tcW w:w="4535" w:type="dxa"/>
            <w:vAlign w:val="center"/>
          </w:tcPr>
          <w:p>
            <w:pPr>
              <w:pStyle w:val="14"/>
            </w:pPr>
            <w:r>
              <w:t>本年支出合计</w:t>
            </w:r>
          </w:p>
        </w:tc>
        <w:tc>
          <w:tcPr>
            <w:tcW w:w="2126" w:type="dxa"/>
            <w:vAlign w:val="center"/>
          </w:tcPr>
          <w:p>
            <w:pPr>
              <w:pStyle w:val="15"/>
            </w:pPr>
            <w:r>
              <w:t>472.70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472.70</w:t>
            </w:r>
          </w:p>
        </w:tc>
        <w:tc>
          <w:tcPr>
            <w:tcW w:w="4535" w:type="dxa"/>
            <w:vAlign w:val="center"/>
          </w:tcPr>
          <w:p>
            <w:pPr>
              <w:pStyle w:val="14"/>
            </w:pPr>
            <w:r>
              <w:t>支出总计</w:t>
            </w:r>
          </w:p>
        </w:tc>
        <w:tc>
          <w:tcPr>
            <w:tcW w:w="2126" w:type="dxa"/>
            <w:vAlign w:val="center"/>
          </w:tcPr>
          <w:p>
            <w:pPr>
              <w:pStyle w:val="15"/>
            </w:pPr>
            <w:r>
              <w:t>472.70</w:t>
            </w:r>
          </w:p>
        </w:tc>
      </w:tr>
    </w:tbl>
    <w:p>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472.70</w:t>
            </w:r>
          </w:p>
        </w:tc>
        <w:tc>
          <w:tcPr>
            <w:tcW w:w="1134" w:type="dxa"/>
            <w:vAlign w:val="center"/>
          </w:tcPr>
          <w:p>
            <w:pPr>
              <w:pStyle w:val="15"/>
            </w:pPr>
            <w:r>
              <w:t>472.70</w:t>
            </w:r>
          </w:p>
        </w:tc>
        <w:tc>
          <w:tcPr>
            <w:tcW w:w="1134" w:type="dxa"/>
            <w:vAlign w:val="center"/>
          </w:tcPr>
          <w:p>
            <w:pPr>
              <w:pStyle w:val="15"/>
            </w:pPr>
            <w:r>
              <w:t>472.70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448.70</w:t>
            </w:r>
          </w:p>
        </w:tc>
        <w:tc>
          <w:tcPr>
            <w:tcW w:w="1134" w:type="dxa"/>
            <w:vAlign w:val="center"/>
          </w:tcPr>
          <w:p>
            <w:pPr>
              <w:pStyle w:val="11"/>
            </w:pPr>
            <w:r>
              <w:t>448.70</w:t>
            </w:r>
          </w:p>
        </w:tc>
        <w:tc>
          <w:tcPr>
            <w:tcW w:w="1134" w:type="dxa"/>
            <w:vAlign w:val="center"/>
          </w:tcPr>
          <w:p>
            <w:pPr>
              <w:pStyle w:val="11"/>
            </w:pPr>
            <w:r>
              <w:t>448.70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448.70</w:t>
            </w:r>
          </w:p>
        </w:tc>
        <w:tc>
          <w:tcPr>
            <w:tcW w:w="1134" w:type="dxa"/>
            <w:vAlign w:val="center"/>
          </w:tcPr>
          <w:p>
            <w:pPr>
              <w:pStyle w:val="11"/>
            </w:pPr>
            <w:r>
              <w:t>448.70</w:t>
            </w:r>
          </w:p>
        </w:tc>
        <w:tc>
          <w:tcPr>
            <w:tcW w:w="1134" w:type="dxa"/>
            <w:vAlign w:val="center"/>
          </w:tcPr>
          <w:p>
            <w:pPr>
              <w:pStyle w:val="11"/>
            </w:pPr>
            <w:r>
              <w:t>448.70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398.70</w:t>
            </w:r>
          </w:p>
        </w:tc>
        <w:tc>
          <w:tcPr>
            <w:tcW w:w="1134" w:type="dxa"/>
            <w:vAlign w:val="center"/>
          </w:tcPr>
          <w:p>
            <w:pPr>
              <w:pStyle w:val="11"/>
            </w:pPr>
            <w:r>
              <w:t>398.70</w:t>
            </w:r>
          </w:p>
        </w:tc>
        <w:tc>
          <w:tcPr>
            <w:tcW w:w="1134" w:type="dxa"/>
            <w:vAlign w:val="center"/>
          </w:tcPr>
          <w:p>
            <w:pPr>
              <w:pStyle w:val="11"/>
            </w:pPr>
            <w:r>
              <w:t>398.70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472.70</w:t>
            </w:r>
          </w:p>
        </w:tc>
        <w:tc>
          <w:tcPr>
            <w:tcW w:w="1361" w:type="dxa"/>
            <w:vAlign w:val="center"/>
          </w:tcPr>
          <w:p>
            <w:pPr>
              <w:pStyle w:val="15"/>
            </w:pPr>
            <w:r>
              <w:t>422.70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448.70</w:t>
            </w:r>
          </w:p>
        </w:tc>
        <w:tc>
          <w:tcPr>
            <w:tcW w:w="1361" w:type="dxa"/>
            <w:vAlign w:val="center"/>
          </w:tcPr>
          <w:p>
            <w:pPr>
              <w:pStyle w:val="11"/>
            </w:pPr>
            <w:r>
              <w:t>398.70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448.70</w:t>
            </w:r>
          </w:p>
        </w:tc>
        <w:tc>
          <w:tcPr>
            <w:tcW w:w="1361" w:type="dxa"/>
            <w:vAlign w:val="center"/>
          </w:tcPr>
          <w:p>
            <w:pPr>
              <w:pStyle w:val="11"/>
            </w:pPr>
            <w:r>
              <w:t>398.70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398.70</w:t>
            </w:r>
          </w:p>
        </w:tc>
        <w:tc>
          <w:tcPr>
            <w:tcW w:w="1361" w:type="dxa"/>
            <w:vAlign w:val="center"/>
          </w:tcPr>
          <w:p>
            <w:pPr>
              <w:pStyle w:val="11"/>
            </w:pPr>
            <w:r>
              <w:t>398.70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472.70</w:t>
            </w:r>
          </w:p>
        </w:tc>
        <w:tc>
          <w:tcPr>
            <w:tcW w:w="3402" w:type="dxa"/>
            <w:vAlign w:val="center"/>
          </w:tcPr>
          <w:p>
            <w:pPr>
              <w:pStyle w:val="12"/>
            </w:pPr>
            <w:r>
              <w:t>一、一般公共服务支出</w:t>
            </w:r>
          </w:p>
        </w:tc>
        <w:tc>
          <w:tcPr>
            <w:tcW w:w="1474" w:type="dxa"/>
            <w:vAlign w:val="center"/>
          </w:tcPr>
          <w:p>
            <w:pPr>
              <w:pStyle w:val="11"/>
            </w:pPr>
            <w:r>
              <w:t>448.70</w:t>
            </w:r>
          </w:p>
        </w:tc>
        <w:tc>
          <w:tcPr>
            <w:tcW w:w="1474" w:type="dxa"/>
            <w:vAlign w:val="center"/>
          </w:tcPr>
          <w:p>
            <w:pPr>
              <w:pStyle w:val="11"/>
            </w:pPr>
            <w:r>
              <w:t>448.70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w:t>
            </w:r>
          </w:p>
        </w:tc>
        <w:tc>
          <w:tcPr>
            <w:tcW w:w="1474" w:type="dxa"/>
            <w:vAlign w:val="center"/>
          </w:tcPr>
          <w:p>
            <w:pPr>
              <w:pStyle w:val="11"/>
            </w:pPr>
            <w:r>
              <w:t>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472.70</w:t>
            </w:r>
          </w:p>
        </w:tc>
        <w:tc>
          <w:tcPr>
            <w:tcW w:w="3402" w:type="dxa"/>
            <w:vAlign w:val="center"/>
          </w:tcPr>
          <w:p>
            <w:pPr>
              <w:pStyle w:val="14"/>
            </w:pPr>
            <w:r>
              <w:t>本年支出合计</w:t>
            </w:r>
          </w:p>
        </w:tc>
        <w:tc>
          <w:tcPr>
            <w:tcW w:w="1474" w:type="dxa"/>
            <w:vAlign w:val="center"/>
          </w:tcPr>
          <w:p>
            <w:pPr>
              <w:pStyle w:val="15"/>
            </w:pPr>
            <w:r>
              <w:t>472.70</w:t>
            </w:r>
          </w:p>
        </w:tc>
        <w:tc>
          <w:tcPr>
            <w:tcW w:w="1474" w:type="dxa"/>
            <w:vAlign w:val="center"/>
          </w:tcPr>
          <w:p>
            <w:pPr>
              <w:pStyle w:val="15"/>
            </w:pPr>
            <w:r>
              <w:t>472.70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472.70</w:t>
            </w:r>
          </w:p>
        </w:tc>
        <w:tc>
          <w:tcPr>
            <w:tcW w:w="3402" w:type="dxa"/>
            <w:vAlign w:val="center"/>
          </w:tcPr>
          <w:p>
            <w:pPr>
              <w:pStyle w:val="14"/>
            </w:pPr>
            <w:r>
              <w:t>支出总计</w:t>
            </w:r>
          </w:p>
        </w:tc>
        <w:tc>
          <w:tcPr>
            <w:tcW w:w="1474" w:type="dxa"/>
            <w:vAlign w:val="center"/>
          </w:tcPr>
          <w:p>
            <w:pPr>
              <w:pStyle w:val="15"/>
            </w:pPr>
            <w:r>
              <w:t>472.70</w:t>
            </w:r>
          </w:p>
        </w:tc>
        <w:tc>
          <w:tcPr>
            <w:tcW w:w="1474" w:type="dxa"/>
            <w:vAlign w:val="center"/>
          </w:tcPr>
          <w:p>
            <w:pPr>
              <w:pStyle w:val="15"/>
            </w:pPr>
            <w:r>
              <w:t>472.70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472.70</w:t>
            </w:r>
          </w:p>
        </w:tc>
        <w:tc>
          <w:tcPr>
            <w:tcW w:w="2551" w:type="dxa"/>
            <w:vAlign w:val="center"/>
          </w:tcPr>
          <w:p>
            <w:pPr>
              <w:pStyle w:val="15"/>
            </w:pPr>
            <w:r>
              <w:t>422.70</w:t>
            </w: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448.70</w:t>
            </w:r>
          </w:p>
        </w:tc>
        <w:tc>
          <w:tcPr>
            <w:tcW w:w="2551" w:type="dxa"/>
            <w:vAlign w:val="center"/>
          </w:tcPr>
          <w:p>
            <w:pPr>
              <w:pStyle w:val="11"/>
            </w:pPr>
            <w:r>
              <w:t>398.70</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448.70</w:t>
            </w:r>
          </w:p>
        </w:tc>
        <w:tc>
          <w:tcPr>
            <w:tcW w:w="2551" w:type="dxa"/>
            <w:vAlign w:val="center"/>
          </w:tcPr>
          <w:p>
            <w:pPr>
              <w:pStyle w:val="11"/>
            </w:pPr>
            <w:r>
              <w:t>398.70</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398.70</w:t>
            </w:r>
          </w:p>
        </w:tc>
        <w:tc>
          <w:tcPr>
            <w:tcW w:w="2551" w:type="dxa"/>
            <w:vAlign w:val="center"/>
          </w:tcPr>
          <w:p>
            <w:pPr>
              <w:pStyle w:val="11"/>
            </w:pPr>
            <w:r>
              <w:t>398.70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422.70</w:t>
            </w:r>
          </w:p>
        </w:tc>
        <w:tc>
          <w:tcPr>
            <w:tcW w:w="2551" w:type="dxa"/>
            <w:vAlign w:val="center"/>
          </w:tcPr>
          <w:p>
            <w:pPr>
              <w:pStyle w:val="15"/>
            </w:pPr>
            <w:r>
              <w:t>330.70</w:t>
            </w:r>
          </w:p>
        </w:tc>
        <w:tc>
          <w:tcPr>
            <w:tcW w:w="2551" w:type="dxa"/>
            <w:vAlign w:val="center"/>
          </w:tcPr>
          <w:p>
            <w:pPr>
              <w:pStyle w:val="15"/>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307.10</w:t>
            </w:r>
          </w:p>
        </w:tc>
        <w:tc>
          <w:tcPr>
            <w:tcW w:w="2551" w:type="dxa"/>
            <w:vAlign w:val="center"/>
          </w:tcPr>
          <w:p>
            <w:pPr>
              <w:pStyle w:val="11"/>
            </w:pPr>
            <w:r>
              <w:t>307.10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136.80</w:t>
            </w:r>
          </w:p>
        </w:tc>
        <w:tc>
          <w:tcPr>
            <w:tcW w:w="2551" w:type="dxa"/>
            <w:vAlign w:val="center"/>
          </w:tcPr>
          <w:p>
            <w:pPr>
              <w:pStyle w:val="11"/>
            </w:pPr>
            <w:r>
              <w:t>136.80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65.30</w:t>
            </w:r>
          </w:p>
        </w:tc>
        <w:tc>
          <w:tcPr>
            <w:tcW w:w="2551" w:type="dxa"/>
            <w:vAlign w:val="center"/>
          </w:tcPr>
          <w:p>
            <w:pPr>
              <w:pStyle w:val="11"/>
            </w:pPr>
            <w:r>
              <w:t>65.30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80.10</w:t>
            </w:r>
          </w:p>
        </w:tc>
        <w:tc>
          <w:tcPr>
            <w:tcW w:w="2551" w:type="dxa"/>
            <w:vAlign w:val="center"/>
          </w:tcPr>
          <w:p>
            <w:pPr>
              <w:pStyle w:val="11"/>
            </w:pPr>
            <w:r>
              <w:t>80.10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92.00</w:t>
            </w:r>
          </w:p>
        </w:tc>
        <w:tc>
          <w:tcPr>
            <w:tcW w:w="2551" w:type="dxa"/>
            <w:vAlign w:val="center"/>
          </w:tcPr>
          <w:p>
            <w:pPr>
              <w:pStyle w:val="11"/>
            </w:pPr>
          </w:p>
        </w:tc>
        <w:tc>
          <w:tcPr>
            <w:tcW w:w="2551"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26.70</w:t>
            </w:r>
          </w:p>
        </w:tc>
        <w:tc>
          <w:tcPr>
            <w:tcW w:w="2551" w:type="dxa"/>
            <w:vAlign w:val="center"/>
          </w:tcPr>
          <w:p>
            <w:pPr>
              <w:pStyle w:val="11"/>
            </w:pPr>
          </w:p>
        </w:tc>
        <w:tc>
          <w:tcPr>
            <w:tcW w:w="2551" w:type="dxa"/>
            <w:vAlign w:val="center"/>
          </w:tcPr>
          <w:p>
            <w:pPr>
              <w:pStyle w:val="11"/>
            </w:pPr>
            <w:r>
              <w:t>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23.60</w:t>
            </w:r>
          </w:p>
        </w:tc>
        <w:tc>
          <w:tcPr>
            <w:tcW w:w="2551" w:type="dxa"/>
            <w:vAlign w:val="center"/>
          </w:tcPr>
          <w:p>
            <w:pPr>
              <w:pStyle w:val="11"/>
            </w:pPr>
            <w:r>
              <w:t>23.60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23.60</w:t>
            </w:r>
          </w:p>
        </w:tc>
        <w:tc>
          <w:tcPr>
            <w:tcW w:w="2551" w:type="dxa"/>
            <w:vAlign w:val="center"/>
          </w:tcPr>
          <w:p>
            <w:pPr>
              <w:pStyle w:val="11"/>
            </w:pPr>
            <w:r>
              <w:t>23.60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pPr>
      <w:r>
        <w:rPr>
          <w:rFonts w:ascii="方正小标宋_GBK" w:hAnsi="方正小标宋_GBK" w:eastAsia="方正小标宋_GBK" w:cs="方正小标宋_GBK"/>
          <w:color w:val="000000"/>
          <w:sz w:val="44"/>
        </w:rPr>
        <w:t>中国人民政治协商会议无极县委员会办公室2022年部门预算信息公开情况说明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、《地方预决算公开操作规程》和《关于进一步推进预算公开工作的实施意见》规定，现将中国人民政治协商会议无极县委员会办公室2022年部门预算公开如下：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w:t>
      </w:r>
      <w:r>
        <w:rPr>
          <w:rFonts w:hint="eastAsia"/>
          <w:lang w:eastAsia="zh-CN"/>
        </w:rPr>
        <w:t>、</w:t>
      </w: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w:t>
      </w:r>
      <w:r>
        <w:rPr>
          <w:rFonts w:hint="eastAsia"/>
          <w:lang w:eastAsia="zh-CN"/>
        </w:rPr>
        <w:t>县委、县政府</w:t>
      </w:r>
      <w:r>
        <w:t>提出意见和建议。</w:t>
      </w:r>
    </w:p>
    <w:p>
      <w:pPr>
        <w:pStyle w:val="17"/>
      </w:pPr>
      <w:r>
        <w:rPr>
          <w:rFonts w:hint="eastAsia"/>
          <w:lang w:val="en-US" w:eastAsia="zh-CN"/>
        </w:rPr>
        <w:t>2</w:t>
      </w:r>
      <w:r>
        <w:t>、负责政协党组会议、委员会议、主席会议、常务委员会会议会务工作和文字材料工作。</w:t>
      </w:r>
    </w:p>
    <w:p>
      <w:pPr>
        <w:pStyle w:val="17"/>
      </w:pPr>
      <w:r>
        <w:rPr>
          <w:rFonts w:hint="eastAsia"/>
          <w:lang w:val="en-US" w:eastAsia="zh-CN"/>
        </w:rPr>
        <w:t>3</w:t>
      </w:r>
      <w:r>
        <w:t>、负责承办县政协常务委员会、主席会议决定安排的委员视察、调研活动的组织和服务 作。</w:t>
      </w:r>
    </w:p>
    <w:p>
      <w:pPr>
        <w:pStyle w:val="17"/>
      </w:pPr>
      <w:r>
        <w:rPr>
          <w:rFonts w:hint="eastAsia"/>
          <w:lang w:val="en-US" w:eastAsia="zh-CN"/>
        </w:rPr>
        <w:t>4</w:t>
      </w:r>
      <w:r>
        <w:t>、负责政协无极县委员会全体会议、常务委员会会议决议、决定的具体组织实施工作。</w:t>
      </w:r>
    </w:p>
    <w:p>
      <w:pPr>
        <w:pStyle w:val="17"/>
      </w:pPr>
      <w:r>
        <w:rPr>
          <w:rFonts w:hint="eastAsia"/>
          <w:lang w:val="en-US" w:eastAsia="zh-CN"/>
        </w:rPr>
        <w:t>5</w:t>
      </w:r>
      <w:r>
        <w:t>、负责与县委、人大、政府有关部门及乡镇、政协各参加单位的联系、协商等工作；协调各专门委员会活动的组织工作。</w:t>
      </w:r>
    </w:p>
    <w:p>
      <w:pPr>
        <w:pStyle w:val="17"/>
      </w:pPr>
      <w:r>
        <w:rPr>
          <w:rFonts w:hint="eastAsia"/>
          <w:lang w:val="en-US" w:eastAsia="zh-CN"/>
        </w:rPr>
        <w:t>6</w:t>
      </w:r>
      <w:r>
        <w:t>、负责县政协机关保卫、保密、档案和人民群众来信来访工作；负责县政协机关后勤、财务和离退休人员服务工作。</w:t>
      </w:r>
    </w:p>
    <w:p>
      <w:pPr>
        <w:pStyle w:val="17"/>
      </w:pPr>
      <w:r>
        <w:rPr>
          <w:rFonts w:hint="eastAsia"/>
          <w:lang w:val="en-US" w:eastAsia="zh-CN"/>
        </w:rPr>
        <w:t>7</w:t>
      </w:r>
      <w:r>
        <w:t>、负责县政协的对外联谊接待工作。</w:t>
      </w:r>
    </w:p>
    <w:p>
      <w:pPr>
        <w:pStyle w:val="17"/>
      </w:pPr>
      <w:r>
        <w:rPr>
          <w:rFonts w:hint="eastAsia"/>
          <w:lang w:val="en-US" w:eastAsia="zh-CN"/>
        </w:rPr>
        <w:t>8</w:t>
      </w:r>
      <w:r>
        <w:t>、负责机关来文来电处理、信息宣传工作。</w:t>
      </w:r>
    </w:p>
    <w:p>
      <w:pPr>
        <w:pStyle w:val="17"/>
      </w:pPr>
      <w:r>
        <w:rPr>
          <w:rFonts w:hint="eastAsia"/>
          <w:lang w:val="en-US" w:eastAsia="zh-CN"/>
        </w:rPr>
        <w:t>9</w:t>
      </w:r>
      <w:r>
        <w:t>、负责县政协委员的学习、联络接待和来信来访工作。</w:t>
      </w:r>
    </w:p>
    <w:p>
      <w:pPr>
        <w:pStyle w:val="17"/>
      </w:pPr>
      <w:r>
        <w:rPr>
          <w:rFonts w:hint="eastAsia"/>
          <w:lang w:val="en-US" w:eastAsia="zh-CN"/>
        </w:rPr>
        <w:t>10</w:t>
      </w:r>
      <w:r>
        <w:t>、负责信息反馈和社情民意工作。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部门预算的编制实行综合预算管理，即全部收入和支出都反映在预算中。中国人民政治协商会议无极县委员会办公室机关及所属事业单位的收支包含在部门预算中。</w:t>
      </w:r>
    </w:p>
    <w:p>
      <w:pPr>
        <w:pStyle w:val="18"/>
      </w:pPr>
      <w:r>
        <w:t>1、收入说明</w:t>
      </w:r>
    </w:p>
    <w:p>
      <w:pPr>
        <w:pStyle w:val="18"/>
      </w:pPr>
      <w:r>
        <w:t>无极县政协办2022年</w:t>
      </w:r>
      <w:r>
        <w:rPr>
          <w:rFonts w:hint="eastAsia"/>
          <w:lang w:val="en-US" w:eastAsia="zh-CN"/>
        </w:rPr>
        <w:t>部门</w:t>
      </w:r>
      <w:r>
        <w:t>预算收入总计492.7万元。其中，一般公共预算收入492.7万元、政府性基金收入0万元、财政专户核拨收入0万元，其他来源收入0万元。</w:t>
      </w:r>
    </w:p>
    <w:p>
      <w:pPr>
        <w:pStyle w:val="18"/>
      </w:pPr>
      <w:r>
        <w:t>2、支出说明</w:t>
      </w:r>
    </w:p>
    <w:p>
      <w:pPr>
        <w:pStyle w:val="18"/>
      </w:pPr>
      <w:r>
        <w:t>2022年部门支出预算为492.7万元，其中基本支出442.7万元，包括人员经费350.7万元和日常公用经费92万元；项目支出50万元，主要为政协十四届二次会议50万元支出。</w:t>
      </w:r>
    </w:p>
    <w:p>
      <w:pPr>
        <w:pStyle w:val="18"/>
      </w:pPr>
      <w:r>
        <w:t>3、比上年增减情况</w:t>
      </w:r>
    </w:p>
    <w:p>
      <w:pPr>
        <w:pStyle w:val="18"/>
      </w:pPr>
      <w:r>
        <w:t>2022年部门预算支出安排492.7万元，较2021年的576.05万元减少83.35万元，（其中：基本支出增加40.65万元，主要是人员变动和工资调整，相应增加人员经费和日常公用经费，退休人员改由社保支出减少141万元；项目支出增加17万元，主要是因为十四届二次会议落实疫情防控要求实行闭环管理，会议费用增加。）</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三、机关运行经费安排情况</w:t>
      </w:r>
    </w:p>
    <w:p>
      <w:pPr>
        <w:pStyle w:val="18"/>
      </w:pPr>
      <w:r>
        <w:t>2022年，我部门机关运行经费共计安排92万元，主要用于保证机关正常运转的办公及印刷费、邮电费、差旅费、福利费、办公用房水电费、办公用房取暖费、日常维修费、公务车运行维护费等支出。</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0"/>
      </w:pPr>
      <w:r>
        <w:t>2022年，我部门财政拨款“三公”经费预算安排16万元，相比无增减，其中：因公出国（境）费0万元；公务用车购置及运维费16万元（其中：公务用车购置费0万元，公务用车运行维护费16万元)；公务接待费0万元，与2021年相比持平无增减变化。</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五、预算绩效信息</w:t>
      </w:r>
    </w:p>
    <w:p>
      <w:pPr>
        <w:pStyle w:val="18"/>
        <w:rPr>
          <w:rFonts w:ascii="方正楷体_GBK" w:hAnsi="方正楷体_GBK" w:eastAsia="方正楷体_GBK" w:cs="方正楷体_GBK"/>
          <w:b/>
          <w:color w:val="000000"/>
          <w:sz w:val="32"/>
          <w:szCs w:val="24"/>
          <w:lang w:val="en-US" w:eastAsia="uk-UA" w:bidi="ar-SA"/>
        </w:rPr>
      </w:pPr>
      <w:r>
        <w:rPr>
          <w:rFonts w:ascii="方正楷体_GBK" w:hAnsi="方正楷体_GBK" w:eastAsia="方正楷体_GBK" w:cs="方正楷体_GBK"/>
          <w:b/>
          <w:color w:val="000000"/>
          <w:sz w:val="32"/>
          <w:szCs w:val="24"/>
          <w:lang w:val="en-US" w:eastAsia="uk-UA" w:bidi="ar-SA"/>
        </w:rPr>
        <w:t>第一部分</w:t>
      </w:r>
      <w:r>
        <w:rPr>
          <w:rFonts w:hint="eastAsia" w:ascii="方正楷体_GBK" w:hAnsi="方正楷体_GBK" w:eastAsia="方正楷体_GBK" w:cs="方正楷体_GBK"/>
          <w:b/>
          <w:color w:val="000000"/>
          <w:sz w:val="32"/>
          <w:szCs w:val="24"/>
          <w:lang w:val="en-US" w:eastAsia="zh-CN" w:bidi="ar-SA"/>
        </w:rPr>
        <w:t xml:space="preserve"> </w:t>
      </w:r>
      <w:r>
        <w:rPr>
          <w:rFonts w:ascii="方正楷体_GBK" w:hAnsi="方正楷体_GBK" w:eastAsia="方正楷体_GBK" w:cs="方正楷体_GBK"/>
          <w:b/>
          <w:color w:val="000000"/>
          <w:sz w:val="32"/>
          <w:szCs w:val="24"/>
          <w:lang w:val="en-US" w:eastAsia="uk-UA" w:bidi="ar-SA"/>
        </w:rPr>
        <w:t>部门整体绩效目标</w:t>
      </w:r>
    </w:p>
    <w:p>
      <w:pPr>
        <w:pStyle w:val="18"/>
      </w:pPr>
      <w:r>
        <w:t>（一）总体绩效目标</w:t>
      </w:r>
    </w:p>
    <w:p>
      <w:pPr>
        <w:pStyle w:val="18"/>
      </w:pP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提案等形式，向</w:t>
      </w:r>
      <w:r>
        <w:rPr>
          <w:rFonts w:hint="eastAsia"/>
          <w:lang w:eastAsia="zh-CN"/>
        </w:rPr>
        <w:t>县委、县政府</w:t>
      </w:r>
      <w:r>
        <w:t>提出意见和建议。</w:t>
      </w:r>
    </w:p>
    <w:p>
      <w:pPr>
        <w:pStyle w:val="18"/>
      </w:pPr>
      <w:r>
        <w:t>2022年，县政协及其常委会工作将以习近平新时代中国特色社会主义思想为指导，深入学习贯彻党的十九大和十九届二中、三中、四中、五中、六中全会精神和县委十二届二次 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实业强县、幸福无极”作出新的更大贡献。一、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pStyle w:val="18"/>
      </w:pPr>
      <w:r>
        <w:t>（二）分项绩效目标</w:t>
      </w:r>
    </w:p>
    <w:p>
      <w:pPr>
        <w:pStyle w:val="18"/>
      </w:pPr>
      <w:r>
        <w:t>1、规范会议程序，提高会议质量。</w:t>
      </w:r>
    </w:p>
    <w:p>
      <w:pPr>
        <w:pStyle w:val="18"/>
      </w:pPr>
      <w:r>
        <w:t>绩效目标：落实疫情防控各项要求，保障会议顺利召开；保障委员履行职责。</w:t>
      </w:r>
    </w:p>
    <w:p>
      <w:pPr>
        <w:pStyle w:val="18"/>
      </w:pPr>
      <w:r>
        <w:t>绩效指标：会场安排、食宿安排完成率；收集整理委员提出的议案、建议和意见完成率95%以上。</w:t>
      </w:r>
    </w:p>
    <w:p>
      <w:pPr>
        <w:pStyle w:val="18"/>
      </w:pPr>
      <w:r>
        <w:t>（三）工作保障措施</w:t>
      </w:r>
    </w:p>
    <w:p>
      <w:pPr>
        <w:pStyle w:val="18"/>
      </w:pPr>
      <w:r>
        <w:t>1、加强制度建设。建立健全机关预算绩效管理制度，为全年预算绩效目标的实现奠定制度基础。</w:t>
      </w:r>
    </w:p>
    <w:p>
      <w:pPr>
        <w:pStyle w:val="18"/>
      </w:pPr>
      <w:r>
        <w:t>2、规范财务管理。进一步完善财务管理制度，通过科学编制预算、优化支出结构、加快政府采购、加快项目建设、及时拨付资金，确保经费支出进度达到规定标准。</w:t>
      </w:r>
    </w:p>
    <w:p>
      <w:pPr>
        <w:pStyle w:val="18"/>
      </w:pPr>
      <w:r>
        <w:t>3、加强内部监督。加强内部监督制度建设，对绩效运行、重大支出事项、资产处置及其他重要经济业务事项决策和执行进行监督，定期开展财务内部审计，确保财政资金使用安全合规。</w:t>
      </w:r>
    </w:p>
    <w:p>
      <w:pPr>
        <w:pStyle w:val="18"/>
      </w:pPr>
      <w:r>
        <w:t>4、加强绩效监控。积极开展绩效运行监控，发现问题及时采取措施，确保绩效目标如期保质实现。</w:t>
      </w:r>
    </w:p>
    <w:p>
      <w:pPr>
        <w:pStyle w:val="18"/>
      </w:pPr>
      <w:r>
        <w:t>5、做好绩效自评。按要求开展部门预算绩效自评和重点项目评价工作，对评价中发现的问题及时整改。</w:t>
      </w:r>
    </w:p>
    <w:p>
      <w:pPr>
        <w:pStyle w:val="18"/>
      </w:pPr>
      <w:r>
        <w:t>6、加强宣传培训。加强人员培训，加大宣传力度，强化预算绩效管理意识，促进预算绩效管理水平提升。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28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0"/>
        </w:numPr>
        <w:ind w:firstLine="28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ind w:left="640" w:leftChars="0"/>
      </w:pPr>
      <w:r>
        <w:rPr>
          <w:rFonts w:ascii="方正仿宋_GBK" w:hAnsi="方正仿宋_GBK" w:eastAsia="方正仿宋_GBK" w:cs="方正仿宋_GBK"/>
          <w:b/>
          <w:color w:val="000000"/>
          <w:sz w:val="28"/>
        </w:rPr>
        <w:t>1、政协十四届二次全会绩效目标表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default" w:eastAsia="方正书宋_GBK"/>
                <w:lang w:val="en-US" w:eastAsia="zh-CN"/>
              </w:rPr>
            </w:pPr>
            <w:r>
              <w:t>1.目标内容</w:t>
            </w:r>
            <w:r>
              <w:rPr>
                <w:rFonts w:hint="eastAsia"/>
                <w:lang w:eastAsia="zh-CN"/>
              </w:rPr>
              <w:t>：</w:t>
            </w:r>
            <w:r>
              <w:rPr>
                <w:rFonts w:hint="eastAsia"/>
                <w:lang w:val="en-US" w:eastAsia="zh-CN"/>
              </w:rPr>
              <w:t>保证会议的顺利召开。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2835" w:type="dxa"/>
            <w:vAlign w:val="center"/>
          </w:tcPr>
          <w:p>
            <w:pPr>
              <w:pStyle w:val="12"/>
            </w:pPr>
            <w:r>
              <w:t>召开会议次数</w:t>
            </w:r>
          </w:p>
        </w:tc>
        <w:tc>
          <w:tcPr>
            <w:tcW w:w="2551" w:type="dxa"/>
            <w:vAlign w:val="center"/>
          </w:tcPr>
          <w:p>
            <w:pPr>
              <w:pStyle w:val="12"/>
            </w:pPr>
            <w:r>
              <w:t>≥98就大方针政策以及政治、、经济、文化、和生态文明中的重要问题，在决策前进行协商和就决策执行过程中的重要问题进行协商。</w:t>
            </w:r>
          </w:p>
        </w:tc>
        <w:tc>
          <w:tcPr>
            <w:tcW w:w="2268" w:type="dxa"/>
            <w:vAlign w:val="center"/>
          </w:tcPr>
          <w:p>
            <w:pPr>
              <w:pStyle w:val="12"/>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推进政党协商制度建设工作完成率</w:t>
            </w:r>
          </w:p>
        </w:tc>
        <w:tc>
          <w:tcPr>
            <w:tcW w:w="2835" w:type="dxa"/>
            <w:vAlign w:val="center"/>
          </w:tcPr>
          <w:p>
            <w:pPr>
              <w:pStyle w:val="12"/>
            </w:pPr>
            <w:r>
              <w:t>推进政党协商制度建设工作完成率</w:t>
            </w:r>
          </w:p>
        </w:tc>
        <w:tc>
          <w:tcPr>
            <w:tcW w:w="2551" w:type="dxa"/>
            <w:vAlign w:val="center"/>
          </w:tcPr>
          <w:p>
            <w:pPr>
              <w:pStyle w:val="12"/>
            </w:pPr>
            <w:r>
              <w:t>≥98围绕县委、县政府中心工作</w:t>
            </w:r>
          </w:p>
        </w:tc>
        <w:tc>
          <w:tcPr>
            <w:tcW w:w="2268"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≥98会议是人民政协履行职能的主要形式，是开展工作的主体，是委员履行自身职责的主要途径。</w:t>
            </w:r>
          </w:p>
        </w:tc>
        <w:tc>
          <w:tcPr>
            <w:tcW w:w="2268"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会议费成本</w:t>
            </w:r>
          </w:p>
        </w:tc>
        <w:tc>
          <w:tcPr>
            <w:tcW w:w="2835" w:type="dxa"/>
            <w:vAlign w:val="center"/>
          </w:tcPr>
          <w:p>
            <w:pPr>
              <w:pStyle w:val="12"/>
            </w:pPr>
            <w:r>
              <w:t>人均会议费成本</w:t>
            </w:r>
          </w:p>
        </w:tc>
        <w:tc>
          <w:tcPr>
            <w:tcW w:w="2551" w:type="dxa"/>
            <w:vAlign w:val="center"/>
          </w:tcPr>
          <w:p>
            <w:pPr>
              <w:pStyle w:val="12"/>
            </w:pPr>
            <w:r>
              <w:t>≥98召开各种常委会、主席会、专委会议</w:t>
            </w:r>
          </w:p>
        </w:tc>
        <w:tc>
          <w:tcPr>
            <w:tcW w:w="2268"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≥98促进我县经济的发展</w:t>
            </w:r>
          </w:p>
        </w:tc>
        <w:tc>
          <w:tcPr>
            <w:tcW w:w="2268" w:type="dxa"/>
            <w:vAlign w:val="center"/>
          </w:tcPr>
          <w:p>
            <w:pPr>
              <w:pStyle w:val="12"/>
            </w:pPr>
            <w:r>
              <w:t xml:space="preserve">历年经验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政策建议采纳率</w:t>
            </w:r>
          </w:p>
        </w:tc>
        <w:tc>
          <w:tcPr>
            <w:tcW w:w="2835" w:type="dxa"/>
            <w:vAlign w:val="center"/>
          </w:tcPr>
          <w:p>
            <w:pPr>
              <w:pStyle w:val="12"/>
            </w:pPr>
            <w:r>
              <w:t>政策建议采纳率</w:t>
            </w:r>
          </w:p>
        </w:tc>
        <w:tc>
          <w:tcPr>
            <w:tcW w:w="2551" w:type="dxa"/>
            <w:vAlign w:val="center"/>
          </w:tcPr>
          <w:p>
            <w:pPr>
              <w:pStyle w:val="12"/>
            </w:pPr>
            <w:r>
              <w:t>≥98政策建议采纳</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≥98营造良好的生态环境</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党员参政议政、建言献策的比例</w:t>
            </w:r>
          </w:p>
        </w:tc>
        <w:tc>
          <w:tcPr>
            <w:tcW w:w="2835" w:type="dxa"/>
            <w:vAlign w:val="center"/>
          </w:tcPr>
          <w:p>
            <w:pPr>
              <w:pStyle w:val="12"/>
            </w:pPr>
            <w:r>
              <w:t>党员参政议政、建言献策的比例</w:t>
            </w:r>
          </w:p>
        </w:tc>
        <w:tc>
          <w:tcPr>
            <w:tcW w:w="2551" w:type="dxa"/>
            <w:vAlign w:val="center"/>
          </w:tcPr>
          <w:p>
            <w:pPr>
              <w:pStyle w:val="12"/>
            </w:pPr>
            <w:r>
              <w:t>≥98党员参政议政、建言献策的比例</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≥98服务对象满意度</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1" w:name="_Toc_3_3_0000000015"/>
      <w:r>
        <w:rPr>
          <w:rFonts w:ascii="黑体" w:hAnsi="黑体" w:eastAsia="黑体" w:cs="黑体"/>
          <w:color w:val="000000"/>
          <w:sz w:val="32"/>
        </w:rPr>
        <w:t>六、政府采购预算情况</w:t>
      </w:r>
      <w:bookmarkEnd w:id="11"/>
    </w:p>
    <w:p>
      <w:pPr>
        <w:spacing w:line="500" w:lineRule="exact"/>
        <w:ind w:firstLine="560"/>
      </w:pPr>
      <w:r>
        <w:rPr>
          <w:rFonts w:eastAsia="方正仿宋_GBK"/>
          <w:color w:val="000000"/>
          <w:sz w:val="28"/>
        </w:rPr>
        <w:t>2022年，中国人民政治协商会议无极县委员会办公室安排政府采购预算0.00万元。具体内容见下表。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2" w:name="_Toc_3_3_0000000016"/>
      <w:r>
        <w:rPr>
          <w:rFonts w:ascii="黑体" w:hAnsi="黑体" w:eastAsia="黑体" w:cs="黑体"/>
          <w:color w:val="000000"/>
          <w:sz w:val="32"/>
        </w:rPr>
        <w:t>七、国有资产信息</w:t>
      </w:r>
      <w:bookmarkEnd w:id="12"/>
    </w:p>
    <w:p>
      <w:pPr>
        <w:spacing w:line="500" w:lineRule="exact"/>
        <w:ind w:firstLine="560"/>
      </w:pPr>
      <w:r>
        <w:rPr>
          <w:rFonts w:eastAsia="方正仿宋_GBK"/>
          <w:color w:val="000000"/>
          <w:sz w:val="28"/>
        </w:rPr>
        <w:t>中国人民政治协商会议无极县委员会办公室（含所属单位）上年末固定资产金额为100.64万元（详见下表）。本年度拟购置固定资产总额为0.00万元，已按要求列入政府采购预算，详见政府采购预算表。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74.64</w:t>
            </w:r>
          </w:p>
        </w:tc>
      </w:tr>
    </w:tbl>
    <w:p>
      <w:pPr>
        <w:ind w:firstLine="640"/>
      </w:pPr>
      <w:r>
        <w:rPr>
          <w:rFonts w:eastAsia="方正仿宋_GBK"/>
          <w:color w:val="000000"/>
          <w:sz w:val="32"/>
        </w:rPr>
        <w:t xml:space="preserve"> </w:t>
      </w:r>
    </w:p>
    <w:p>
      <w:pPr>
        <w:spacing w:before="10" w:after="10"/>
        <w:ind w:firstLine="640"/>
        <w:outlineLvl w:val="2"/>
      </w:pPr>
      <w:bookmarkStart w:id="13" w:name="_Toc_3_3_0000000017"/>
      <w:r>
        <w:rPr>
          <w:rFonts w:ascii="黑体" w:hAnsi="黑体" w:eastAsia="黑体" w:cs="黑体"/>
          <w:color w:val="000000"/>
          <w:sz w:val="32"/>
        </w:rPr>
        <w:t>八、名词解释</w:t>
      </w:r>
      <w:bookmarkEnd w:id="13"/>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4" w:name="_Toc_3_3_0000000018"/>
      <w:r>
        <w:rPr>
          <w:rFonts w:ascii="黑体" w:hAnsi="黑体" w:eastAsia="黑体" w:cs="黑体"/>
          <w:color w:val="000000"/>
          <w:sz w:val="32"/>
        </w:rPr>
        <w:t>九、其他需要说明的事项</w:t>
      </w:r>
      <w:bookmarkEnd w:id="14"/>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E423C2"/>
    <w:multiLevelType w:val="singleLevel"/>
    <w:tmpl w:val="C6E423C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096"/>
    <w:rsid w:val="007C1D29"/>
    <w:rsid w:val="00994096"/>
    <w:rsid w:val="00C94B12"/>
    <w:rsid w:val="0DF05C93"/>
    <w:rsid w:val="11615B09"/>
    <w:rsid w:val="18CC7627"/>
    <w:rsid w:val="1A8E72B3"/>
    <w:rsid w:val="29E61D67"/>
    <w:rsid w:val="2AC13DA2"/>
    <w:rsid w:val="34A93E59"/>
    <w:rsid w:val="36816F41"/>
    <w:rsid w:val="3DA01E89"/>
    <w:rsid w:val="44C90EF2"/>
    <w:rsid w:val="44D00BE4"/>
    <w:rsid w:val="4ACB6AD4"/>
    <w:rsid w:val="5A097F4E"/>
    <w:rsid w:val="5B6A79A8"/>
    <w:rsid w:val="5DB20430"/>
    <w:rsid w:val="5E7403A5"/>
    <w:rsid w:val="605C1F42"/>
    <w:rsid w:val="69DD36B7"/>
    <w:rsid w:val="6F1C14DE"/>
    <w:rsid w:val="71B64FB2"/>
    <w:rsid w:val="735B3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2022-06-17T09:55:01Z</dcterms:created>
  <dcterms:modified xsi:type="dcterms:W3CDTF">2022-06-17T01:55:01Z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2022-06-17T09:54:58Z</dcterms:created>
  <dcterms:modified xsi:type="dcterms:W3CDTF">2022-06-17T01:54:58Z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2022-06-17T09:54:57Z</dcterms:created>
  <dcterms:modified xsi:type="dcterms:W3CDTF">2022-06-17T01:54:57Z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2022-06-17T09:55:00Z</dcterms:created>
  <dcterms:modified xsi:type="dcterms:W3CDTF">2022-06-17T01:55:00Z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2022-06-17T09:54:58Z</dcterms:created>
  <dcterms:modified xsi:type="dcterms:W3CDTF">2022-06-17T01:54:58Z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2022-06-17T09:55:00Z</dcterms:created>
  <dcterms:modified xsi:type="dcterms:W3CDTF">2022-06-17T01:55:00Z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2022-06-17T09:54:57Z</dcterms:created>
  <dcterms:modified xsi:type="dcterms:W3CDTF">2022-06-17T01:54:57Z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C59638B-BD5D-4F02-8232-CF7990977CD2}">
  <ds:schemaRefs/>
</ds:datastoreItem>
</file>

<file path=customXml/itemProps10.xml><?xml version="1.0" encoding="utf-8"?>
<ds:datastoreItem xmlns:ds="http://schemas.openxmlformats.org/officeDocument/2006/customXml" ds:itemID="{AB59B3D7-7A16-41FA-9A88-758E3F947EDC}">
  <ds:schemaRefs/>
</ds:datastoreItem>
</file>

<file path=customXml/itemProps11.xml><?xml version="1.0" encoding="utf-8"?>
<ds:datastoreItem xmlns:ds="http://schemas.openxmlformats.org/officeDocument/2006/customXml" ds:itemID="{A5139877-BCE6-4650-A428-4EC34C1AEB02}">
  <ds:schemaRefs/>
</ds:datastoreItem>
</file>

<file path=customXml/itemProps12.xml><?xml version="1.0" encoding="utf-8"?>
<ds:datastoreItem xmlns:ds="http://schemas.openxmlformats.org/officeDocument/2006/customXml" ds:itemID="{ED920548-0A65-4800-B322-223421238647}">
  <ds:schemaRefs/>
</ds:datastoreItem>
</file>

<file path=customXml/itemProps13.xml><?xml version="1.0" encoding="utf-8"?>
<ds:datastoreItem xmlns:ds="http://schemas.openxmlformats.org/officeDocument/2006/customXml" ds:itemID="{401743E7-CC73-4130-82E1-7262CDE81A6C}">
  <ds:schemaRefs/>
</ds:datastoreItem>
</file>

<file path=customXml/itemProps14.xml><?xml version="1.0" encoding="utf-8"?>
<ds:datastoreItem xmlns:ds="http://schemas.openxmlformats.org/officeDocument/2006/customXml" ds:itemID="{B3E22C59-8155-4BA0-B369-BCA7946BF827}">
  <ds:schemaRefs/>
</ds:datastoreItem>
</file>

<file path=customXml/itemProps2.xml><?xml version="1.0" encoding="utf-8"?>
<ds:datastoreItem xmlns:ds="http://schemas.openxmlformats.org/officeDocument/2006/customXml" ds:itemID="{303620DB-729F-4817-A952-055E2A6EF3A2}">
  <ds:schemaRefs/>
</ds:datastoreItem>
</file>

<file path=customXml/itemProps3.xml><?xml version="1.0" encoding="utf-8"?>
<ds:datastoreItem xmlns:ds="http://schemas.openxmlformats.org/officeDocument/2006/customXml" ds:itemID="{BBBF4AF1-A505-48A0-8CD5-67EB3745DCB0}">
  <ds:schemaRefs/>
</ds:datastoreItem>
</file>

<file path=customXml/itemProps4.xml><?xml version="1.0" encoding="utf-8"?>
<ds:datastoreItem xmlns:ds="http://schemas.openxmlformats.org/officeDocument/2006/customXml" ds:itemID="{4AC4C737-0845-4EA9-884B-B2B5DA0A7E8C}">
  <ds:schemaRefs/>
</ds:datastoreItem>
</file>

<file path=customXml/itemProps5.xml><?xml version="1.0" encoding="utf-8"?>
<ds:datastoreItem xmlns:ds="http://schemas.openxmlformats.org/officeDocument/2006/customXml" ds:itemID="{616C6C37-86BA-450C-8B4D-20297F97A866}">
  <ds:schemaRefs/>
</ds:datastoreItem>
</file>

<file path=customXml/itemProps6.xml><?xml version="1.0" encoding="utf-8"?>
<ds:datastoreItem xmlns:ds="http://schemas.openxmlformats.org/officeDocument/2006/customXml" ds:itemID="{421EFD5E-0E1E-4999-AA39-5385F88D8731}">
  <ds:schemaRefs/>
</ds:datastoreItem>
</file>

<file path=customXml/itemProps7.xml><?xml version="1.0" encoding="utf-8"?>
<ds:datastoreItem xmlns:ds="http://schemas.openxmlformats.org/officeDocument/2006/customXml" ds:itemID="{301F2C8C-5657-454B-812F-546CD456B49D}">
  <ds:schemaRefs/>
</ds:datastoreItem>
</file>

<file path=customXml/itemProps8.xml><?xml version="1.0" encoding="utf-8"?>
<ds:datastoreItem xmlns:ds="http://schemas.openxmlformats.org/officeDocument/2006/customXml" ds:itemID="{E35EF7C3-8D3D-407D-9447-048154195B07}">
  <ds:schemaRefs/>
</ds:datastoreItem>
</file>

<file path=customXml/itemProps9.xml><?xml version="1.0" encoding="utf-8"?>
<ds:datastoreItem xmlns:ds="http://schemas.openxmlformats.org/officeDocument/2006/customXml" ds:itemID="{401731F4-203A-464A-A1C1-10C297866B59}">
  <ds:schemaRefs/>
</ds:datastoreItem>
</file>

<file path=docProps/app.xml><?xml version="1.0" encoding="utf-8"?>
<Properties xmlns="http://schemas.openxmlformats.org/officeDocument/2006/extended-properties" xmlns:vt="http://schemas.openxmlformats.org/officeDocument/2006/docPropsVTypes">
  <Template>Normal.dotm</Template>
  <Company>微软公司</Company>
  <Pages>51</Pages>
  <Words>3600</Words>
  <Characters>20522</Characters>
  <Lines>171</Lines>
  <Paragraphs>48</Paragraphs>
  <TotalTime>8</TotalTime>
  <ScaleCrop>false</ScaleCrop>
  <LinksUpToDate>false</LinksUpToDate>
  <CharactersWithSpaces>24074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2022-06-17T02:22:00Z</dcterms:created>
  <dc:creator>Administrator</dc:creator>
  <cp:lastModifiedBy>Administrator</cp:lastModifiedBy>
  <dcterms:modified xsi:type="dcterms:W3CDTF">2024-03-27T03:14:22Z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B21B667CEAFA4A04BE654A33DCEBE125</vt:lpwstr>
  </property>
</Properties>
</file>