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tabs>
          <w:tab w:val="right" w:leader="dot" w:pos="14562"/>
        </w:tabs>
        <w:ind w:left="0" w:leftChars="0" w:firstLine="0" w:firstLineChars="0"/>
        <w:jc w:val="center"/>
        <w:rPr>
          <w:rFonts w:ascii="黑体" w:hAnsi="黑体" w:eastAsia="黑体" w:cs="黑体"/>
          <w:b/>
          <w:color w:val="000000"/>
          <w:sz w:val="44"/>
        </w:rPr>
      </w:pPr>
      <w:bookmarkStart w:id="4" w:name="_GoBack"/>
      <w:bookmarkEnd w:id="4"/>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pStyle w:val="3"/>
        <w:tabs>
          <w:tab w:val="right" w:leader="dot" w:pos="14562"/>
        </w:tabs>
        <w:ind w:left="0" w:leftChars="0" w:firstLine="0" w:firstLineChars="0"/>
        <w:rPr>
          <w:rFonts w:hint="eastAsia"/>
          <w:lang w:val="en-US" w:eastAsia="zh-CN"/>
        </w:rPr>
      </w:pPr>
    </w:p>
    <w:p>
      <w:pPr>
        <w:pStyle w:val="3"/>
        <w:tabs>
          <w:tab w:val="right" w:leader="dot" w:pos="14562"/>
        </w:tabs>
        <w:ind w:left="0" w:leftChars="0" w:firstLine="0" w:firstLineChars="0"/>
        <w:rPr>
          <w:rFonts w:hint="eastAsia" w:eastAsia="方正仿宋_GBK"/>
        </w:rPr>
      </w:pPr>
      <w:r>
        <w:rPr>
          <w:rFonts w:hint="eastAsia"/>
          <w:lang w:val="en-US" w:eastAsia="zh-CN"/>
        </w:rPr>
        <w:t>一、</w:t>
      </w:r>
      <w:r>
        <w:rPr>
          <w:rFonts w:hint="eastAsia" w:eastAsia="方正仿宋_GBK"/>
        </w:rPr>
        <w:t>中国人民政治协商会议无极县委员会办公室</w:t>
      </w:r>
      <w:r>
        <w:rPr>
          <w:rFonts w:hint="eastAsia" w:eastAsia="方正仿宋_GBK"/>
        </w:rPr>
        <w:fldChar w:fldCharType="begin"/>
      </w:r>
      <w:r>
        <w:rPr>
          <w:rFonts w:hint="eastAsia" w:eastAsia="方正仿宋_GBK"/>
        </w:rPr>
        <w:instrText xml:space="preserve">TOC \o "2-2" \h \z \u</w:instrText>
      </w:r>
      <w:r>
        <w:rPr>
          <w:rFonts w:hint="eastAsia" w:eastAsia="方正仿宋_GBK"/>
        </w:rPr>
        <w:fldChar w:fldCharType="separate"/>
      </w:r>
      <w:r>
        <w:rPr>
          <w:rFonts w:hint="eastAsia" w:eastAsia="方正仿宋_GBK"/>
        </w:rPr>
        <w:fldChar w:fldCharType="begin"/>
      </w:r>
      <w:r>
        <w:rPr>
          <w:rFonts w:hint="eastAsia" w:eastAsia="方正仿宋_GBK"/>
        </w:rPr>
        <w:instrText xml:space="preserve"> HYPERLINK \l "_Toc_2_2_0000000001" </w:instrText>
      </w:r>
      <w:r>
        <w:rPr>
          <w:rFonts w:hint="eastAsia" w:eastAsia="方正仿宋_GBK"/>
        </w:rPr>
        <w:fldChar w:fldCharType="separate"/>
      </w:r>
      <w:r>
        <w:rPr>
          <w:rFonts w:hint="eastAsia" w:eastAsia="方正仿宋_GBK"/>
          <w:lang w:eastAsia="zh-CN"/>
        </w:rPr>
        <w:t>本级</w:t>
      </w:r>
      <w:r>
        <w:rPr>
          <w:rFonts w:hint="eastAsia" w:eastAsia="方正仿宋_GBK"/>
        </w:rPr>
        <w:t>收支预算</w:t>
      </w:r>
      <w:r>
        <w:rPr>
          <w:rFonts w:hint="eastAsia" w:eastAsia="方正仿宋_GBK"/>
        </w:rPr>
        <w:tab/>
      </w:r>
      <w:r>
        <w:rPr>
          <w:rFonts w:hint="eastAsia" w:eastAsia="方正仿宋_GBK"/>
          <w:lang w:val="en-US" w:eastAsia="zh-CN"/>
        </w:rPr>
        <w:t>2</w:t>
      </w:r>
      <w:r>
        <w:rPr>
          <w:rFonts w:hint="eastAsia" w:eastAsia="方正仿宋_GBK"/>
        </w:rPr>
        <w:fldChar w:fldCharType="end"/>
      </w:r>
    </w:p>
    <w:p>
      <w:pPr>
        <w:pStyle w:val="3"/>
        <w:tabs>
          <w:tab w:val="right" w:leader="dot" w:pos="14562"/>
        </w:tabs>
        <w:rPr>
          <w:rFonts w:hint="eastAsia" w:eastAsia="方正仿宋_GBK"/>
        </w:rPr>
      </w:pPr>
    </w:p>
    <w:p>
      <w:pPr>
        <w:jc w:val="center"/>
        <w:outlineLvl w:val="0"/>
        <w:rPr>
          <w:rFonts w:ascii="方正小标宋_GBK" w:hAnsi="方正小标宋_GBK" w:eastAsia="方正小标宋_GBK" w:cs="方正小标宋_GBK"/>
          <w:color w:val="000000"/>
          <w:sz w:val="72"/>
        </w:rPr>
        <w:sectPr>
          <w:footerReference r:id="rId3" w:type="default"/>
          <w:pgSz w:w="16840" w:h="11900" w:orient="landscape"/>
          <w:pgMar w:top="1361" w:right="1020" w:bottom="1134" w:left="1020" w:header="720" w:footer="720" w:gutter="0"/>
          <w:cols w:space="720" w:num="1"/>
        </w:sectPr>
      </w:pPr>
      <w:r>
        <w:rPr>
          <w:rFonts w:hint="eastAsia" w:eastAsia="方正仿宋_GBK"/>
        </w:rPr>
        <w:fldChar w:fldCharType="end"/>
      </w:r>
    </w:p>
    <w:p>
      <w:pPr>
        <w:widowControl/>
        <w:jc w:val="center"/>
        <w:outlineLvl w:val="3"/>
        <w:rPr>
          <w:rFonts w:ascii="Times New Roman" w:hAnsi="Times New Roman" w:eastAsia="宋体" w:cs="Times New Roman"/>
          <w:kern w:val="0"/>
          <w:sz w:val="24"/>
          <w:szCs w:val="24"/>
        </w:rPr>
      </w:pPr>
      <w:r>
        <w:rPr>
          <w:rFonts w:ascii="方正小标宋_GBK" w:hAnsi="方正小标宋_GBK" w:eastAsia="宋体" w:cs="Times New Roman"/>
          <w:color w:val="000000"/>
          <w:kern w:val="0"/>
          <w:sz w:val="44"/>
          <w:szCs w:val="44"/>
        </w:rPr>
        <w:t>一、中国人民政治协商会议无极县委员会办公室本级收支预算</w:t>
      </w:r>
    </w:p>
    <w:p>
      <w:pPr>
        <w:widowControl/>
        <w:jc w:val="center"/>
        <w:outlineLvl w:val="4"/>
        <w:rPr>
          <w:rFonts w:ascii="Times New Roman" w:hAnsi="Times New Roman" w:eastAsia="宋体" w:cs="Times New Roman"/>
          <w:kern w:val="0"/>
          <w:sz w:val="24"/>
          <w:szCs w:val="24"/>
        </w:rPr>
      </w:pPr>
      <w:r>
        <w:rPr>
          <w:rFonts w:ascii="方正小标宋_GBK" w:hAnsi="方正小标宋_GBK" w:eastAsia="宋体" w:cs="Times New Roman"/>
          <w:color w:val="000000"/>
          <w:kern w:val="0"/>
          <w:sz w:val="36"/>
          <w:szCs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6" w:type="dxa"/>
            <w:gridSpan w:val="2"/>
            <w:tcBorders>
              <w:top w:val="single" w:color="FFFFFF" w:sz="6" w:space="0"/>
              <w:left w:val="single" w:color="FFFFFF" w:sz="6" w:space="0"/>
              <w:bottom w:val="single" w:color="000000" w:sz="6" w:space="0"/>
              <w:right w:val="single" w:color="FFFFFF" w:sz="6" w:space="0"/>
            </w:tcBorders>
            <w:vAlign w:val="center"/>
          </w:tcPr>
          <w:p>
            <w:pPr>
              <w:widowControl/>
              <w:jc w:val="left"/>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131001中国人民政治协商会议无极县委员会办公室本级</w:t>
            </w:r>
          </w:p>
        </w:tc>
        <w:tc>
          <w:tcPr>
            <w:tcW w:w="2126" w:type="dxa"/>
            <w:tcBorders>
              <w:top w:val="single" w:color="FFFFFF" w:sz="6" w:space="0"/>
              <w:left w:val="nil"/>
              <w:bottom w:val="single" w:color="000000" w:sz="6" w:space="0"/>
              <w:right w:val="single" w:color="FFFFFF" w:sz="6" w:space="0"/>
            </w:tcBorders>
            <w:vAlign w:val="center"/>
          </w:tcPr>
          <w:p>
            <w:pPr>
              <w:widowControl/>
              <w:jc w:val="center"/>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预算年度：2022</w:t>
            </w:r>
          </w:p>
        </w:tc>
        <w:tc>
          <w:tcPr>
            <w:tcW w:w="6661" w:type="dxa"/>
            <w:gridSpan w:val="2"/>
            <w:tcBorders>
              <w:top w:val="single" w:color="FFFFFF" w:sz="6" w:space="0"/>
              <w:left w:val="nil"/>
              <w:bottom w:val="single" w:color="000000" w:sz="6" w:space="0"/>
              <w:right w:val="single" w:color="FFFFFF" w:sz="6" w:space="0"/>
            </w:tcBorders>
            <w:vAlign w:val="center"/>
          </w:tcPr>
          <w:p>
            <w:pPr>
              <w:widowControl/>
              <w:jc w:val="right"/>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Merge w:val="restart"/>
            <w:tcBorders>
              <w:top w:val="nil"/>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序号</w:t>
            </w:r>
          </w:p>
        </w:tc>
        <w:tc>
          <w:tcPr>
            <w:tcW w:w="6662" w:type="dxa"/>
            <w:gridSpan w:val="2"/>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收入</w:t>
            </w:r>
          </w:p>
        </w:tc>
        <w:tc>
          <w:tcPr>
            <w:tcW w:w="6661" w:type="dxa"/>
            <w:gridSpan w:val="2"/>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86" w:type="dxa"/>
            <w:vMerge w:val="continue"/>
            <w:tcBorders>
              <w:top w:val="nil"/>
              <w:left w:val="single" w:color="000000" w:sz="6" w:space="0"/>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4536"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项  目</w:t>
            </w:r>
          </w:p>
        </w:tc>
        <w:tc>
          <w:tcPr>
            <w:tcW w:w="2126"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预算数</w:t>
            </w:r>
          </w:p>
        </w:tc>
        <w:tc>
          <w:tcPr>
            <w:tcW w:w="4535"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项  目</w:t>
            </w:r>
          </w:p>
        </w:tc>
        <w:tc>
          <w:tcPr>
            <w:tcW w:w="2126"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栏次</w:t>
            </w:r>
          </w:p>
        </w:tc>
        <w:tc>
          <w:tcPr>
            <w:tcW w:w="4536"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1</w:t>
            </w:r>
          </w:p>
        </w:tc>
        <w:tc>
          <w:tcPr>
            <w:tcW w:w="2126"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2</w:t>
            </w:r>
          </w:p>
        </w:tc>
        <w:tc>
          <w:tcPr>
            <w:tcW w:w="4535"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3</w:t>
            </w:r>
          </w:p>
        </w:tc>
        <w:tc>
          <w:tcPr>
            <w:tcW w:w="2126"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一、一般公共预算拨款收入</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472.70</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一、一般公共服务支出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448.70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二、政府性基金预算拨款收入</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二、外交支出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3</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三、国有资本经营预算拨款收入</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三、国防支出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4</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四、财政专户管理资金收入</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四、公共安全支出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5</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五、事业收入</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五、教育支出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6</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六、事业单位经营收入</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六、科学技术支出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7</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七、上级补助收入</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七、文化旅游体育与传媒支出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8</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八、附属单位上缴收入</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八、社会保障和就业支出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9</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九、其他收入</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九、社会保险基金支出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10</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十、卫生健康支出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11</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十一、节能环保支出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12</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十二、城乡社区支出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13</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十三、农林水支出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14</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十四、交通运输支出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15</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十五、资源勘探工业信息等支出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16</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十六、商业服务业等支出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17</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十七、金融支出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18</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十八、援助其他地区支出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19</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十九、自然资源海洋气象等支出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20</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二十、住房保障支出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21</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二十一、粮油物资储备支出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22</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二十二、国有资本经营预算支出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23</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二十三、灾害防治及应急管理支出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24</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二十四、预备费</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25</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二十五、其他支出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26</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二十六、转移性支出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27</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二十七、债务还本支出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28</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二十八、债务付息支出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29</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二十九、债务发行费用支出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30</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三十、抗疫特别国债安排的支出</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31</w:t>
            </w:r>
          </w:p>
        </w:tc>
        <w:tc>
          <w:tcPr>
            <w:tcW w:w="4536"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本年收入合计</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r>
              <w:rPr>
                <w:rFonts w:ascii="方正书宋_GBK" w:hAnsi="方正书宋_GBK" w:eastAsia="宋体" w:cs="Times New Roman"/>
                <w:b/>
                <w:bCs/>
                <w:kern w:val="0"/>
                <w:szCs w:val="21"/>
              </w:rPr>
              <w:t>472.70</w:t>
            </w:r>
          </w:p>
        </w:tc>
        <w:tc>
          <w:tcPr>
            <w:tcW w:w="4535"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本年支出合计</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r>
              <w:rPr>
                <w:rFonts w:ascii="方正书宋_GBK" w:hAnsi="方正书宋_GBK" w:eastAsia="宋体" w:cs="Times New Roman"/>
                <w:b/>
                <w:bCs/>
                <w:kern w:val="0"/>
                <w:szCs w:val="21"/>
              </w:rPr>
              <w:t>472.70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32</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上年结转结余</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年终结转结余</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33</w:t>
            </w:r>
          </w:p>
        </w:tc>
        <w:tc>
          <w:tcPr>
            <w:tcW w:w="4536"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收入总计</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r>
              <w:rPr>
                <w:rFonts w:ascii="方正书宋_GBK" w:hAnsi="方正书宋_GBK" w:eastAsia="宋体" w:cs="Times New Roman"/>
                <w:b/>
                <w:bCs/>
                <w:kern w:val="0"/>
                <w:szCs w:val="21"/>
              </w:rPr>
              <w:t>472.70</w:t>
            </w:r>
          </w:p>
        </w:tc>
        <w:tc>
          <w:tcPr>
            <w:tcW w:w="4535"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支出总计</w:t>
            </w:r>
          </w:p>
        </w:tc>
        <w:tc>
          <w:tcPr>
            <w:tcW w:w="2126"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r>
              <w:rPr>
                <w:rFonts w:ascii="方正书宋_GBK" w:hAnsi="方正书宋_GBK" w:eastAsia="宋体" w:cs="Times New Roman"/>
                <w:b/>
                <w:bCs/>
                <w:kern w:val="0"/>
                <w:szCs w:val="21"/>
              </w:rPr>
              <w:t>472.70</w:t>
            </w:r>
          </w:p>
        </w:tc>
      </w:tr>
    </w:tbl>
    <w:p>
      <w:pPr>
        <w:widowControl/>
        <w:jc w:val="left"/>
        <w:rPr>
          <w:rFonts w:hint="eastAsia" w:ascii="方正小标宋_GBK" w:hAnsi="方正小标宋_GBK" w:eastAsia="宋体" w:cs="宋体"/>
          <w:color w:val="000000"/>
          <w:kern w:val="0"/>
          <w:sz w:val="36"/>
          <w:szCs w:val="36"/>
        </w:rPr>
        <w:sectPr>
          <w:pgSz w:w="16840" w:h="11900" w:orient="landscape"/>
          <w:pgMar w:top="1361" w:right="1020" w:bottom="1134" w:left="1020" w:header="720" w:footer="720" w:gutter="0"/>
          <w:cols w:space="720" w:num="1"/>
        </w:sectPr>
      </w:pPr>
    </w:p>
    <w:p>
      <w:pPr>
        <w:widowControl/>
        <w:jc w:val="center"/>
        <w:outlineLvl w:val="4"/>
        <w:rPr>
          <w:rFonts w:ascii="Times New Roman" w:hAnsi="Times New Roman" w:eastAsia="宋体" w:cs="Times New Roman"/>
          <w:kern w:val="0"/>
          <w:sz w:val="24"/>
          <w:szCs w:val="24"/>
        </w:rPr>
      </w:pPr>
      <w:r>
        <w:rPr>
          <w:rFonts w:ascii="方正小标宋_GBK" w:hAnsi="方正小标宋_GBK" w:eastAsia="宋体" w:cs="Times New Roman"/>
          <w:color w:val="000000"/>
          <w:kern w:val="0"/>
          <w:sz w:val="36"/>
          <w:szCs w:val="36"/>
        </w:rPr>
        <w:t>中国人民政治协商会议无极县委员会办公室预算收入总表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99" w:type="dxa"/>
            <w:gridSpan w:val="5"/>
            <w:tcBorders>
              <w:top w:val="single" w:color="FFFFFF" w:sz="6" w:space="0"/>
              <w:left w:val="single" w:color="FFFFFF" w:sz="6" w:space="0"/>
              <w:bottom w:val="single" w:color="000000" w:sz="6" w:space="0"/>
              <w:right w:val="single" w:color="FFFFFF" w:sz="6" w:space="0"/>
            </w:tcBorders>
            <w:vAlign w:val="center"/>
          </w:tcPr>
          <w:p>
            <w:pPr>
              <w:widowControl/>
              <w:jc w:val="left"/>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131001中国人民政治协商会议无极县委员会办公室本级</w:t>
            </w:r>
          </w:p>
        </w:tc>
        <w:tc>
          <w:tcPr>
            <w:tcW w:w="3402" w:type="dxa"/>
            <w:gridSpan w:val="3"/>
            <w:tcBorders>
              <w:top w:val="single" w:color="FFFFFF" w:sz="6" w:space="0"/>
              <w:left w:val="nil"/>
              <w:bottom w:val="single" w:color="000000" w:sz="6" w:space="0"/>
              <w:right w:val="single" w:color="FFFFFF" w:sz="6" w:space="0"/>
            </w:tcBorders>
            <w:vAlign w:val="center"/>
          </w:tcPr>
          <w:p>
            <w:pPr>
              <w:widowControl/>
              <w:jc w:val="center"/>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预算年度：2022</w:t>
            </w:r>
          </w:p>
        </w:tc>
        <w:tc>
          <w:tcPr>
            <w:tcW w:w="5670" w:type="dxa"/>
            <w:gridSpan w:val="5"/>
            <w:tcBorders>
              <w:top w:val="single" w:color="FFFFFF" w:sz="6" w:space="0"/>
              <w:left w:val="nil"/>
              <w:bottom w:val="single" w:color="000000" w:sz="6" w:space="0"/>
              <w:right w:val="single" w:color="FFFFFF" w:sz="6" w:space="0"/>
            </w:tcBorders>
            <w:vAlign w:val="center"/>
          </w:tcPr>
          <w:p>
            <w:pPr>
              <w:widowControl/>
              <w:jc w:val="right"/>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Merge w:val="restart"/>
            <w:tcBorders>
              <w:top w:val="nil"/>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序号</w:t>
            </w:r>
          </w:p>
        </w:tc>
        <w:tc>
          <w:tcPr>
            <w:tcW w:w="2551" w:type="dxa"/>
            <w:gridSpan w:val="2"/>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功能分类科目</w:t>
            </w:r>
          </w:p>
        </w:tc>
        <w:tc>
          <w:tcPr>
            <w:tcW w:w="1134" w:type="dxa"/>
            <w:vMerge w:val="restart"/>
            <w:tcBorders>
              <w:top w:val="nil"/>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合计</w:t>
            </w:r>
          </w:p>
        </w:tc>
        <w:tc>
          <w:tcPr>
            <w:tcW w:w="9072" w:type="dxa"/>
            <w:gridSpan w:val="8"/>
            <w:tcBorders>
              <w:top w:val="single" w:color="000000" w:sz="6" w:space="0"/>
              <w:left w:val="nil"/>
              <w:bottom w:val="nil"/>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本年收入</w:t>
            </w:r>
          </w:p>
        </w:tc>
        <w:tc>
          <w:tcPr>
            <w:tcW w:w="1134" w:type="dxa"/>
            <w:vMerge w:val="restart"/>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nil"/>
              <w:left w:val="single" w:color="000000" w:sz="6" w:space="0"/>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992"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科目    编码</w:t>
            </w:r>
          </w:p>
        </w:tc>
        <w:tc>
          <w:tcPr>
            <w:tcW w:w="1559"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科目名称</w:t>
            </w:r>
          </w:p>
        </w:tc>
        <w:tc>
          <w:tcPr>
            <w:tcW w:w="300" w:type="dxa"/>
            <w:vMerge w:val="continue"/>
            <w:tcBorders>
              <w:top w:val="nil"/>
              <w:left w:val="nil"/>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小计</w:t>
            </w:r>
          </w:p>
        </w:tc>
        <w:tc>
          <w:tcPr>
            <w:tcW w:w="113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财政拨款 收入</w:t>
            </w:r>
          </w:p>
        </w:tc>
        <w:tc>
          <w:tcPr>
            <w:tcW w:w="113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财政专户 收入</w:t>
            </w:r>
          </w:p>
        </w:tc>
        <w:tc>
          <w:tcPr>
            <w:tcW w:w="113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事业收入</w:t>
            </w:r>
          </w:p>
        </w:tc>
        <w:tc>
          <w:tcPr>
            <w:tcW w:w="113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经营收入</w:t>
            </w:r>
          </w:p>
        </w:tc>
        <w:tc>
          <w:tcPr>
            <w:tcW w:w="113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上级补助收入</w:t>
            </w:r>
          </w:p>
        </w:tc>
        <w:tc>
          <w:tcPr>
            <w:tcW w:w="113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附属单位上缴收入</w:t>
            </w:r>
          </w:p>
        </w:tc>
        <w:tc>
          <w:tcPr>
            <w:tcW w:w="113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其他收入</w:t>
            </w:r>
          </w:p>
        </w:tc>
        <w:tc>
          <w:tcPr>
            <w:tcW w:w="1134" w:type="dxa"/>
            <w:vMerge w:val="continue"/>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栏次</w:t>
            </w:r>
          </w:p>
        </w:tc>
        <w:tc>
          <w:tcPr>
            <w:tcW w:w="992"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1</w:t>
            </w:r>
          </w:p>
        </w:tc>
        <w:tc>
          <w:tcPr>
            <w:tcW w:w="1559"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2</w:t>
            </w:r>
          </w:p>
        </w:tc>
        <w:tc>
          <w:tcPr>
            <w:tcW w:w="113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3</w:t>
            </w:r>
          </w:p>
        </w:tc>
        <w:tc>
          <w:tcPr>
            <w:tcW w:w="113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4</w:t>
            </w:r>
          </w:p>
        </w:tc>
        <w:tc>
          <w:tcPr>
            <w:tcW w:w="113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5</w:t>
            </w:r>
          </w:p>
        </w:tc>
        <w:tc>
          <w:tcPr>
            <w:tcW w:w="113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6</w:t>
            </w:r>
          </w:p>
        </w:tc>
        <w:tc>
          <w:tcPr>
            <w:tcW w:w="113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7</w:t>
            </w:r>
          </w:p>
        </w:tc>
        <w:tc>
          <w:tcPr>
            <w:tcW w:w="113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8</w:t>
            </w:r>
          </w:p>
        </w:tc>
        <w:tc>
          <w:tcPr>
            <w:tcW w:w="113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9</w:t>
            </w:r>
          </w:p>
        </w:tc>
        <w:tc>
          <w:tcPr>
            <w:tcW w:w="113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10</w:t>
            </w:r>
          </w:p>
        </w:tc>
        <w:tc>
          <w:tcPr>
            <w:tcW w:w="113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11</w:t>
            </w:r>
          </w:p>
        </w:tc>
        <w:tc>
          <w:tcPr>
            <w:tcW w:w="113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w:t>
            </w:r>
          </w:p>
        </w:tc>
        <w:tc>
          <w:tcPr>
            <w:tcW w:w="99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1559"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合计</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r>
              <w:rPr>
                <w:rFonts w:ascii="方正书宋_GBK" w:hAnsi="方正书宋_GBK" w:eastAsia="宋体" w:cs="Times New Roman"/>
                <w:b/>
                <w:bCs/>
                <w:kern w:val="0"/>
                <w:szCs w:val="21"/>
              </w:rPr>
              <w:t>472.70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r>
              <w:rPr>
                <w:rFonts w:ascii="方正书宋_GBK" w:hAnsi="方正书宋_GBK" w:eastAsia="宋体" w:cs="Times New Roman"/>
                <w:b/>
                <w:bCs/>
                <w:kern w:val="0"/>
                <w:szCs w:val="21"/>
              </w:rPr>
              <w:t>472.70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r>
              <w:rPr>
                <w:rFonts w:ascii="方正书宋_GBK" w:hAnsi="方正书宋_GBK" w:eastAsia="宋体" w:cs="Times New Roman"/>
                <w:b/>
                <w:bCs/>
                <w:kern w:val="0"/>
                <w:szCs w:val="21"/>
              </w:rPr>
              <w:t>472.70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w:t>
            </w:r>
          </w:p>
        </w:tc>
        <w:tc>
          <w:tcPr>
            <w:tcW w:w="99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201</w:t>
            </w:r>
          </w:p>
        </w:tc>
        <w:tc>
          <w:tcPr>
            <w:tcW w:w="1559"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一般公共服务支出</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448.70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448.70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448.70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3</w:t>
            </w:r>
          </w:p>
        </w:tc>
        <w:tc>
          <w:tcPr>
            <w:tcW w:w="99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20102</w:t>
            </w:r>
          </w:p>
        </w:tc>
        <w:tc>
          <w:tcPr>
            <w:tcW w:w="1559"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政协事务</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448.70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448.70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448.70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4</w:t>
            </w:r>
          </w:p>
        </w:tc>
        <w:tc>
          <w:tcPr>
            <w:tcW w:w="99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2010201</w:t>
            </w:r>
          </w:p>
        </w:tc>
        <w:tc>
          <w:tcPr>
            <w:tcW w:w="1559"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行政运行</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398.70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398.70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398.70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5</w:t>
            </w:r>
          </w:p>
        </w:tc>
        <w:tc>
          <w:tcPr>
            <w:tcW w:w="99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2010204</w:t>
            </w:r>
          </w:p>
        </w:tc>
        <w:tc>
          <w:tcPr>
            <w:tcW w:w="1559"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政协会议</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50.00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50.00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50.00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6</w:t>
            </w:r>
          </w:p>
        </w:tc>
        <w:tc>
          <w:tcPr>
            <w:tcW w:w="99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208</w:t>
            </w:r>
          </w:p>
        </w:tc>
        <w:tc>
          <w:tcPr>
            <w:tcW w:w="1559"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社会保障和就业支出</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7</w:t>
            </w:r>
          </w:p>
        </w:tc>
        <w:tc>
          <w:tcPr>
            <w:tcW w:w="99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20805</w:t>
            </w:r>
          </w:p>
        </w:tc>
        <w:tc>
          <w:tcPr>
            <w:tcW w:w="1559"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行政事业单位养老支出</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8</w:t>
            </w:r>
          </w:p>
        </w:tc>
        <w:tc>
          <w:tcPr>
            <w:tcW w:w="99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2080505</w:t>
            </w:r>
          </w:p>
        </w:tc>
        <w:tc>
          <w:tcPr>
            <w:tcW w:w="1559"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机关事业单位基本养老保险缴费支出</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9</w:t>
            </w:r>
          </w:p>
        </w:tc>
        <w:tc>
          <w:tcPr>
            <w:tcW w:w="99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210</w:t>
            </w:r>
          </w:p>
        </w:tc>
        <w:tc>
          <w:tcPr>
            <w:tcW w:w="1559"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卫生健康支出</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10</w:t>
            </w:r>
          </w:p>
        </w:tc>
        <w:tc>
          <w:tcPr>
            <w:tcW w:w="99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21011</w:t>
            </w:r>
          </w:p>
        </w:tc>
        <w:tc>
          <w:tcPr>
            <w:tcW w:w="1559"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行政事业单位医疗</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11</w:t>
            </w:r>
          </w:p>
        </w:tc>
        <w:tc>
          <w:tcPr>
            <w:tcW w:w="99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2101101</w:t>
            </w:r>
          </w:p>
        </w:tc>
        <w:tc>
          <w:tcPr>
            <w:tcW w:w="1559"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行政单位医疗</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13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bl>
    <w:p>
      <w:pPr>
        <w:widowControl/>
        <w:jc w:val="left"/>
        <w:rPr>
          <w:rFonts w:hint="eastAsia" w:ascii="方正小标宋_GBK" w:hAnsi="方正小标宋_GBK" w:eastAsia="宋体" w:cs="宋体"/>
          <w:color w:val="000000"/>
          <w:kern w:val="0"/>
          <w:sz w:val="36"/>
          <w:szCs w:val="36"/>
        </w:rPr>
        <w:sectPr>
          <w:pgSz w:w="16840" w:h="11900" w:orient="landscape"/>
          <w:pgMar w:top="1361" w:right="1020" w:bottom="1134" w:left="1020" w:header="720" w:footer="720" w:gutter="0"/>
          <w:cols w:space="720" w:num="1"/>
        </w:sectPr>
      </w:pPr>
    </w:p>
    <w:p>
      <w:pPr>
        <w:widowControl/>
        <w:jc w:val="center"/>
        <w:outlineLvl w:val="4"/>
        <w:rPr>
          <w:rFonts w:ascii="Times New Roman" w:hAnsi="Times New Roman" w:eastAsia="宋体" w:cs="Times New Roman"/>
          <w:kern w:val="0"/>
          <w:sz w:val="24"/>
          <w:szCs w:val="24"/>
        </w:rPr>
      </w:pPr>
      <w:r>
        <w:rPr>
          <w:rFonts w:ascii="方正小标宋_GBK" w:hAnsi="方正小标宋_GBK" w:eastAsia="宋体" w:cs="Times New Roman"/>
          <w:color w:val="000000"/>
          <w:kern w:val="0"/>
          <w:sz w:val="36"/>
          <w:szCs w:val="36"/>
        </w:rPr>
        <w:t>中国人民政治协商会议无极县委员会办公室预算支出总表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8" w:type="dxa"/>
            <w:gridSpan w:val="3"/>
            <w:tcBorders>
              <w:top w:val="single" w:color="FFFFFF" w:sz="6" w:space="0"/>
              <w:left w:val="single" w:color="FFFFFF" w:sz="6" w:space="0"/>
              <w:bottom w:val="single" w:color="000000" w:sz="6" w:space="0"/>
              <w:right w:val="single" w:color="FFFFFF" w:sz="6" w:space="0"/>
            </w:tcBorders>
            <w:vAlign w:val="center"/>
          </w:tcPr>
          <w:p>
            <w:pPr>
              <w:widowControl/>
              <w:jc w:val="left"/>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131001中国人民政治协商会议无极县委员会办公室本级</w:t>
            </w:r>
          </w:p>
        </w:tc>
        <w:tc>
          <w:tcPr>
            <w:tcW w:w="2722" w:type="dxa"/>
            <w:gridSpan w:val="2"/>
            <w:tcBorders>
              <w:top w:val="single" w:color="FFFFFF" w:sz="6" w:space="0"/>
              <w:left w:val="nil"/>
              <w:bottom w:val="single" w:color="000000" w:sz="6" w:space="0"/>
              <w:right w:val="single" w:color="FFFFFF" w:sz="6" w:space="0"/>
            </w:tcBorders>
            <w:vAlign w:val="center"/>
          </w:tcPr>
          <w:p>
            <w:pPr>
              <w:widowControl/>
              <w:jc w:val="center"/>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预算年度：2022</w:t>
            </w:r>
          </w:p>
        </w:tc>
        <w:tc>
          <w:tcPr>
            <w:tcW w:w="5444" w:type="dxa"/>
            <w:gridSpan w:val="4"/>
            <w:tcBorders>
              <w:top w:val="single" w:color="FFFFFF" w:sz="6" w:space="0"/>
              <w:left w:val="nil"/>
              <w:bottom w:val="single" w:color="000000" w:sz="6" w:space="0"/>
              <w:right w:val="single" w:color="FFFFFF" w:sz="6" w:space="0"/>
            </w:tcBorders>
            <w:vAlign w:val="center"/>
          </w:tcPr>
          <w:p>
            <w:pPr>
              <w:widowControl/>
              <w:jc w:val="right"/>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Merge w:val="restart"/>
            <w:tcBorders>
              <w:top w:val="nil"/>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序号</w:t>
            </w:r>
          </w:p>
        </w:tc>
        <w:tc>
          <w:tcPr>
            <w:tcW w:w="5528" w:type="dxa"/>
            <w:gridSpan w:val="2"/>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功能分类科目</w:t>
            </w:r>
          </w:p>
        </w:tc>
        <w:tc>
          <w:tcPr>
            <w:tcW w:w="1361" w:type="dxa"/>
            <w:vMerge w:val="restart"/>
            <w:tcBorders>
              <w:top w:val="nil"/>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合计</w:t>
            </w:r>
          </w:p>
        </w:tc>
        <w:tc>
          <w:tcPr>
            <w:tcW w:w="1361" w:type="dxa"/>
            <w:vMerge w:val="restart"/>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基本支出</w:t>
            </w:r>
          </w:p>
        </w:tc>
        <w:tc>
          <w:tcPr>
            <w:tcW w:w="1361" w:type="dxa"/>
            <w:vMerge w:val="restart"/>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项目支出</w:t>
            </w:r>
          </w:p>
        </w:tc>
        <w:tc>
          <w:tcPr>
            <w:tcW w:w="1361" w:type="dxa"/>
            <w:vMerge w:val="restart"/>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经营支出</w:t>
            </w:r>
          </w:p>
        </w:tc>
        <w:tc>
          <w:tcPr>
            <w:tcW w:w="1361" w:type="dxa"/>
            <w:vMerge w:val="restart"/>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上解上级     支出</w:t>
            </w:r>
          </w:p>
        </w:tc>
        <w:tc>
          <w:tcPr>
            <w:tcW w:w="1361" w:type="dxa"/>
            <w:vMerge w:val="restart"/>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78" w:type="dxa"/>
            <w:vMerge w:val="continue"/>
            <w:tcBorders>
              <w:top w:val="nil"/>
              <w:left w:val="single" w:color="000000" w:sz="6" w:space="0"/>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992"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科目    编码</w:t>
            </w:r>
          </w:p>
        </w:tc>
        <w:tc>
          <w:tcPr>
            <w:tcW w:w="4536"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科目名称</w:t>
            </w:r>
          </w:p>
        </w:tc>
        <w:tc>
          <w:tcPr>
            <w:tcW w:w="2722" w:type="dxa"/>
            <w:vMerge w:val="continue"/>
            <w:tcBorders>
              <w:top w:val="nil"/>
              <w:left w:val="nil"/>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1361" w:type="dxa"/>
            <w:vMerge w:val="continue"/>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5444" w:type="dxa"/>
            <w:vMerge w:val="continue"/>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1361" w:type="dxa"/>
            <w:vMerge w:val="continue"/>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1361" w:type="dxa"/>
            <w:vMerge w:val="continue"/>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1361" w:type="dxa"/>
            <w:vMerge w:val="continue"/>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栏次</w:t>
            </w:r>
          </w:p>
        </w:tc>
        <w:tc>
          <w:tcPr>
            <w:tcW w:w="992"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1</w:t>
            </w:r>
          </w:p>
        </w:tc>
        <w:tc>
          <w:tcPr>
            <w:tcW w:w="4536"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2</w:t>
            </w:r>
          </w:p>
        </w:tc>
        <w:tc>
          <w:tcPr>
            <w:tcW w:w="136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3</w:t>
            </w:r>
          </w:p>
        </w:tc>
        <w:tc>
          <w:tcPr>
            <w:tcW w:w="136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4</w:t>
            </w:r>
          </w:p>
        </w:tc>
        <w:tc>
          <w:tcPr>
            <w:tcW w:w="136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5</w:t>
            </w:r>
          </w:p>
        </w:tc>
        <w:tc>
          <w:tcPr>
            <w:tcW w:w="136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6</w:t>
            </w:r>
          </w:p>
        </w:tc>
        <w:tc>
          <w:tcPr>
            <w:tcW w:w="136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7</w:t>
            </w:r>
          </w:p>
        </w:tc>
        <w:tc>
          <w:tcPr>
            <w:tcW w:w="136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w:t>
            </w:r>
          </w:p>
        </w:tc>
        <w:tc>
          <w:tcPr>
            <w:tcW w:w="99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4536"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合计</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r>
              <w:rPr>
                <w:rFonts w:ascii="方正书宋_GBK" w:hAnsi="方正书宋_GBK" w:eastAsia="宋体" w:cs="Times New Roman"/>
                <w:b/>
                <w:bCs/>
                <w:kern w:val="0"/>
                <w:szCs w:val="21"/>
              </w:rPr>
              <w:t>472.70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r>
              <w:rPr>
                <w:rFonts w:ascii="方正书宋_GBK" w:hAnsi="方正书宋_GBK" w:eastAsia="宋体" w:cs="Times New Roman"/>
                <w:b/>
                <w:bCs/>
                <w:kern w:val="0"/>
                <w:szCs w:val="21"/>
              </w:rPr>
              <w:t>422.70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r>
              <w:rPr>
                <w:rFonts w:ascii="方正书宋_GBK" w:hAnsi="方正书宋_GBK" w:eastAsia="宋体" w:cs="Times New Roman"/>
                <w:b/>
                <w:bCs/>
                <w:kern w:val="0"/>
                <w:szCs w:val="21"/>
              </w:rPr>
              <w:t>50.00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w:t>
            </w:r>
          </w:p>
        </w:tc>
        <w:tc>
          <w:tcPr>
            <w:tcW w:w="99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201</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一般公共服务支出</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448.70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398.70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50.00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3</w:t>
            </w:r>
          </w:p>
        </w:tc>
        <w:tc>
          <w:tcPr>
            <w:tcW w:w="99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20102</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政协事务</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448.70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398.70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50.00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4</w:t>
            </w:r>
          </w:p>
        </w:tc>
        <w:tc>
          <w:tcPr>
            <w:tcW w:w="99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2010201</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行政运行</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398.70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398.70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5</w:t>
            </w:r>
          </w:p>
        </w:tc>
        <w:tc>
          <w:tcPr>
            <w:tcW w:w="99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2010204</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政协会议</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50.00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50.00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6</w:t>
            </w:r>
          </w:p>
        </w:tc>
        <w:tc>
          <w:tcPr>
            <w:tcW w:w="99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208</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社会保障和就业支出</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7</w:t>
            </w:r>
          </w:p>
        </w:tc>
        <w:tc>
          <w:tcPr>
            <w:tcW w:w="99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20805</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行政事业单位养老支出</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8</w:t>
            </w:r>
          </w:p>
        </w:tc>
        <w:tc>
          <w:tcPr>
            <w:tcW w:w="99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2080505</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机关事业单位基本养老保险缴费支出</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9</w:t>
            </w:r>
          </w:p>
        </w:tc>
        <w:tc>
          <w:tcPr>
            <w:tcW w:w="99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210</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卫生健康支出</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10</w:t>
            </w:r>
          </w:p>
        </w:tc>
        <w:tc>
          <w:tcPr>
            <w:tcW w:w="99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21011</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行政事业单位医疗</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11</w:t>
            </w:r>
          </w:p>
        </w:tc>
        <w:tc>
          <w:tcPr>
            <w:tcW w:w="99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2101101</w:t>
            </w:r>
          </w:p>
        </w:tc>
        <w:tc>
          <w:tcPr>
            <w:tcW w:w="4536"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行政单位医疗</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36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bl>
    <w:p>
      <w:pPr>
        <w:widowControl/>
        <w:jc w:val="left"/>
        <w:rPr>
          <w:rFonts w:hint="eastAsia" w:ascii="方正小标宋_GBK" w:hAnsi="方正小标宋_GBK" w:eastAsia="宋体" w:cs="宋体"/>
          <w:color w:val="000000"/>
          <w:kern w:val="0"/>
          <w:sz w:val="36"/>
          <w:szCs w:val="36"/>
        </w:rPr>
        <w:sectPr>
          <w:pgSz w:w="16840" w:h="11900" w:orient="landscape"/>
          <w:pgMar w:top="1361" w:right="1020" w:bottom="1134" w:left="1020" w:header="720" w:footer="720" w:gutter="0"/>
          <w:cols w:space="720" w:num="1"/>
        </w:sectPr>
      </w:pPr>
    </w:p>
    <w:p>
      <w:pPr>
        <w:widowControl/>
        <w:jc w:val="center"/>
        <w:outlineLvl w:val="4"/>
        <w:rPr>
          <w:rFonts w:ascii="Times New Roman" w:hAnsi="Times New Roman" w:eastAsia="宋体" w:cs="Times New Roman"/>
          <w:kern w:val="0"/>
          <w:sz w:val="24"/>
          <w:szCs w:val="24"/>
        </w:rPr>
      </w:pPr>
      <w:r>
        <w:rPr>
          <w:rFonts w:ascii="方正小标宋_GBK" w:hAnsi="方正小标宋_GBK" w:eastAsia="宋体" w:cs="Times New Roman"/>
          <w:color w:val="000000"/>
          <w:kern w:val="0"/>
          <w:sz w:val="36"/>
          <w:szCs w:val="36"/>
        </w:rPr>
        <w:t>中国人民政治协商会议无极县委员会办公室预算财政拨款收支总表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26" w:type="dxa"/>
            <w:gridSpan w:val="3"/>
            <w:tcBorders>
              <w:top w:val="single" w:color="FFFFFF" w:sz="6" w:space="0"/>
              <w:left w:val="single" w:color="FFFFFF" w:sz="6" w:space="0"/>
              <w:bottom w:val="single" w:color="000000" w:sz="6" w:space="0"/>
              <w:right w:val="single" w:color="FFFFFF" w:sz="6" w:space="0"/>
            </w:tcBorders>
            <w:vAlign w:val="center"/>
          </w:tcPr>
          <w:p>
            <w:pPr>
              <w:widowControl/>
              <w:jc w:val="left"/>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131001中国人民政治协商会议无极县委员会办公室本级</w:t>
            </w:r>
          </w:p>
        </w:tc>
        <w:tc>
          <w:tcPr>
            <w:tcW w:w="3402" w:type="dxa"/>
            <w:tcBorders>
              <w:top w:val="single" w:color="FFFFFF" w:sz="6" w:space="0"/>
              <w:left w:val="nil"/>
              <w:bottom w:val="single" w:color="000000" w:sz="6" w:space="0"/>
              <w:right w:val="single" w:color="FFFFFF" w:sz="6" w:space="0"/>
            </w:tcBorders>
            <w:vAlign w:val="center"/>
          </w:tcPr>
          <w:p>
            <w:pPr>
              <w:widowControl/>
              <w:jc w:val="center"/>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预算年度：2022</w:t>
            </w:r>
          </w:p>
        </w:tc>
        <w:tc>
          <w:tcPr>
            <w:tcW w:w="5896" w:type="dxa"/>
            <w:gridSpan w:val="4"/>
            <w:tcBorders>
              <w:top w:val="single" w:color="FFFFFF" w:sz="6" w:space="0"/>
              <w:left w:val="nil"/>
              <w:bottom w:val="single" w:color="000000" w:sz="6" w:space="0"/>
              <w:right w:val="single" w:color="FFFFFF" w:sz="6" w:space="0"/>
            </w:tcBorders>
            <w:vAlign w:val="center"/>
          </w:tcPr>
          <w:p>
            <w:pPr>
              <w:widowControl/>
              <w:jc w:val="right"/>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Merge w:val="restart"/>
            <w:tcBorders>
              <w:top w:val="nil"/>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序号</w:t>
            </w:r>
          </w:p>
        </w:tc>
        <w:tc>
          <w:tcPr>
            <w:tcW w:w="4876" w:type="dxa"/>
            <w:gridSpan w:val="2"/>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收入</w:t>
            </w:r>
          </w:p>
        </w:tc>
        <w:tc>
          <w:tcPr>
            <w:tcW w:w="9298" w:type="dxa"/>
            <w:gridSpan w:val="5"/>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nil"/>
              <w:left w:val="single" w:color="000000" w:sz="6" w:space="0"/>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项  目</w:t>
            </w:r>
          </w:p>
        </w:tc>
        <w:tc>
          <w:tcPr>
            <w:tcW w:w="147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金额</w:t>
            </w:r>
          </w:p>
        </w:tc>
        <w:tc>
          <w:tcPr>
            <w:tcW w:w="3402"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项  目</w:t>
            </w:r>
          </w:p>
        </w:tc>
        <w:tc>
          <w:tcPr>
            <w:tcW w:w="147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合计</w:t>
            </w:r>
          </w:p>
        </w:tc>
        <w:tc>
          <w:tcPr>
            <w:tcW w:w="147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一般公共预算财政拨款</w:t>
            </w:r>
          </w:p>
        </w:tc>
        <w:tc>
          <w:tcPr>
            <w:tcW w:w="147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政府性基金预算财政    拨款</w:t>
            </w:r>
          </w:p>
        </w:tc>
        <w:tc>
          <w:tcPr>
            <w:tcW w:w="147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栏次</w:t>
            </w:r>
          </w:p>
        </w:tc>
        <w:tc>
          <w:tcPr>
            <w:tcW w:w="3402"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1</w:t>
            </w:r>
          </w:p>
        </w:tc>
        <w:tc>
          <w:tcPr>
            <w:tcW w:w="147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2</w:t>
            </w:r>
          </w:p>
        </w:tc>
        <w:tc>
          <w:tcPr>
            <w:tcW w:w="3402"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3</w:t>
            </w:r>
          </w:p>
        </w:tc>
        <w:tc>
          <w:tcPr>
            <w:tcW w:w="147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4</w:t>
            </w:r>
          </w:p>
        </w:tc>
        <w:tc>
          <w:tcPr>
            <w:tcW w:w="147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5</w:t>
            </w:r>
          </w:p>
        </w:tc>
        <w:tc>
          <w:tcPr>
            <w:tcW w:w="147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6</w:t>
            </w:r>
          </w:p>
        </w:tc>
        <w:tc>
          <w:tcPr>
            <w:tcW w:w="1474"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一、一般公共预算拨款</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472.70</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一、一般公共服务支出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448.70</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448.70</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二、政府性基金预算拨款</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二、外交支出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3</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三、国有资本经营预算拨款</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三、国防支出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4</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四、公共安全支出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5</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五、教育支出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6</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六、科学技术支出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7</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七、文化旅游体育与传媒支出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8</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八、社会保障和就业支出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9</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九、社会保险基金支出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10</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十、卫生健康支出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11</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十一、节能环保支出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12</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十二、城乡社区支出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13</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十三、农林水支出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14</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十四、交通运输支出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15</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十五、资源勘探工业信息等支出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16</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十六、商业服务业等支出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17</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十七、金融支出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18</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十八、援助其他地区支出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19</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十九、自然资源海洋气象等支出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20</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二十、住房保障支出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21</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二十一、粮油物资储备支出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22</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二十二、国有资本经营预算支出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23</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二十三、灾害防治及应急管理支出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24</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二十四、预备费</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25</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二十五、其他支出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26</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二十六、转移性支出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27</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二十七、债务还本支出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28</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二十八、债务付息支出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29</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二十九、债务发行费用支出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30</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三十、抗疫特别国债安排的支出</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31</w:t>
            </w:r>
          </w:p>
        </w:tc>
        <w:tc>
          <w:tcPr>
            <w:tcW w:w="3402"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本年收入合计</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r>
              <w:rPr>
                <w:rFonts w:ascii="方正书宋_GBK" w:hAnsi="方正书宋_GBK" w:eastAsia="宋体" w:cs="Times New Roman"/>
                <w:b/>
                <w:bCs/>
                <w:kern w:val="0"/>
                <w:szCs w:val="21"/>
              </w:rPr>
              <w:t>472.70</w:t>
            </w:r>
          </w:p>
        </w:tc>
        <w:tc>
          <w:tcPr>
            <w:tcW w:w="3402"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本年支出合计</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r>
              <w:rPr>
                <w:rFonts w:ascii="方正书宋_GBK" w:hAnsi="方正书宋_GBK" w:eastAsia="宋体" w:cs="Times New Roman"/>
                <w:b/>
                <w:bCs/>
                <w:kern w:val="0"/>
                <w:szCs w:val="21"/>
              </w:rPr>
              <w:t>472.70</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r>
              <w:rPr>
                <w:rFonts w:ascii="方正书宋_GBK" w:hAnsi="方正书宋_GBK" w:eastAsia="宋体" w:cs="Times New Roman"/>
                <w:b/>
                <w:bCs/>
                <w:kern w:val="0"/>
                <w:szCs w:val="21"/>
              </w:rPr>
              <w:t>472.70</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32</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年初财政拨款结转和结余</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年末财政拨款结转和结余</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33</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一、一般公共预算拨款</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34</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二、政府性基金预算拨款</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35</w:t>
            </w: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三、国有资本经营预算拨款</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3402"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36</w:t>
            </w:r>
          </w:p>
        </w:tc>
        <w:tc>
          <w:tcPr>
            <w:tcW w:w="3402"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收入总计</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r>
              <w:rPr>
                <w:rFonts w:ascii="方正书宋_GBK" w:hAnsi="方正书宋_GBK" w:eastAsia="宋体" w:cs="Times New Roman"/>
                <w:b/>
                <w:bCs/>
                <w:kern w:val="0"/>
                <w:szCs w:val="21"/>
              </w:rPr>
              <w:t>472.70</w:t>
            </w:r>
          </w:p>
        </w:tc>
        <w:tc>
          <w:tcPr>
            <w:tcW w:w="3402"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支出总计</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r>
              <w:rPr>
                <w:rFonts w:ascii="方正书宋_GBK" w:hAnsi="方正书宋_GBK" w:eastAsia="宋体" w:cs="Times New Roman"/>
                <w:b/>
                <w:bCs/>
                <w:kern w:val="0"/>
                <w:szCs w:val="21"/>
              </w:rPr>
              <w:t>472.70</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r>
              <w:rPr>
                <w:rFonts w:ascii="方正书宋_GBK" w:hAnsi="方正书宋_GBK" w:eastAsia="宋体" w:cs="Times New Roman"/>
                <w:b/>
                <w:bCs/>
                <w:kern w:val="0"/>
                <w:szCs w:val="21"/>
              </w:rPr>
              <w:t>472.70</w:t>
            </w: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p>
        </w:tc>
        <w:tc>
          <w:tcPr>
            <w:tcW w:w="1474"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p>
        </w:tc>
      </w:tr>
    </w:tbl>
    <w:p>
      <w:pPr>
        <w:widowControl/>
        <w:jc w:val="left"/>
        <w:rPr>
          <w:rFonts w:hint="eastAsia" w:ascii="方正小标宋_GBK" w:hAnsi="方正小标宋_GBK" w:eastAsia="宋体" w:cs="宋体"/>
          <w:color w:val="000000"/>
          <w:kern w:val="0"/>
          <w:sz w:val="36"/>
          <w:szCs w:val="36"/>
        </w:rPr>
        <w:sectPr>
          <w:pgSz w:w="16840" w:h="11900" w:orient="landscape"/>
          <w:pgMar w:top="1361" w:right="1020" w:bottom="1134" w:left="1020" w:header="720" w:footer="720" w:gutter="0"/>
          <w:cols w:space="720" w:num="1"/>
        </w:sectPr>
      </w:pPr>
    </w:p>
    <w:p>
      <w:pPr>
        <w:widowControl/>
        <w:jc w:val="center"/>
        <w:outlineLvl w:val="4"/>
        <w:rPr>
          <w:rFonts w:ascii="Times New Roman" w:hAnsi="Times New Roman" w:eastAsia="宋体" w:cs="Times New Roman"/>
          <w:kern w:val="0"/>
          <w:sz w:val="24"/>
          <w:szCs w:val="24"/>
        </w:rPr>
      </w:pPr>
      <w:r>
        <w:rPr>
          <w:rFonts w:ascii="方正小标宋_GBK" w:hAnsi="方正小标宋_GBK" w:eastAsia="宋体" w:cs="Times New Roman"/>
          <w:color w:val="000000"/>
          <w:kern w:val="0"/>
          <w:sz w:val="36"/>
          <w:szCs w:val="36"/>
        </w:rPr>
        <w:t>中国人民政治协商会议无极县委员会办公室预算一般公共预算财政拨款支出表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76" w:type="dxa"/>
            <w:gridSpan w:val="3"/>
            <w:tcBorders>
              <w:top w:val="single" w:color="FFFFFF" w:sz="6" w:space="0"/>
              <w:left w:val="single" w:color="FFFFFF" w:sz="6" w:space="0"/>
              <w:bottom w:val="single" w:color="000000" w:sz="6" w:space="0"/>
              <w:right w:val="single" w:color="FFFFFF" w:sz="6" w:space="0"/>
            </w:tcBorders>
            <w:vAlign w:val="center"/>
          </w:tcPr>
          <w:p>
            <w:pPr>
              <w:widowControl/>
              <w:jc w:val="left"/>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131001中国人民政治协商会议无极县委员会办公室本级</w:t>
            </w:r>
          </w:p>
        </w:tc>
        <w:tc>
          <w:tcPr>
            <w:tcW w:w="2551" w:type="dxa"/>
            <w:tcBorders>
              <w:top w:val="single" w:color="FFFFFF" w:sz="6" w:space="0"/>
              <w:left w:val="nil"/>
              <w:bottom w:val="single" w:color="000000" w:sz="6" w:space="0"/>
              <w:right w:val="single" w:color="FFFFFF" w:sz="6" w:space="0"/>
            </w:tcBorders>
            <w:vAlign w:val="center"/>
          </w:tcPr>
          <w:p>
            <w:pPr>
              <w:widowControl/>
              <w:jc w:val="center"/>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预算年度：2022</w:t>
            </w:r>
          </w:p>
        </w:tc>
        <w:tc>
          <w:tcPr>
            <w:tcW w:w="5102" w:type="dxa"/>
            <w:gridSpan w:val="2"/>
            <w:tcBorders>
              <w:top w:val="single" w:color="FFFFFF" w:sz="6" w:space="0"/>
              <w:left w:val="nil"/>
              <w:bottom w:val="single" w:color="000000" w:sz="6" w:space="0"/>
              <w:right w:val="single" w:color="FFFFFF" w:sz="6" w:space="0"/>
            </w:tcBorders>
            <w:vAlign w:val="center"/>
          </w:tcPr>
          <w:p>
            <w:pPr>
              <w:widowControl/>
              <w:jc w:val="right"/>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Merge w:val="restart"/>
            <w:tcBorders>
              <w:top w:val="nil"/>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序号</w:t>
            </w:r>
          </w:p>
        </w:tc>
        <w:tc>
          <w:tcPr>
            <w:tcW w:w="5726" w:type="dxa"/>
            <w:gridSpan w:val="2"/>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功能分类科目</w:t>
            </w:r>
          </w:p>
        </w:tc>
        <w:tc>
          <w:tcPr>
            <w:tcW w:w="2551" w:type="dxa"/>
            <w:vMerge w:val="restart"/>
            <w:tcBorders>
              <w:top w:val="nil"/>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合计</w:t>
            </w:r>
          </w:p>
        </w:tc>
        <w:tc>
          <w:tcPr>
            <w:tcW w:w="2551" w:type="dxa"/>
            <w:vMerge w:val="restart"/>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基本支出</w:t>
            </w:r>
          </w:p>
        </w:tc>
        <w:tc>
          <w:tcPr>
            <w:tcW w:w="2551" w:type="dxa"/>
            <w:vMerge w:val="restart"/>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76" w:type="dxa"/>
            <w:vMerge w:val="continue"/>
            <w:tcBorders>
              <w:top w:val="nil"/>
              <w:left w:val="single" w:color="000000" w:sz="6" w:space="0"/>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119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科目编码</w:t>
            </w:r>
          </w:p>
        </w:tc>
        <w:tc>
          <w:tcPr>
            <w:tcW w:w="4535"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科目名称</w:t>
            </w:r>
          </w:p>
        </w:tc>
        <w:tc>
          <w:tcPr>
            <w:tcW w:w="2551" w:type="dxa"/>
            <w:vMerge w:val="continue"/>
            <w:tcBorders>
              <w:top w:val="nil"/>
              <w:left w:val="nil"/>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5102" w:type="dxa"/>
            <w:vMerge w:val="continue"/>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2551" w:type="dxa"/>
            <w:vMerge w:val="continue"/>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栏次</w:t>
            </w:r>
          </w:p>
        </w:tc>
        <w:tc>
          <w:tcPr>
            <w:tcW w:w="119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1</w:t>
            </w:r>
          </w:p>
        </w:tc>
        <w:tc>
          <w:tcPr>
            <w:tcW w:w="4535"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2</w:t>
            </w:r>
          </w:p>
        </w:tc>
        <w:tc>
          <w:tcPr>
            <w:tcW w:w="255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3</w:t>
            </w:r>
          </w:p>
        </w:tc>
        <w:tc>
          <w:tcPr>
            <w:tcW w:w="255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4</w:t>
            </w:r>
          </w:p>
        </w:tc>
        <w:tc>
          <w:tcPr>
            <w:tcW w:w="255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合计</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r>
              <w:rPr>
                <w:rFonts w:ascii="方正书宋_GBK" w:hAnsi="方正书宋_GBK" w:eastAsia="宋体" w:cs="Times New Roman"/>
                <w:b/>
                <w:bCs/>
                <w:kern w:val="0"/>
                <w:szCs w:val="21"/>
              </w:rPr>
              <w:t>472.70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r>
              <w:rPr>
                <w:rFonts w:ascii="方正书宋_GBK" w:hAnsi="方正书宋_GBK" w:eastAsia="宋体" w:cs="Times New Roman"/>
                <w:b/>
                <w:bCs/>
                <w:kern w:val="0"/>
                <w:szCs w:val="21"/>
              </w:rPr>
              <w:t>422.70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r>
              <w:rPr>
                <w:rFonts w:ascii="方正书宋_GBK" w:hAnsi="方正书宋_GBK" w:eastAsia="宋体" w:cs="Times New Roman"/>
                <w:b/>
                <w:bCs/>
                <w:kern w:val="0"/>
                <w:szCs w:val="21"/>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201</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一般公共服务支出</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448.70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398.70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3</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20102</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政协事务</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448.70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398.70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4</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2010201</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行政运行</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398.70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398.70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5</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2010204</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政协会议</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50.00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6</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208</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社会保障和就业支出</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7</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20805</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行政事业单位养老支出</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8</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2080505</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机关事业单位基本养老保险缴费支出</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9</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210</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卫生健康支出</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10</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21011</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行政事业单位医疗</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11</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2101101</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行政单位医疗</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bl>
    <w:p>
      <w:pPr>
        <w:widowControl/>
        <w:jc w:val="left"/>
        <w:rPr>
          <w:rFonts w:hint="eastAsia" w:ascii="方正小标宋_GBK" w:hAnsi="方正小标宋_GBK" w:eastAsia="宋体" w:cs="宋体"/>
          <w:color w:val="000000"/>
          <w:kern w:val="0"/>
          <w:sz w:val="36"/>
          <w:szCs w:val="36"/>
        </w:rPr>
        <w:sectPr>
          <w:pgSz w:w="16840" w:h="11900" w:orient="landscape"/>
          <w:pgMar w:top="1361" w:right="1020" w:bottom="1134" w:left="1020" w:header="720" w:footer="720" w:gutter="0"/>
          <w:cols w:space="720" w:num="1"/>
        </w:sectPr>
      </w:pPr>
    </w:p>
    <w:p>
      <w:pPr>
        <w:widowControl/>
        <w:jc w:val="center"/>
        <w:outlineLvl w:val="4"/>
        <w:rPr>
          <w:rFonts w:ascii="Times New Roman" w:hAnsi="Times New Roman" w:eastAsia="宋体" w:cs="Times New Roman"/>
          <w:kern w:val="0"/>
          <w:sz w:val="24"/>
          <w:szCs w:val="24"/>
        </w:rPr>
      </w:pPr>
      <w:r>
        <w:rPr>
          <w:rFonts w:ascii="方正小标宋_GBK" w:hAnsi="方正小标宋_GBK" w:eastAsia="宋体" w:cs="Times New Roman"/>
          <w:color w:val="000000"/>
          <w:kern w:val="0"/>
          <w:sz w:val="36"/>
          <w:szCs w:val="36"/>
        </w:rPr>
        <w:t>中国人民政治协商会议无极县委员会办公室预算一般公共预算财政拨款基本支出表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76" w:type="dxa"/>
            <w:gridSpan w:val="3"/>
            <w:tcBorders>
              <w:top w:val="single" w:color="FFFFFF" w:sz="6" w:space="0"/>
              <w:left w:val="single" w:color="FFFFFF" w:sz="6" w:space="0"/>
              <w:bottom w:val="single" w:color="000000" w:sz="6" w:space="0"/>
              <w:right w:val="single" w:color="FFFFFF" w:sz="6" w:space="0"/>
            </w:tcBorders>
            <w:vAlign w:val="center"/>
          </w:tcPr>
          <w:p>
            <w:pPr>
              <w:widowControl/>
              <w:jc w:val="left"/>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131001中国人民政治协商会议无极县委员会办公室本级</w:t>
            </w:r>
          </w:p>
        </w:tc>
        <w:tc>
          <w:tcPr>
            <w:tcW w:w="2551" w:type="dxa"/>
            <w:tcBorders>
              <w:top w:val="single" w:color="FFFFFF" w:sz="6" w:space="0"/>
              <w:left w:val="nil"/>
              <w:bottom w:val="single" w:color="000000" w:sz="6" w:space="0"/>
              <w:right w:val="single" w:color="FFFFFF" w:sz="6" w:space="0"/>
            </w:tcBorders>
            <w:vAlign w:val="center"/>
          </w:tcPr>
          <w:p>
            <w:pPr>
              <w:widowControl/>
              <w:jc w:val="center"/>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预算年度：2022</w:t>
            </w:r>
          </w:p>
        </w:tc>
        <w:tc>
          <w:tcPr>
            <w:tcW w:w="5103" w:type="dxa"/>
            <w:gridSpan w:val="2"/>
            <w:tcBorders>
              <w:top w:val="single" w:color="FFFFFF" w:sz="6" w:space="0"/>
              <w:left w:val="nil"/>
              <w:bottom w:val="single" w:color="000000" w:sz="6" w:space="0"/>
              <w:right w:val="single" w:color="FFFFFF" w:sz="6" w:space="0"/>
            </w:tcBorders>
            <w:vAlign w:val="center"/>
          </w:tcPr>
          <w:p>
            <w:pPr>
              <w:widowControl/>
              <w:jc w:val="right"/>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Merge w:val="restart"/>
            <w:tcBorders>
              <w:top w:val="nil"/>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序号</w:t>
            </w:r>
          </w:p>
        </w:tc>
        <w:tc>
          <w:tcPr>
            <w:tcW w:w="5726" w:type="dxa"/>
            <w:gridSpan w:val="2"/>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支出部门经济分类科目</w:t>
            </w:r>
          </w:p>
        </w:tc>
        <w:tc>
          <w:tcPr>
            <w:tcW w:w="7654" w:type="dxa"/>
            <w:gridSpan w:val="3"/>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0" w:type="dxa"/>
            <w:vMerge w:val="continue"/>
            <w:tcBorders>
              <w:top w:val="nil"/>
              <w:left w:val="single" w:color="000000" w:sz="6" w:space="0"/>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119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科目编码</w:t>
            </w:r>
          </w:p>
        </w:tc>
        <w:tc>
          <w:tcPr>
            <w:tcW w:w="4535"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科目名称</w:t>
            </w:r>
          </w:p>
        </w:tc>
        <w:tc>
          <w:tcPr>
            <w:tcW w:w="255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合计</w:t>
            </w:r>
          </w:p>
        </w:tc>
        <w:tc>
          <w:tcPr>
            <w:tcW w:w="255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人员经费</w:t>
            </w:r>
          </w:p>
        </w:tc>
        <w:tc>
          <w:tcPr>
            <w:tcW w:w="2552"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栏次</w:t>
            </w:r>
          </w:p>
        </w:tc>
        <w:tc>
          <w:tcPr>
            <w:tcW w:w="119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1</w:t>
            </w:r>
          </w:p>
        </w:tc>
        <w:tc>
          <w:tcPr>
            <w:tcW w:w="4535"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2</w:t>
            </w:r>
          </w:p>
        </w:tc>
        <w:tc>
          <w:tcPr>
            <w:tcW w:w="255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3</w:t>
            </w:r>
          </w:p>
        </w:tc>
        <w:tc>
          <w:tcPr>
            <w:tcW w:w="255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4</w:t>
            </w:r>
          </w:p>
        </w:tc>
        <w:tc>
          <w:tcPr>
            <w:tcW w:w="2552"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合计</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r>
              <w:rPr>
                <w:rFonts w:ascii="方正书宋_GBK" w:hAnsi="方正书宋_GBK" w:eastAsia="宋体" w:cs="Times New Roman"/>
                <w:b/>
                <w:bCs/>
                <w:kern w:val="0"/>
                <w:szCs w:val="21"/>
              </w:rPr>
              <w:t>422.70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r>
              <w:rPr>
                <w:rFonts w:ascii="方正书宋_GBK" w:hAnsi="方正书宋_GBK" w:eastAsia="宋体" w:cs="Times New Roman"/>
                <w:b/>
                <w:bCs/>
                <w:kern w:val="0"/>
                <w:szCs w:val="21"/>
              </w:rPr>
              <w:t>330.70</w:t>
            </w:r>
          </w:p>
        </w:tc>
        <w:tc>
          <w:tcPr>
            <w:tcW w:w="255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r>
              <w:rPr>
                <w:rFonts w:ascii="方正书宋_GBK" w:hAnsi="方正书宋_GBK" w:eastAsia="宋体" w:cs="Times New Roman"/>
                <w:b/>
                <w:bCs/>
                <w:kern w:val="0"/>
                <w:szCs w:val="21"/>
              </w:rPr>
              <w:t>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301</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工资福利支出</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307.10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307.10</w:t>
            </w:r>
          </w:p>
        </w:tc>
        <w:tc>
          <w:tcPr>
            <w:tcW w:w="255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3</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30101</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基本工资</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136.80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136.80</w:t>
            </w:r>
          </w:p>
        </w:tc>
        <w:tc>
          <w:tcPr>
            <w:tcW w:w="255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4</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30102</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津贴补贴</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65.30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65.30</w:t>
            </w:r>
          </w:p>
        </w:tc>
        <w:tc>
          <w:tcPr>
            <w:tcW w:w="255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5</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30103</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奖金</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80.10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80.10</w:t>
            </w:r>
          </w:p>
        </w:tc>
        <w:tc>
          <w:tcPr>
            <w:tcW w:w="255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6</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30108</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机关事业单位基本养老保险缴费</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20.00</w:t>
            </w:r>
          </w:p>
        </w:tc>
        <w:tc>
          <w:tcPr>
            <w:tcW w:w="255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7</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30110</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城镇职工基本医疗保险缴费</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4.00</w:t>
            </w:r>
          </w:p>
        </w:tc>
        <w:tc>
          <w:tcPr>
            <w:tcW w:w="255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8</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30112</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其他社会保障缴费</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0.90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0.90</w:t>
            </w:r>
          </w:p>
        </w:tc>
        <w:tc>
          <w:tcPr>
            <w:tcW w:w="255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9</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302</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商品和服务支出</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92.00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55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10</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30201</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办公费</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26.70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55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11</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30207</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邮电费</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13.50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55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12</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30211</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差旅费</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3.00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55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13</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30215</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会议费</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3.00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55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14</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30228</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工会经费</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4.80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55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15</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30229</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福利费</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3.00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55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16</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30231</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公务用车运行维护费</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16.00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55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17</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30239</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其他交通费用</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22.00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55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18</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303</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对个人和家庭的补助</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23.60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23.60</w:t>
            </w:r>
          </w:p>
        </w:tc>
        <w:tc>
          <w:tcPr>
            <w:tcW w:w="255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19</w:t>
            </w: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30302</w:t>
            </w: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退休费</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23.60</w:t>
            </w: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23.60</w:t>
            </w:r>
          </w:p>
        </w:tc>
        <w:tc>
          <w:tcPr>
            <w:tcW w:w="255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bl>
    <w:p>
      <w:pPr>
        <w:widowControl/>
        <w:jc w:val="left"/>
        <w:rPr>
          <w:rFonts w:hint="eastAsia" w:ascii="方正小标宋_GBK" w:hAnsi="方正小标宋_GBK" w:eastAsia="宋体" w:cs="宋体"/>
          <w:color w:val="000000"/>
          <w:kern w:val="0"/>
          <w:sz w:val="36"/>
          <w:szCs w:val="36"/>
        </w:rPr>
        <w:sectPr>
          <w:pgSz w:w="16840" w:h="11900" w:orient="landscape"/>
          <w:pgMar w:top="1361" w:right="1020" w:bottom="1134" w:left="1020" w:header="720" w:footer="720" w:gutter="0"/>
          <w:cols w:space="720" w:num="1"/>
        </w:sectPr>
      </w:pPr>
    </w:p>
    <w:p>
      <w:pPr>
        <w:widowControl/>
        <w:jc w:val="center"/>
        <w:outlineLvl w:val="4"/>
        <w:rPr>
          <w:rFonts w:ascii="Times New Roman" w:hAnsi="Times New Roman" w:eastAsia="宋体" w:cs="Times New Roman"/>
          <w:kern w:val="0"/>
          <w:sz w:val="24"/>
          <w:szCs w:val="24"/>
        </w:rPr>
      </w:pPr>
      <w:r>
        <w:rPr>
          <w:rFonts w:ascii="方正小标宋_GBK" w:hAnsi="方正小标宋_GBK" w:eastAsia="宋体" w:cs="Times New Roman"/>
          <w:color w:val="000000"/>
          <w:kern w:val="0"/>
          <w:sz w:val="36"/>
          <w:szCs w:val="36"/>
        </w:rPr>
        <w:t>中国人民政治协商会议无极县委员会办公室预算政府基金预算财政拨款支出表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76" w:type="dxa"/>
            <w:gridSpan w:val="3"/>
            <w:tcBorders>
              <w:top w:val="single" w:color="FFFFFF" w:sz="6" w:space="0"/>
              <w:left w:val="single" w:color="FFFFFF" w:sz="6" w:space="0"/>
              <w:bottom w:val="single" w:color="000000" w:sz="6" w:space="0"/>
              <w:right w:val="single" w:color="FFFFFF" w:sz="6" w:space="0"/>
            </w:tcBorders>
            <w:vAlign w:val="center"/>
          </w:tcPr>
          <w:p>
            <w:pPr>
              <w:widowControl/>
              <w:jc w:val="left"/>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131001中国人民政治协商会议无极县委员会办公室本级</w:t>
            </w:r>
          </w:p>
        </w:tc>
        <w:tc>
          <w:tcPr>
            <w:tcW w:w="2551" w:type="dxa"/>
            <w:tcBorders>
              <w:top w:val="single" w:color="FFFFFF" w:sz="6" w:space="0"/>
              <w:left w:val="nil"/>
              <w:bottom w:val="single" w:color="000000" w:sz="6" w:space="0"/>
              <w:right w:val="single" w:color="FFFFFF" w:sz="6" w:space="0"/>
            </w:tcBorders>
            <w:vAlign w:val="center"/>
          </w:tcPr>
          <w:p>
            <w:pPr>
              <w:widowControl/>
              <w:jc w:val="center"/>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预算年度：2022</w:t>
            </w:r>
          </w:p>
        </w:tc>
        <w:tc>
          <w:tcPr>
            <w:tcW w:w="5102" w:type="dxa"/>
            <w:gridSpan w:val="2"/>
            <w:tcBorders>
              <w:top w:val="single" w:color="FFFFFF" w:sz="6" w:space="0"/>
              <w:left w:val="nil"/>
              <w:bottom w:val="single" w:color="000000" w:sz="6" w:space="0"/>
              <w:right w:val="single" w:color="FFFFFF" w:sz="6" w:space="0"/>
            </w:tcBorders>
            <w:vAlign w:val="center"/>
          </w:tcPr>
          <w:p>
            <w:pPr>
              <w:widowControl/>
              <w:jc w:val="right"/>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Merge w:val="restart"/>
            <w:tcBorders>
              <w:top w:val="nil"/>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序号</w:t>
            </w:r>
          </w:p>
        </w:tc>
        <w:tc>
          <w:tcPr>
            <w:tcW w:w="5726" w:type="dxa"/>
            <w:gridSpan w:val="2"/>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功能分类科目</w:t>
            </w:r>
          </w:p>
        </w:tc>
        <w:tc>
          <w:tcPr>
            <w:tcW w:w="2551" w:type="dxa"/>
            <w:vMerge w:val="restart"/>
            <w:tcBorders>
              <w:top w:val="nil"/>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合计</w:t>
            </w:r>
          </w:p>
        </w:tc>
        <w:tc>
          <w:tcPr>
            <w:tcW w:w="2551" w:type="dxa"/>
            <w:vMerge w:val="restart"/>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基本支出</w:t>
            </w:r>
          </w:p>
        </w:tc>
        <w:tc>
          <w:tcPr>
            <w:tcW w:w="2551" w:type="dxa"/>
            <w:vMerge w:val="restart"/>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76" w:type="dxa"/>
            <w:vMerge w:val="continue"/>
            <w:tcBorders>
              <w:top w:val="nil"/>
              <w:left w:val="single" w:color="000000" w:sz="6" w:space="0"/>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119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科目编码</w:t>
            </w:r>
          </w:p>
        </w:tc>
        <w:tc>
          <w:tcPr>
            <w:tcW w:w="4535"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科目名称</w:t>
            </w:r>
          </w:p>
        </w:tc>
        <w:tc>
          <w:tcPr>
            <w:tcW w:w="2551" w:type="dxa"/>
            <w:vMerge w:val="continue"/>
            <w:tcBorders>
              <w:top w:val="nil"/>
              <w:left w:val="nil"/>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5102" w:type="dxa"/>
            <w:vMerge w:val="continue"/>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2551" w:type="dxa"/>
            <w:vMerge w:val="continue"/>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栏次</w:t>
            </w:r>
          </w:p>
        </w:tc>
        <w:tc>
          <w:tcPr>
            <w:tcW w:w="119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1</w:t>
            </w:r>
          </w:p>
        </w:tc>
        <w:tc>
          <w:tcPr>
            <w:tcW w:w="4535"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2</w:t>
            </w:r>
          </w:p>
        </w:tc>
        <w:tc>
          <w:tcPr>
            <w:tcW w:w="255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3</w:t>
            </w:r>
          </w:p>
        </w:tc>
        <w:tc>
          <w:tcPr>
            <w:tcW w:w="255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4</w:t>
            </w:r>
          </w:p>
        </w:tc>
        <w:tc>
          <w:tcPr>
            <w:tcW w:w="255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bl>
    <w:p>
      <w:pPr>
        <w:widowControl/>
        <w:ind w:firstLine="420"/>
        <w:jc w:val="left"/>
        <w:rPr>
          <w:rFonts w:ascii="Times New Roman" w:hAnsi="Times New Roman" w:eastAsia="宋体" w:cs="Times New Roman"/>
          <w:kern w:val="0"/>
          <w:sz w:val="24"/>
          <w:szCs w:val="24"/>
        </w:rPr>
      </w:pPr>
      <w:r>
        <w:rPr>
          <w:rFonts w:ascii="方正书宋_GBK" w:hAnsi="方正书宋_GBK" w:eastAsia="宋体" w:cs="Times New Roman"/>
          <w:color w:val="000000"/>
          <w:kern w:val="0"/>
          <w:szCs w:val="21"/>
        </w:rPr>
        <w:t>注：无政府基金预算财政拨款预算，空表列示。</w:t>
      </w:r>
    </w:p>
    <w:p>
      <w:pPr>
        <w:widowControl/>
        <w:jc w:val="left"/>
        <w:rPr>
          <w:rFonts w:hint="eastAsia" w:ascii="方正小标宋_GBK" w:hAnsi="方正小标宋_GBK" w:eastAsia="宋体" w:cs="宋体"/>
          <w:color w:val="000000"/>
          <w:kern w:val="0"/>
          <w:sz w:val="36"/>
          <w:szCs w:val="36"/>
        </w:rPr>
        <w:sectPr>
          <w:pgSz w:w="16840" w:h="11900" w:orient="landscape"/>
          <w:pgMar w:top="1361" w:right="1020" w:bottom="1134" w:left="1020" w:header="720" w:footer="720" w:gutter="0"/>
          <w:cols w:space="720" w:num="1"/>
        </w:sectPr>
      </w:pPr>
    </w:p>
    <w:p>
      <w:pPr>
        <w:widowControl/>
        <w:jc w:val="center"/>
        <w:outlineLvl w:val="4"/>
        <w:rPr>
          <w:rFonts w:ascii="Times New Roman" w:hAnsi="Times New Roman" w:eastAsia="宋体" w:cs="Times New Roman"/>
          <w:kern w:val="0"/>
          <w:sz w:val="24"/>
          <w:szCs w:val="24"/>
        </w:rPr>
      </w:pPr>
      <w:r>
        <w:rPr>
          <w:rFonts w:ascii="方正小标宋_GBK" w:hAnsi="方正小标宋_GBK" w:eastAsia="宋体" w:cs="Times New Roman"/>
          <w:color w:val="000000"/>
          <w:kern w:val="0"/>
          <w:sz w:val="36"/>
          <w:szCs w:val="36"/>
        </w:rPr>
        <w:t>中国人民政治协商会议无极县委员会办公室预算国有资本经营预算财政拨款支出表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76" w:type="dxa"/>
            <w:gridSpan w:val="3"/>
            <w:tcBorders>
              <w:top w:val="single" w:color="FFFFFF" w:sz="6" w:space="0"/>
              <w:left w:val="single" w:color="FFFFFF" w:sz="6" w:space="0"/>
              <w:bottom w:val="single" w:color="000000" w:sz="6" w:space="0"/>
              <w:right w:val="single" w:color="FFFFFF" w:sz="6" w:space="0"/>
            </w:tcBorders>
            <w:vAlign w:val="center"/>
          </w:tcPr>
          <w:p>
            <w:pPr>
              <w:widowControl/>
              <w:jc w:val="left"/>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131001中国人民政治协商会议无极县委员会办公室本级</w:t>
            </w:r>
          </w:p>
        </w:tc>
        <w:tc>
          <w:tcPr>
            <w:tcW w:w="2551" w:type="dxa"/>
            <w:tcBorders>
              <w:top w:val="single" w:color="FFFFFF" w:sz="6" w:space="0"/>
              <w:left w:val="nil"/>
              <w:bottom w:val="single" w:color="000000" w:sz="6" w:space="0"/>
              <w:right w:val="single" w:color="FFFFFF" w:sz="6" w:space="0"/>
            </w:tcBorders>
            <w:vAlign w:val="center"/>
          </w:tcPr>
          <w:p>
            <w:pPr>
              <w:widowControl/>
              <w:jc w:val="center"/>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预算年度：2022</w:t>
            </w:r>
          </w:p>
        </w:tc>
        <w:tc>
          <w:tcPr>
            <w:tcW w:w="5102" w:type="dxa"/>
            <w:gridSpan w:val="2"/>
            <w:tcBorders>
              <w:top w:val="single" w:color="FFFFFF" w:sz="6" w:space="0"/>
              <w:left w:val="nil"/>
              <w:bottom w:val="single" w:color="000000" w:sz="6" w:space="0"/>
              <w:right w:val="single" w:color="FFFFFF" w:sz="6" w:space="0"/>
            </w:tcBorders>
            <w:vAlign w:val="center"/>
          </w:tcPr>
          <w:p>
            <w:pPr>
              <w:widowControl/>
              <w:jc w:val="right"/>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Merge w:val="restart"/>
            <w:tcBorders>
              <w:top w:val="nil"/>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序号</w:t>
            </w:r>
          </w:p>
        </w:tc>
        <w:tc>
          <w:tcPr>
            <w:tcW w:w="5726" w:type="dxa"/>
            <w:gridSpan w:val="2"/>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功能分类科目</w:t>
            </w:r>
          </w:p>
        </w:tc>
        <w:tc>
          <w:tcPr>
            <w:tcW w:w="2551" w:type="dxa"/>
            <w:vMerge w:val="restart"/>
            <w:tcBorders>
              <w:top w:val="nil"/>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合计</w:t>
            </w:r>
          </w:p>
        </w:tc>
        <w:tc>
          <w:tcPr>
            <w:tcW w:w="2551" w:type="dxa"/>
            <w:vMerge w:val="restart"/>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基本支出</w:t>
            </w:r>
          </w:p>
        </w:tc>
        <w:tc>
          <w:tcPr>
            <w:tcW w:w="2551" w:type="dxa"/>
            <w:vMerge w:val="restart"/>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576" w:type="dxa"/>
            <w:vMerge w:val="continue"/>
            <w:tcBorders>
              <w:top w:val="nil"/>
              <w:left w:val="single" w:color="000000" w:sz="6" w:space="0"/>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119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科目编码</w:t>
            </w:r>
          </w:p>
        </w:tc>
        <w:tc>
          <w:tcPr>
            <w:tcW w:w="4535"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科目名称</w:t>
            </w:r>
          </w:p>
        </w:tc>
        <w:tc>
          <w:tcPr>
            <w:tcW w:w="2551" w:type="dxa"/>
            <w:vMerge w:val="continue"/>
            <w:tcBorders>
              <w:top w:val="nil"/>
              <w:left w:val="nil"/>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5102" w:type="dxa"/>
            <w:vMerge w:val="continue"/>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2551" w:type="dxa"/>
            <w:vMerge w:val="continue"/>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栏次</w:t>
            </w:r>
          </w:p>
        </w:tc>
        <w:tc>
          <w:tcPr>
            <w:tcW w:w="119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1</w:t>
            </w:r>
          </w:p>
        </w:tc>
        <w:tc>
          <w:tcPr>
            <w:tcW w:w="4535"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2</w:t>
            </w:r>
          </w:p>
        </w:tc>
        <w:tc>
          <w:tcPr>
            <w:tcW w:w="255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3</w:t>
            </w:r>
          </w:p>
        </w:tc>
        <w:tc>
          <w:tcPr>
            <w:tcW w:w="255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4</w:t>
            </w:r>
          </w:p>
        </w:tc>
        <w:tc>
          <w:tcPr>
            <w:tcW w:w="255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p>
        </w:tc>
        <w:tc>
          <w:tcPr>
            <w:tcW w:w="1191"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4535"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55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bl>
    <w:p>
      <w:pPr>
        <w:widowControl/>
        <w:ind w:firstLine="420"/>
        <w:jc w:val="left"/>
        <w:rPr>
          <w:rFonts w:ascii="Times New Roman" w:hAnsi="Times New Roman" w:eastAsia="宋体" w:cs="Times New Roman"/>
          <w:kern w:val="0"/>
          <w:sz w:val="24"/>
          <w:szCs w:val="24"/>
        </w:rPr>
      </w:pPr>
      <w:r>
        <w:rPr>
          <w:rFonts w:ascii="方正书宋_GBK" w:hAnsi="方正书宋_GBK" w:eastAsia="宋体" w:cs="Times New Roman"/>
          <w:color w:val="000000"/>
          <w:kern w:val="0"/>
          <w:szCs w:val="21"/>
        </w:rPr>
        <w:t>注：无国有资本经营预算财政拨款预算，空表列示。</w:t>
      </w:r>
    </w:p>
    <w:p>
      <w:pPr>
        <w:widowControl/>
        <w:jc w:val="left"/>
        <w:rPr>
          <w:rFonts w:hint="eastAsia" w:ascii="方正小标宋_GBK" w:hAnsi="方正小标宋_GBK" w:eastAsia="宋体" w:cs="宋体"/>
          <w:color w:val="000000"/>
          <w:kern w:val="0"/>
          <w:sz w:val="36"/>
          <w:szCs w:val="36"/>
        </w:rPr>
        <w:sectPr>
          <w:pgSz w:w="16840" w:h="11900" w:orient="landscape"/>
          <w:pgMar w:top="1361" w:right="1020" w:bottom="1134" w:left="1020" w:header="720" w:footer="720" w:gutter="0"/>
          <w:cols w:space="720" w:num="1"/>
        </w:sectPr>
      </w:pPr>
    </w:p>
    <w:p>
      <w:pPr>
        <w:widowControl/>
        <w:jc w:val="center"/>
        <w:outlineLvl w:val="4"/>
        <w:rPr>
          <w:rFonts w:ascii="Times New Roman" w:hAnsi="Times New Roman" w:eastAsia="宋体" w:cs="Times New Roman"/>
          <w:kern w:val="0"/>
          <w:sz w:val="24"/>
          <w:szCs w:val="24"/>
        </w:rPr>
      </w:pPr>
      <w:r>
        <w:rPr>
          <w:rFonts w:ascii="方正小标宋_GBK" w:hAnsi="方正小标宋_GBK" w:eastAsia="宋体" w:cs="Times New Roman"/>
          <w:color w:val="000000"/>
          <w:kern w:val="0"/>
          <w:sz w:val="36"/>
          <w:szCs w:val="36"/>
        </w:rPr>
        <w:t>中国人民政治协商会议无极县委员会办公室预算财政拨款“三公”经费支出表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30" w:type="dxa"/>
            <w:gridSpan w:val="3"/>
            <w:tcBorders>
              <w:top w:val="single" w:color="FFFFFF" w:sz="6" w:space="0"/>
              <w:left w:val="single" w:color="FFFFFF" w:sz="6" w:space="0"/>
              <w:bottom w:val="single" w:color="000000" w:sz="6" w:space="0"/>
              <w:right w:val="single" w:color="FFFFFF" w:sz="6" w:space="0"/>
            </w:tcBorders>
            <w:vAlign w:val="center"/>
          </w:tcPr>
          <w:p>
            <w:pPr>
              <w:widowControl/>
              <w:jc w:val="left"/>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131001中国人民政治协商会议无极县委员会办公室本级</w:t>
            </w:r>
          </w:p>
        </w:tc>
        <w:tc>
          <w:tcPr>
            <w:tcW w:w="2381" w:type="dxa"/>
            <w:tcBorders>
              <w:top w:val="single" w:color="FFFFFF" w:sz="6" w:space="0"/>
              <w:left w:val="nil"/>
              <w:bottom w:val="single" w:color="000000" w:sz="6" w:space="0"/>
              <w:right w:val="single" w:color="FFFFFF" w:sz="6" w:space="0"/>
            </w:tcBorders>
            <w:vAlign w:val="center"/>
          </w:tcPr>
          <w:p>
            <w:pPr>
              <w:widowControl/>
              <w:jc w:val="center"/>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预算年度：2022</w:t>
            </w:r>
          </w:p>
        </w:tc>
        <w:tc>
          <w:tcPr>
            <w:tcW w:w="4762" w:type="dxa"/>
            <w:gridSpan w:val="2"/>
            <w:tcBorders>
              <w:top w:val="single" w:color="FFFFFF" w:sz="6" w:space="0"/>
              <w:left w:val="nil"/>
              <w:bottom w:val="single" w:color="000000" w:sz="6" w:space="0"/>
              <w:right w:val="single" w:color="FFFFFF" w:sz="6" w:space="0"/>
            </w:tcBorders>
            <w:vAlign w:val="center"/>
          </w:tcPr>
          <w:p>
            <w:pPr>
              <w:widowControl/>
              <w:jc w:val="right"/>
              <w:rPr>
                <w:rFonts w:ascii="方正小标宋_GBK" w:hAnsi="方正小标宋_GBK" w:eastAsia="宋体" w:cs="Times New Roman"/>
                <w:kern w:val="0"/>
                <w:sz w:val="24"/>
                <w:szCs w:val="24"/>
              </w:rPr>
            </w:pPr>
            <w:r>
              <w:rPr>
                <w:rFonts w:ascii="方正小标宋_GBK" w:hAnsi="方正小标宋_GBK" w:eastAsia="宋体" w:cs="Times New Roman"/>
                <w:kern w:val="0"/>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Merge w:val="restart"/>
            <w:tcBorders>
              <w:top w:val="nil"/>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序号</w:t>
            </w:r>
          </w:p>
        </w:tc>
        <w:tc>
          <w:tcPr>
            <w:tcW w:w="3798" w:type="dxa"/>
            <w:vMerge w:val="restart"/>
            <w:tcBorders>
              <w:top w:val="nil"/>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项  目</w:t>
            </w:r>
          </w:p>
        </w:tc>
        <w:tc>
          <w:tcPr>
            <w:tcW w:w="9525" w:type="dxa"/>
            <w:gridSpan w:val="4"/>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7030" w:type="dxa"/>
            <w:vMerge w:val="continue"/>
            <w:tcBorders>
              <w:top w:val="nil"/>
              <w:left w:val="single" w:color="000000" w:sz="6" w:space="0"/>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3798" w:type="dxa"/>
            <w:vMerge w:val="continue"/>
            <w:tcBorders>
              <w:top w:val="nil"/>
              <w:left w:val="nil"/>
              <w:bottom w:val="single" w:color="000000" w:sz="6" w:space="0"/>
              <w:right w:val="single" w:color="000000" w:sz="6" w:space="0"/>
            </w:tcBorders>
            <w:vAlign w:val="center"/>
          </w:tcPr>
          <w:p>
            <w:pPr>
              <w:widowControl/>
              <w:jc w:val="left"/>
              <w:rPr>
                <w:rFonts w:ascii="方正书宋_GBK" w:hAnsi="方正书宋_GBK" w:eastAsia="宋体" w:cs="Times New Roman"/>
                <w:b/>
                <w:bCs/>
                <w:kern w:val="0"/>
                <w:szCs w:val="21"/>
              </w:rPr>
            </w:pPr>
          </w:p>
        </w:tc>
        <w:tc>
          <w:tcPr>
            <w:tcW w:w="2382"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合计</w:t>
            </w:r>
          </w:p>
        </w:tc>
        <w:tc>
          <w:tcPr>
            <w:tcW w:w="238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一般公共预算              财政拨款</w:t>
            </w:r>
          </w:p>
        </w:tc>
        <w:tc>
          <w:tcPr>
            <w:tcW w:w="238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政府性基金                  预算拨款</w:t>
            </w:r>
          </w:p>
        </w:tc>
        <w:tc>
          <w:tcPr>
            <w:tcW w:w="238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栏次</w:t>
            </w:r>
          </w:p>
        </w:tc>
        <w:tc>
          <w:tcPr>
            <w:tcW w:w="3798"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1</w:t>
            </w:r>
          </w:p>
        </w:tc>
        <w:tc>
          <w:tcPr>
            <w:tcW w:w="2382"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2</w:t>
            </w:r>
          </w:p>
        </w:tc>
        <w:tc>
          <w:tcPr>
            <w:tcW w:w="238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3</w:t>
            </w:r>
          </w:p>
        </w:tc>
        <w:tc>
          <w:tcPr>
            <w:tcW w:w="238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4</w:t>
            </w:r>
          </w:p>
        </w:tc>
        <w:tc>
          <w:tcPr>
            <w:tcW w:w="2381"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w:t>
            </w:r>
          </w:p>
        </w:tc>
        <w:tc>
          <w:tcPr>
            <w:tcW w:w="3798" w:type="dxa"/>
            <w:tcBorders>
              <w:top w:val="single" w:color="000000" w:sz="6" w:space="0"/>
              <w:left w:val="nil"/>
              <w:bottom w:val="single" w:color="000000" w:sz="6" w:space="0"/>
              <w:right w:val="single" w:color="000000" w:sz="6" w:space="0"/>
            </w:tcBorders>
            <w:vAlign w:val="center"/>
          </w:tcPr>
          <w:p>
            <w:pPr>
              <w:widowControl/>
              <w:jc w:val="center"/>
              <w:rPr>
                <w:rFonts w:ascii="方正书宋_GBK" w:hAnsi="方正书宋_GBK" w:eastAsia="宋体" w:cs="Times New Roman"/>
                <w:b/>
                <w:bCs/>
                <w:kern w:val="0"/>
                <w:szCs w:val="21"/>
              </w:rPr>
            </w:pPr>
            <w:r>
              <w:rPr>
                <w:rFonts w:ascii="方正书宋_GBK" w:hAnsi="方正书宋_GBK" w:eastAsia="宋体" w:cs="Times New Roman"/>
                <w:b/>
                <w:bCs/>
                <w:kern w:val="0"/>
                <w:szCs w:val="21"/>
              </w:rPr>
              <w:t>合计</w:t>
            </w:r>
          </w:p>
        </w:tc>
        <w:tc>
          <w:tcPr>
            <w:tcW w:w="238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b/>
                <w:bCs/>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2</w:t>
            </w:r>
          </w:p>
        </w:tc>
        <w:tc>
          <w:tcPr>
            <w:tcW w:w="3798"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“三公”经费小计</w:t>
            </w:r>
          </w:p>
        </w:tc>
        <w:tc>
          <w:tcPr>
            <w:tcW w:w="238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3</w:t>
            </w:r>
          </w:p>
        </w:tc>
        <w:tc>
          <w:tcPr>
            <w:tcW w:w="3798"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一、因公出国（境）费</w:t>
            </w:r>
          </w:p>
        </w:tc>
        <w:tc>
          <w:tcPr>
            <w:tcW w:w="238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4</w:t>
            </w:r>
          </w:p>
        </w:tc>
        <w:tc>
          <w:tcPr>
            <w:tcW w:w="3798"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 xml:space="preserve">    其中：教学科研人员因公出国（境）费</w:t>
            </w:r>
          </w:p>
        </w:tc>
        <w:tc>
          <w:tcPr>
            <w:tcW w:w="238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5</w:t>
            </w:r>
          </w:p>
        </w:tc>
        <w:tc>
          <w:tcPr>
            <w:tcW w:w="3798"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 xml:space="preserve">          其他因公出国（境）费</w:t>
            </w:r>
          </w:p>
        </w:tc>
        <w:tc>
          <w:tcPr>
            <w:tcW w:w="238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6</w:t>
            </w:r>
          </w:p>
        </w:tc>
        <w:tc>
          <w:tcPr>
            <w:tcW w:w="3798"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二、公务用车购置及运维费</w:t>
            </w:r>
          </w:p>
        </w:tc>
        <w:tc>
          <w:tcPr>
            <w:tcW w:w="238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7</w:t>
            </w:r>
          </w:p>
        </w:tc>
        <w:tc>
          <w:tcPr>
            <w:tcW w:w="3798"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 xml:space="preserve">    其中：公务用车购置费</w:t>
            </w:r>
          </w:p>
        </w:tc>
        <w:tc>
          <w:tcPr>
            <w:tcW w:w="238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8</w:t>
            </w:r>
          </w:p>
        </w:tc>
        <w:tc>
          <w:tcPr>
            <w:tcW w:w="3798"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 xml:space="preserve">          公务用车运行维护费</w:t>
            </w:r>
          </w:p>
        </w:tc>
        <w:tc>
          <w:tcPr>
            <w:tcW w:w="238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16.00</w:t>
            </w: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r>
              <w:rPr>
                <w:rFonts w:ascii="方正书宋_GBK" w:hAnsi="方正书宋_GBK" w:eastAsia="宋体" w:cs="Times New Roman"/>
                <w:kern w:val="0"/>
                <w:szCs w:val="21"/>
              </w:rPr>
              <w:t>16.00</w:t>
            </w: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9</w:t>
            </w:r>
          </w:p>
        </w:tc>
        <w:tc>
          <w:tcPr>
            <w:tcW w:w="3798"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三、公务接待费</w:t>
            </w:r>
          </w:p>
        </w:tc>
        <w:tc>
          <w:tcPr>
            <w:tcW w:w="238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10</w:t>
            </w:r>
          </w:p>
        </w:tc>
        <w:tc>
          <w:tcPr>
            <w:tcW w:w="3798"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四、会议费</w:t>
            </w:r>
          </w:p>
        </w:tc>
        <w:tc>
          <w:tcPr>
            <w:tcW w:w="238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tcBorders>
              <w:top w:val="single" w:color="000000" w:sz="6" w:space="0"/>
              <w:left w:val="single" w:color="000000" w:sz="6" w:space="0"/>
              <w:bottom w:val="single" w:color="000000" w:sz="6" w:space="0"/>
              <w:right w:val="single" w:color="000000" w:sz="6" w:space="0"/>
            </w:tcBorders>
            <w:vAlign w:val="center"/>
          </w:tcPr>
          <w:p>
            <w:pPr>
              <w:widowControl/>
              <w:jc w:val="center"/>
              <w:rPr>
                <w:rFonts w:ascii="方正书宋_GBK" w:hAnsi="方正书宋_GBK" w:eastAsia="宋体" w:cs="Times New Roman"/>
                <w:kern w:val="0"/>
                <w:szCs w:val="21"/>
              </w:rPr>
            </w:pPr>
            <w:r>
              <w:rPr>
                <w:rFonts w:ascii="方正书宋_GBK" w:hAnsi="方正书宋_GBK" w:eastAsia="宋体" w:cs="Times New Roman"/>
                <w:kern w:val="0"/>
                <w:szCs w:val="21"/>
              </w:rPr>
              <w:t>11</w:t>
            </w:r>
          </w:p>
        </w:tc>
        <w:tc>
          <w:tcPr>
            <w:tcW w:w="3798" w:type="dxa"/>
            <w:tcBorders>
              <w:top w:val="single" w:color="000000" w:sz="6" w:space="0"/>
              <w:left w:val="nil"/>
              <w:bottom w:val="single" w:color="000000" w:sz="6" w:space="0"/>
              <w:right w:val="single" w:color="000000" w:sz="6" w:space="0"/>
            </w:tcBorders>
            <w:vAlign w:val="center"/>
          </w:tcPr>
          <w:p>
            <w:pPr>
              <w:widowControl/>
              <w:jc w:val="left"/>
              <w:rPr>
                <w:rFonts w:ascii="方正书宋_GBK" w:hAnsi="方正书宋_GBK" w:eastAsia="宋体" w:cs="Times New Roman"/>
                <w:kern w:val="0"/>
                <w:szCs w:val="21"/>
              </w:rPr>
            </w:pPr>
            <w:r>
              <w:rPr>
                <w:rFonts w:ascii="方正书宋_GBK" w:hAnsi="方正书宋_GBK" w:eastAsia="宋体" w:cs="Times New Roman"/>
                <w:kern w:val="0"/>
                <w:szCs w:val="21"/>
              </w:rPr>
              <w:t>五、培训费</w:t>
            </w:r>
          </w:p>
        </w:tc>
        <w:tc>
          <w:tcPr>
            <w:tcW w:w="2382"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c>
          <w:tcPr>
            <w:tcW w:w="2381" w:type="dxa"/>
            <w:tcBorders>
              <w:top w:val="single" w:color="000000" w:sz="6" w:space="0"/>
              <w:left w:val="nil"/>
              <w:bottom w:val="single" w:color="000000" w:sz="6" w:space="0"/>
              <w:right w:val="single" w:color="000000" w:sz="6" w:space="0"/>
            </w:tcBorders>
            <w:vAlign w:val="center"/>
          </w:tcPr>
          <w:p>
            <w:pPr>
              <w:widowControl/>
              <w:jc w:val="right"/>
              <w:rPr>
                <w:rFonts w:ascii="方正书宋_GBK" w:hAnsi="方正书宋_GBK" w:eastAsia="宋体" w:cs="Times New Roman"/>
                <w:kern w:val="0"/>
                <w:szCs w:val="21"/>
              </w:rPr>
            </w:pPr>
          </w:p>
        </w:tc>
      </w:tr>
    </w:tbl>
    <w:p>
      <w:pPr>
        <w:widowControl/>
        <w:jc w:val="left"/>
        <w:rPr>
          <w:rFonts w:hint="eastAsia" w:ascii="方正小标宋_GBK" w:hAnsi="方正小标宋_GBK" w:eastAsia="宋体" w:cs="宋体"/>
          <w:color w:val="000000"/>
          <w:kern w:val="0"/>
          <w:sz w:val="44"/>
          <w:szCs w:val="44"/>
        </w:rPr>
        <w:sectPr>
          <w:pgSz w:w="16840" w:h="11900" w:orient="landscape"/>
          <w:pgMar w:top="1361" w:right="1020" w:bottom="1361" w:left="1020" w:header="720" w:footer="720" w:gutter="0"/>
          <w:cols w:space="720" w:num="1"/>
        </w:sectPr>
      </w:pPr>
    </w:p>
    <w:p>
      <w:pPr>
        <w:widowControl/>
        <w:jc w:val="center"/>
        <w:outlineLvl w:val="4"/>
        <w:rPr>
          <w:rFonts w:hint="eastAsia" w:ascii="方正小标宋_GBK" w:hAnsi="方正小标宋_GBK" w:eastAsia="宋体" w:cs="Times New Roman"/>
          <w:color w:val="000000"/>
          <w:kern w:val="0"/>
          <w:sz w:val="44"/>
          <w:szCs w:val="44"/>
        </w:rPr>
      </w:pPr>
      <w:r>
        <w:rPr>
          <w:rFonts w:ascii="方正小标宋_GBK" w:hAnsi="方正小标宋_GBK" w:eastAsia="宋体" w:cs="Times New Roman"/>
          <w:color w:val="000000"/>
          <w:kern w:val="0"/>
          <w:sz w:val="44"/>
          <w:szCs w:val="44"/>
        </w:rPr>
        <w:t>中国人民政治协商会议无极县委员会办公室</w:t>
      </w:r>
    </w:p>
    <w:p>
      <w:pPr>
        <w:widowControl/>
        <w:jc w:val="center"/>
        <w:outlineLvl w:val="4"/>
        <w:rPr>
          <w:rFonts w:ascii="Times New Roman" w:hAnsi="Times New Roman" w:eastAsia="宋体" w:cs="Times New Roman"/>
          <w:kern w:val="0"/>
          <w:sz w:val="24"/>
          <w:szCs w:val="24"/>
        </w:rPr>
      </w:pPr>
      <w:r>
        <w:rPr>
          <w:rFonts w:ascii="方正小标宋_GBK" w:hAnsi="方正小标宋_GBK" w:eastAsia="宋体" w:cs="Times New Roman"/>
          <w:color w:val="000000"/>
          <w:kern w:val="0"/>
          <w:sz w:val="44"/>
          <w:szCs w:val="44"/>
        </w:rPr>
        <w:t>本级2022年单位预算信息公开情况说明</w:t>
      </w:r>
    </w:p>
    <w:p>
      <w:pPr>
        <w:widowControl/>
        <w:spacing w:line="500" w:lineRule="exact"/>
        <w:ind w:firstLine="560"/>
        <w:jc w:val="left"/>
        <w:rPr>
          <w:rFonts w:ascii="Times New Roman" w:hAnsi="Times New Roman" w:eastAsia="宋体" w:cs="Times New Roman"/>
          <w:kern w:val="0"/>
          <w:sz w:val="24"/>
          <w:szCs w:val="24"/>
        </w:rPr>
      </w:pPr>
      <w:r>
        <w:rPr>
          <w:rFonts w:hint="eastAsia" w:ascii="宋体" w:hAnsi="宋体" w:eastAsia="宋体" w:cs="宋体"/>
          <w:color w:val="000000"/>
          <w:kern w:val="0"/>
          <w:sz w:val="28"/>
          <w:szCs w:val="28"/>
        </w:rPr>
        <w:t>按照</w:t>
      </w:r>
      <w:r>
        <w:rPr>
          <w:rFonts w:hint="eastAsia" w:ascii="宋体" w:hAnsi="宋体" w:eastAsia="宋体" w:cs="宋体"/>
          <w:color w:val="000000"/>
          <w:kern w:val="0"/>
          <w:sz w:val="28"/>
          <w:szCs w:val="28"/>
          <w:lang w:eastAsia="zh-CN"/>
        </w:rPr>
        <w:t>《中华人民共和国预算法》</w:t>
      </w:r>
      <w:r>
        <w:rPr>
          <w:rFonts w:hint="eastAsia" w:ascii="宋体" w:hAnsi="宋体" w:eastAsia="宋体" w:cs="宋体"/>
          <w:color w:val="000000"/>
          <w:kern w:val="0"/>
          <w:sz w:val="28"/>
          <w:szCs w:val="28"/>
        </w:rPr>
        <w:t>、《地方预决算公开操作规程》和《关于进一步推进预算公开工作的实施意见》规定，现将中国人民政治协商会议无极县委员会办公室本级</w:t>
      </w:r>
      <w:r>
        <w:rPr>
          <w:rFonts w:ascii="Times New Roman" w:hAnsi="Times New Roman" w:eastAsia="方正仿宋_GBK" w:cs="Times New Roman"/>
          <w:color w:val="000000"/>
          <w:kern w:val="0"/>
          <w:sz w:val="28"/>
          <w:szCs w:val="28"/>
        </w:rPr>
        <w:t>2022</w:t>
      </w:r>
      <w:r>
        <w:rPr>
          <w:rFonts w:hint="eastAsia" w:ascii="宋体" w:hAnsi="宋体" w:eastAsia="宋体" w:cs="宋体"/>
          <w:color w:val="000000"/>
          <w:kern w:val="0"/>
          <w:sz w:val="28"/>
          <w:szCs w:val="28"/>
        </w:rPr>
        <w:t>年单位预算公开如下</w:t>
      </w:r>
      <w:r>
        <w:rPr>
          <w:rFonts w:ascii="宋体" w:hAnsi="宋体" w:eastAsia="宋体" w:cs="宋体"/>
          <w:color w:val="000000"/>
          <w:kern w:val="0"/>
          <w:sz w:val="28"/>
          <w:szCs w:val="28"/>
        </w:rPr>
        <w:t>：</w:t>
      </w:r>
    </w:p>
    <w:p>
      <w:pPr>
        <w:widowControl/>
        <w:spacing w:before="10" w:after="10"/>
        <w:ind w:firstLine="640"/>
        <w:jc w:val="left"/>
        <w:outlineLvl w:val="5"/>
        <w:rPr>
          <w:rFonts w:ascii="Times New Roman" w:hAnsi="Times New Roman" w:eastAsia="宋体" w:cs="Times New Roman"/>
          <w:kern w:val="0"/>
          <w:sz w:val="24"/>
          <w:szCs w:val="24"/>
        </w:rPr>
      </w:pPr>
      <w:r>
        <w:rPr>
          <w:rFonts w:hint="eastAsia" w:ascii="黑体" w:hAnsi="黑体" w:eastAsia="黑体" w:cs="Times New Roman"/>
          <w:color w:val="000000"/>
          <w:kern w:val="0"/>
          <w:sz w:val="32"/>
          <w:szCs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5"/>
      </w:pPr>
      <w:r>
        <w:t>根据全国政协组织章程，县政协主要职能是对全县大政方针政策的讨论以及全县重要事务和群众生活，统一战线内部关系等重要问题进行政治协商，并通过提案、社情民意、会议等形式提出意见和建议，发挥民主监督、参政议政作用；充分发扬社会主义民主，反映社会各界意见，促进我县各级党委、政府重大决策的科学化、民主化。</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8"/>
            </w:pPr>
            <w:r>
              <w:t>中国人民政治协商会议无极县委员会办公室本级</w:t>
            </w:r>
          </w:p>
        </w:tc>
        <w:tc>
          <w:tcPr>
            <w:tcW w:w="1843" w:type="dxa"/>
            <w:vAlign w:val="center"/>
          </w:tcPr>
          <w:p>
            <w:pPr>
              <w:pStyle w:val="6"/>
            </w:pPr>
            <w:r>
              <w:t>行政</w:t>
            </w:r>
          </w:p>
        </w:tc>
        <w:tc>
          <w:tcPr>
            <w:tcW w:w="2126" w:type="dxa"/>
            <w:vAlign w:val="center"/>
          </w:tcPr>
          <w:p>
            <w:pPr>
              <w:pStyle w:val="6"/>
            </w:pPr>
            <w:r>
              <w:t>正科级</w:t>
            </w:r>
          </w:p>
        </w:tc>
        <w:tc>
          <w:tcPr>
            <w:tcW w:w="3827" w:type="dxa"/>
            <w:vAlign w:val="center"/>
          </w:tcPr>
          <w:p>
            <w:pPr>
              <w:pStyle w:val="6"/>
            </w:pPr>
            <w:r>
              <w:t>财政拨款</w:t>
            </w:r>
          </w:p>
        </w:tc>
      </w:tr>
    </w:tbl>
    <w:p>
      <w:pPr>
        <w:widowControl/>
        <w:spacing w:before="10" w:after="10"/>
        <w:ind w:firstLine="640"/>
        <w:jc w:val="left"/>
        <w:outlineLvl w:val="5"/>
        <w:rPr>
          <w:rFonts w:hint="eastAsia" w:ascii="黑体" w:hAnsi="黑体" w:eastAsia="黑体" w:cs="Times New Roman"/>
          <w:color w:val="000000"/>
          <w:kern w:val="0"/>
          <w:sz w:val="32"/>
          <w:szCs w:val="32"/>
        </w:rPr>
      </w:pPr>
      <w:r>
        <w:rPr>
          <w:rFonts w:hint="eastAsia" w:ascii="黑体" w:hAnsi="黑体" w:eastAsia="黑体" w:cs="Times New Roman"/>
          <w:color w:val="000000"/>
          <w:kern w:val="0"/>
          <w:sz w:val="32"/>
          <w:szCs w:val="32"/>
        </w:rPr>
        <w:t>二、</w:t>
      </w:r>
      <w:r>
        <w:rPr>
          <w:rFonts w:hint="eastAsia" w:ascii="黑体" w:hAnsi="黑体" w:eastAsia="黑体" w:cs="Times New Roman"/>
          <w:color w:val="000000"/>
          <w:kern w:val="0"/>
          <w:sz w:val="32"/>
          <w:szCs w:val="32"/>
          <w:lang w:val="en-US" w:eastAsia="zh-CN"/>
        </w:rPr>
        <w:t>单位</w:t>
      </w:r>
      <w:r>
        <w:rPr>
          <w:rFonts w:hint="eastAsia" w:ascii="黑体" w:hAnsi="黑体" w:eastAsia="黑体" w:cs="Times New Roman"/>
          <w:color w:val="000000"/>
          <w:kern w:val="0"/>
          <w:sz w:val="32"/>
          <w:szCs w:val="32"/>
        </w:rPr>
        <w:t>预算安排的总体情况</w:t>
      </w:r>
    </w:p>
    <w:p>
      <w:pPr>
        <w:widowControl/>
        <w:spacing w:line="500" w:lineRule="exact"/>
        <w:ind w:firstLine="560"/>
        <w:jc w:val="left"/>
        <w:rPr>
          <w:rFonts w:ascii="Times New Roman" w:hAnsi="Times New Roman" w:eastAsia="方正仿宋_GBK" w:cs="Times New Roman"/>
          <w:kern w:val="0"/>
          <w:sz w:val="28"/>
          <w:szCs w:val="28"/>
        </w:rPr>
      </w:pPr>
      <w:r>
        <w:rPr>
          <w:rFonts w:hint="eastAsia" w:ascii="宋体" w:hAnsi="宋体" w:eastAsia="宋体" w:cs="宋体"/>
          <w:kern w:val="0"/>
          <w:sz w:val="28"/>
          <w:szCs w:val="28"/>
        </w:rPr>
        <w:t>按照预算管理有关规定，目前我县</w:t>
      </w:r>
      <w:r>
        <w:rPr>
          <w:rFonts w:hint="eastAsia" w:ascii="宋体" w:hAnsi="宋体" w:eastAsia="宋体" w:cs="宋体"/>
          <w:kern w:val="0"/>
          <w:sz w:val="28"/>
          <w:szCs w:val="28"/>
          <w:lang w:val="en-US" w:eastAsia="zh-CN"/>
        </w:rPr>
        <w:t>单位</w:t>
      </w:r>
      <w:r>
        <w:rPr>
          <w:rFonts w:hint="eastAsia" w:ascii="宋体" w:hAnsi="宋体" w:eastAsia="宋体" w:cs="宋体"/>
          <w:kern w:val="0"/>
          <w:sz w:val="28"/>
          <w:szCs w:val="28"/>
        </w:rPr>
        <w:t>预算的编制实行综合预算制度，即全部收入和支出都反映在预算里，我部门及所属单位所有收支都包含在</w:t>
      </w:r>
      <w:r>
        <w:rPr>
          <w:rFonts w:hint="eastAsia" w:ascii="宋体" w:hAnsi="宋体" w:eastAsia="宋体" w:cs="宋体"/>
          <w:kern w:val="0"/>
          <w:sz w:val="28"/>
          <w:szCs w:val="28"/>
          <w:lang w:val="en-US" w:eastAsia="zh-CN"/>
        </w:rPr>
        <w:t>单位</w:t>
      </w:r>
      <w:r>
        <w:rPr>
          <w:rFonts w:hint="eastAsia" w:ascii="宋体" w:hAnsi="宋体" w:eastAsia="宋体" w:cs="宋体"/>
          <w:kern w:val="0"/>
          <w:sz w:val="28"/>
          <w:szCs w:val="28"/>
        </w:rPr>
        <w:t>预算中</w:t>
      </w:r>
      <w:r>
        <w:rPr>
          <w:rFonts w:ascii="宋体" w:hAnsi="宋体" w:eastAsia="宋体" w:cs="宋体"/>
          <w:kern w:val="0"/>
          <w:sz w:val="28"/>
          <w:szCs w:val="28"/>
        </w:rPr>
        <w:t>。</w:t>
      </w:r>
    </w:p>
    <w:p>
      <w:pPr>
        <w:widowControl/>
        <w:spacing w:line="500" w:lineRule="exact"/>
        <w:ind w:firstLine="560"/>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1</w:t>
      </w:r>
      <w:r>
        <w:rPr>
          <w:rFonts w:hint="eastAsia" w:ascii="宋体" w:hAnsi="宋体" w:eastAsia="宋体" w:cs="宋体"/>
          <w:kern w:val="0"/>
          <w:sz w:val="28"/>
          <w:szCs w:val="28"/>
        </w:rPr>
        <w:t>、收入说</w:t>
      </w:r>
      <w:r>
        <w:rPr>
          <w:rFonts w:ascii="宋体" w:hAnsi="宋体" w:eastAsia="宋体" w:cs="宋体"/>
          <w:kern w:val="0"/>
          <w:sz w:val="28"/>
          <w:szCs w:val="28"/>
        </w:rPr>
        <w:t>明</w:t>
      </w:r>
    </w:p>
    <w:p>
      <w:pPr>
        <w:widowControl/>
        <w:spacing w:line="500" w:lineRule="exact"/>
        <w:ind w:firstLine="560"/>
        <w:jc w:val="left"/>
        <w:rPr>
          <w:rFonts w:ascii="Times New Roman" w:hAnsi="Times New Roman" w:eastAsia="方正仿宋_GBK" w:cs="Times New Roman"/>
          <w:kern w:val="0"/>
          <w:sz w:val="28"/>
          <w:szCs w:val="28"/>
        </w:rPr>
      </w:pPr>
      <w:r>
        <w:rPr>
          <w:rFonts w:hint="eastAsia" w:ascii="宋体" w:hAnsi="宋体" w:eastAsia="宋体" w:cs="宋体"/>
          <w:kern w:val="0"/>
          <w:sz w:val="28"/>
          <w:szCs w:val="28"/>
        </w:rPr>
        <w:t>无极县政协办</w:t>
      </w:r>
      <w:r>
        <w:rPr>
          <w:rFonts w:ascii="Times New Roman" w:hAnsi="Times New Roman" w:eastAsia="方正仿宋_GBK" w:cs="Times New Roman"/>
          <w:kern w:val="0"/>
          <w:sz w:val="28"/>
          <w:szCs w:val="28"/>
        </w:rPr>
        <w:t>2022</w:t>
      </w:r>
      <w:r>
        <w:rPr>
          <w:rFonts w:hint="eastAsia" w:ascii="宋体" w:hAnsi="宋体" w:eastAsia="宋体" w:cs="宋体"/>
          <w:kern w:val="0"/>
          <w:sz w:val="28"/>
          <w:szCs w:val="28"/>
        </w:rPr>
        <w:t>年预算收入总计</w:t>
      </w:r>
      <w:r>
        <w:rPr>
          <w:rFonts w:ascii="Times New Roman" w:hAnsi="Times New Roman" w:eastAsia="方正仿宋_GBK" w:cs="Times New Roman"/>
          <w:kern w:val="0"/>
          <w:sz w:val="28"/>
          <w:szCs w:val="28"/>
        </w:rPr>
        <w:t>492.7</w:t>
      </w:r>
      <w:r>
        <w:rPr>
          <w:rFonts w:hint="eastAsia" w:ascii="宋体" w:hAnsi="宋体" w:eastAsia="宋体" w:cs="宋体"/>
          <w:kern w:val="0"/>
          <w:sz w:val="28"/>
          <w:szCs w:val="28"/>
        </w:rPr>
        <w:t>万元。其中，一般公共预算收入</w:t>
      </w:r>
      <w:r>
        <w:rPr>
          <w:rFonts w:ascii="Times New Roman" w:hAnsi="Times New Roman" w:eastAsia="方正仿宋_GBK" w:cs="Times New Roman"/>
          <w:kern w:val="0"/>
          <w:sz w:val="28"/>
          <w:szCs w:val="28"/>
        </w:rPr>
        <w:t>492.7</w:t>
      </w:r>
      <w:r>
        <w:rPr>
          <w:rFonts w:hint="eastAsia" w:ascii="宋体" w:hAnsi="宋体" w:eastAsia="宋体" w:cs="宋体"/>
          <w:kern w:val="0"/>
          <w:sz w:val="28"/>
          <w:szCs w:val="28"/>
        </w:rPr>
        <w:t>万元、政府性基金收入</w:t>
      </w:r>
      <w:r>
        <w:rPr>
          <w:rFonts w:ascii="Times New Roman" w:hAnsi="Times New Roman" w:eastAsia="方正仿宋_GBK" w:cs="Times New Roman"/>
          <w:kern w:val="0"/>
          <w:sz w:val="28"/>
          <w:szCs w:val="28"/>
        </w:rPr>
        <w:t>0</w:t>
      </w:r>
      <w:r>
        <w:rPr>
          <w:rFonts w:hint="eastAsia" w:ascii="宋体" w:hAnsi="宋体" w:eastAsia="宋体" w:cs="宋体"/>
          <w:kern w:val="0"/>
          <w:sz w:val="28"/>
          <w:szCs w:val="28"/>
        </w:rPr>
        <w:t>万元、财政专户核拨收入</w:t>
      </w:r>
      <w:r>
        <w:rPr>
          <w:rFonts w:ascii="Times New Roman" w:hAnsi="Times New Roman" w:eastAsia="方正仿宋_GBK" w:cs="Times New Roman"/>
          <w:kern w:val="0"/>
          <w:sz w:val="28"/>
          <w:szCs w:val="28"/>
        </w:rPr>
        <w:t>0</w:t>
      </w:r>
      <w:r>
        <w:rPr>
          <w:rFonts w:hint="eastAsia" w:ascii="宋体" w:hAnsi="宋体" w:eastAsia="宋体" w:cs="宋体"/>
          <w:kern w:val="0"/>
          <w:sz w:val="28"/>
          <w:szCs w:val="28"/>
        </w:rPr>
        <w:t>万元，其他来源收入</w:t>
      </w:r>
      <w:r>
        <w:rPr>
          <w:rFonts w:ascii="Times New Roman" w:hAnsi="Times New Roman" w:eastAsia="方正仿宋_GBK" w:cs="Times New Roman"/>
          <w:kern w:val="0"/>
          <w:sz w:val="28"/>
          <w:szCs w:val="28"/>
        </w:rPr>
        <w:t>0</w:t>
      </w:r>
      <w:r>
        <w:rPr>
          <w:rFonts w:hint="eastAsia" w:ascii="宋体" w:hAnsi="宋体" w:eastAsia="宋体" w:cs="宋体"/>
          <w:kern w:val="0"/>
          <w:sz w:val="28"/>
          <w:szCs w:val="28"/>
        </w:rPr>
        <w:t>万元</w:t>
      </w:r>
      <w:r>
        <w:rPr>
          <w:rFonts w:ascii="宋体" w:hAnsi="宋体" w:eastAsia="宋体" w:cs="宋体"/>
          <w:kern w:val="0"/>
          <w:sz w:val="28"/>
          <w:szCs w:val="28"/>
        </w:rPr>
        <w:t>。</w:t>
      </w:r>
    </w:p>
    <w:p>
      <w:pPr>
        <w:widowControl/>
        <w:spacing w:line="500" w:lineRule="exact"/>
        <w:ind w:firstLine="560"/>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r>
        <w:rPr>
          <w:rFonts w:hint="eastAsia" w:ascii="宋体" w:hAnsi="宋体" w:eastAsia="宋体" w:cs="宋体"/>
          <w:kern w:val="0"/>
          <w:sz w:val="28"/>
          <w:szCs w:val="28"/>
        </w:rPr>
        <w:t>、支出说</w:t>
      </w:r>
      <w:r>
        <w:rPr>
          <w:rFonts w:ascii="宋体" w:hAnsi="宋体" w:eastAsia="宋体" w:cs="宋体"/>
          <w:kern w:val="0"/>
          <w:sz w:val="28"/>
          <w:szCs w:val="28"/>
        </w:rPr>
        <w:t>明</w:t>
      </w:r>
    </w:p>
    <w:p>
      <w:pPr>
        <w:widowControl/>
        <w:spacing w:line="500" w:lineRule="exact"/>
        <w:ind w:firstLine="560"/>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2022</w:t>
      </w:r>
      <w:r>
        <w:rPr>
          <w:rFonts w:hint="eastAsia" w:ascii="宋体" w:hAnsi="宋体" w:eastAsia="宋体" w:cs="宋体"/>
          <w:kern w:val="0"/>
          <w:sz w:val="28"/>
          <w:szCs w:val="28"/>
        </w:rPr>
        <w:t>年</w:t>
      </w:r>
      <w:r>
        <w:rPr>
          <w:rFonts w:hint="eastAsia" w:ascii="宋体" w:hAnsi="宋体" w:eastAsia="宋体" w:cs="宋体"/>
          <w:kern w:val="0"/>
          <w:sz w:val="28"/>
          <w:szCs w:val="28"/>
          <w:lang w:val="en-US" w:eastAsia="zh-CN"/>
        </w:rPr>
        <w:t>单位</w:t>
      </w:r>
      <w:r>
        <w:rPr>
          <w:rFonts w:hint="eastAsia" w:ascii="宋体" w:hAnsi="宋体" w:eastAsia="宋体" w:cs="宋体"/>
          <w:kern w:val="0"/>
          <w:sz w:val="28"/>
          <w:szCs w:val="28"/>
        </w:rPr>
        <w:t>支出预算为</w:t>
      </w:r>
      <w:r>
        <w:rPr>
          <w:rFonts w:ascii="Times New Roman" w:hAnsi="Times New Roman" w:eastAsia="方正仿宋_GBK" w:cs="Times New Roman"/>
          <w:kern w:val="0"/>
          <w:sz w:val="28"/>
          <w:szCs w:val="28"/>
        </w:rPr>
        <w:t>492.7</w:t>
      </w:r>
      <w:r>
        <w:rPr>
          <w:rFonts w:hint="eastAsia" w:ascii="宋体" w:hAnsi="宋体" w:eastAsia="宋体" w:cs="宋体"/>
          <w:kern w:val="0"/>
          <w:sz w:val="28"/>
          <w:szCs w:val="28"/>
        </w:rPr>
        <w:t>万元，其中基本支出</w:t>
      </w:r>
      <w:r>
        <w:rPr>
          <w:rFonts w:ascii="Times New Roman" w:hAnsi="Times New Roman" w:eastAsia="方正仿宋_GBK" w:cs="Times New Roman"/>
          <w:kern w:val="0"/>
          <w:sz w:val="28"/>
          <w:szCs w:val="28"/>
        </w:rPr>
        <w:t>442.7</w:t>
      </w:r>
      <w:r>
        <w:rPr>
          <w:rFonts w:hint="eastAsia" w:ascii="宋体" w:hAnsi="宋体" w:eastAsia="宋体" w:cs="宋体"/>
          <w:kern w:val="0"/>
          <w:sz w:val="28"/>
          <w:szCs w:val="28"/>
        </w:rPr>
        <w:t>万元，包括人员经费</w:t>
      </w:r>
      <w:r>
        <w:rPr>
          <w:rFonts w:ascii="Times New Roman" w:hAnsi="Times New Roman" w:eastAsia="方正仿宋_GBK" w:cs="Times New Roman"/>
          <w:kern w:val="0"/>
          <w:sz w:val="28"/>
          <w:szCs w:val="28"/>
        </w:rPr>
        <w:t>350.7</w:t>
      </w:r>
      <w:r>
        <w:rPr>
          <w:rFonts w:hint="eastAsia" w:ascii="宋体" w:hAnsi="宋体" w:eastAsia="宋体" w:cs="宋体"/>
          <w:kern w:val="0"/>
          <w:sz w:val="28"/>
          <w:szCs w:val="28"/>
        </w:rPr>
        <w:t>万元和日常公用经费</w:t>
      </w:r>
      <w:r>
        <w:rPr>
          <w:rFonts w:ascii="Times New Roman" w:hAnsi="Times New Roman" w:eastAsia="方正仿宋_GBK" w:cs="Times New Roman"/>
          <w:kern w:val="0"/>
          <w:sz w:val="28"/>
          <w:szCs w:val="28"/>
        </w:rPr>
        <w:t>92</w:t>
      </w:r>
      <w:r>
        <w:rPr>
          <w:rFonts w:hint="eastAsia" w:ascii="宋体" w:hAnsi="宋体" w:eastAsia="宋体" w:cs="宋体"/>
          <w:kern w:val="0"/>
          <w:sz w:val="28"/>
          <w:szCs w:val="28"/>
        </w:rPr>
        <w:t>万元；项目支出</w:t>
      </w:r>
      <w:r>
        <w:rPr>
          <w:rFonts w:ascii="Times New Roman" w:hAnsi="Times New Roman" w:eastAsia="方正仿宋_GBK" w:cs="Times New Roman"/>
          <w:kern w:val="0"/>
          <w:sz w:val="28"/>
          <w:szCs w:val="28"/>
        </w:rPr>
        <w:t>50</w:t>
      </w:r>
      <w:r>
        <w:rPr>
          <w:rFonts w:hint="eastAsia" w:ascii="宋体" w:hAnsi="宋体" w:eastAsia="宋体" w:cs="宋体"/>
          <w:kern w:val="0"/>
          <w:sz w:val="28"/>
          <w:szCs w:val="28"/>
        </w:rPr>
        <w:t>万元，主要为政协十四届二次会议</w:t>
      </w:r>
      <w:r>
        <w:rPr>
          <w:rFonts w:ascii="Times New Roman" w:hAnsi="Times New Roman" w:eastAsia="方正仿宋_GBK" w:cs="Times New Roman"/>
          <w:kern w:val="0"/>
          <w:sz w:val="28"/>
          <w:szCs w:val="28"/>
        </w:rPr>
        <w:t>50</w:t>
      </w:r>
      <w:r>
        <w:rPr>
          <w:rFonts w:hint="eastAsia" w:ascii="宋体" w:hAnsi="宋体" w:eastAsia="宋体" w:cs="宋体"/>
          <w:kern w:val="0"/>
          <w:sz w:val="28"/>
          <w:szCs w:val="28"/>
        </w:rPr>
        <w:t>万元支出</w:t>
      </w:r>
      <w:r>
        <w:rPr>
          <w:rFonts w:ascii="宋体" w:hAnsi="宋体" w:eastAsia="宋体" w:cs="宋体"/>
          <w:kern w:val="0"/>
          <w:sz w:val="28"/>
          <w:szCs w:val="28"/>
        </w:rPr>
        <w:t>。</w:t>
      </w:r>
    </w:p>
    <w:p>
      <w:pPr>
        <w:widowControl/>
        <w:spacing w:line="500" w:lineRule="exact"/>
        <w:ind w:firstLine="560"/>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r>
        <w:rPr>
          <w:rFonts w:hint="eastAsia" w:ascii="宋体" w:hAnsi="宋体" w:eastAsia="宋体" w:cs="宋体"/>
          <w:kern w:val="0"/>
          <w:sz w:val="28"/>
          <w:szCs w:val="28"/>
        </w:rPr>
        <w:t>、比上年增减情</w:t>
      </w:r>
      <w:r>
        <w:rPr>
          <w:rFonts w:ascii="宋体" w:hAnsi="宋体" w:eastAsia="宋体" w:cs="宋体"/>
          <w:kern w:val="0"/>
          <w:sz w:val="28"/>
          <w:szCs w:val="28"/>
        </w:rPr>
        <w:t>况</w:t>
      </w:r>
    </w:p>
    <w:p>
      <w:pPr>
        <w:widowControl/>
        <w:spacing w:line="500" w:lineRule="exact"/>
        <w:ind w:firstLine="560"/>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2022</w:t>
      </w:r>
      <w:r>
        <w:rPr>
          <w:rFonts w:hint="eastAsia" w:ascii="宋体" w:hAnsi="宋体" w:eastAsia="宋体" w:cs="宋体"/>
          <w:kern w:val="0"/>
          <w:sz w:val="28"/>
          <w:szCs w:val="28"/>
        </w:rPr>
        <w:t>年</w:t>
      </w:r>
      <w:r>
        <w:rPr>
          <w:rFonts w:hint="eastAsia" w:ascii="宋体" w:hAnsi="宋体" w:eastAsia="宋体" w:cs="宋体"/>
          <w:kern w:val="0"/>
          <w:sz w:val="28"/>
          <w:szCs w:val="28"/>
          <w:lang w:val="en-US" w:eastAsia="zh-CN"/>
        </w:rPr>
        <w:t>单位</w:t>
      </w:r>
      <w:r>
        <w:rPr>
          <w:rFonts w:hint="eastAsia" w:ascii="宋体" w:hAnsi="宋体" w:eastAsia="宋体" w:cs="宋体"/>
          <w:kern w:val="0"/>
          <w:sz w:val="28"/>
          <w:szCs w:val="28"/>
        </w:rPr>
        <w:t>预算支出安排</w:t>
      </w:r>
      <w:r>
        <w:rPr>
          <w:rFonts w:ascii="Times New Roman" w:hAnsi="Times New Roman" w:eastAsia="方正仿宋_GBK" w:cs="Times New Roman"/>
          <w:kern w:val="0"/>
          <w:sz w:val="28"/>
          <w:szCs w:val="28"/>
        </w:rPr>
        <w:t>492.7</w:t>
      </w:r>
      <w:r>
        <w:rPr>
          <w:rFonts w:hint="eastAsia" w:ascii="宋体" w:hAnsi="宋体" w:eastAsia="宋体" w:cs="宋体"/>
          <w:kern w:val="0"/>
          <w:sz w:val="28"/>
          <w:szCs w:val="28"/>
        </w:rPr>
        <w:t>万元，较</w:t>
      </w:r>
      <w:r>
        <w:rPr>
          <w:rFonts w:ascii="Times New Roman" w:hAnsi="Times New Roman" w:eastAsia="方正仿宋_GBK" w:cs="Times New Roman"/>
          <w:kern w:val="0"/>
          <w:sz w:val="28"/>
          <w:szCs w:val="28"/>
        </w:rPr>
        <w:t>2021</w:t>
      </w:r>
      <w:r>
        <w:rPr>
          <w:rFonts w:hint="eastAsia" w:ascii="宋体" w:hAnsi="宋体" w:eastAsia="宋体" w:cs="宋体"/>
          <w:kern w:val="0"/>
          <w:sz w:val="28"/>
          <w:szCs w:val="28"/>
        </w:rPr>
        <w:t>年的</w:t>
      </w:r>
      <w:r>
        <w:rPr>
          <w:rFonts w:ascii="Times New Roman" w:hAnsi="Times New Roman" w:eastAsia="方正仿宋_GBK" w:cs="Times New Roman"/>
          <w:kern w:val="0"/>
          <w:sz w:val="28"/>
          <w:szCs w:val="28"/>
        </w:rPr>
        <w:t>576.05</w:t>
      </w:r>
      <w:r>
        <w:rPr>
          <w:rFonts w:hint="eastAsia" w:ascii="宋体" w:hAnsi="宋体" w:eastAsia="宋体" w:cs="宋体"/>
          <w:kern w:val="0"/>
          <w:sz w:val="28"/>
          <w:szCs w:val="28"/>
        </w:rPr>
        <w:t>万元减少</w:t>
      </w:r>
      <w:r>
        <w:rPr>
          <w:rFonts w:ascii="Times New Roman" w:hAnsi="Times New Roman" w:eastAsia="方正仿宋_GBK" w:cs="Times New Roman"/>
          <w:kern w:val="0"/>
          <w:sz w:val="28"/>
          <w:szCs w:val="28"/>
        </w:rPr>
        <w:t>83.35</w:t>
      </w:r>
      <w:r>
        <w:rPr>
          <w:rFonts w:hint="eastAsia" w:ascii="宋体" w:hAnsi="宋体" w:eastAsia="宋体" w:cs="宋体"/>
          <w:kern w:val="0"/>
          <w:sz w:val="28"/>
          <w:szCs w:val="28"/>
        </w:rPr>
        <w:t>万元，（其中：基本支出增加</w:t>
      </w:r>
      <w:r>
        <w:rPr>
          <w:rFonts w:ascii="Times New Roman" w:hAnsi="Times New Roman" w:eastAsia="方正仿宋_GBK" w:cs="Times New Roman"/>
          <w:kern w:val="0"/>
          <w:sz w:val="28"/>
          <w:szCs w:val="28"/>
        </w:rPr>
        <w:t>40.65</w:t>
      </w:r>
      <w:r>
        <w:rPr>
          <w:rFonts w:hint="eastAsia" w:ascii="宋体" w:hAnsi="宋体" w:eastAsia="宋体" w:cs="宋体"/>
          <w:kern w:val="0"/>
          <w:sz w:val="28"/>
          <w:szCs w:val="28"/>
        </w:rPr>
        <w:t>万元，主要是人员变动和工资调整，相应增加人员经费和日常公用经费，退休人员改由社保支出减少</w:t>
      </w:r>
      <w:r>
        <w:rPr>
          <w:rFonts w:ascii="Times New Roman" w:hAnsi="Times New Roman" w:eastAsia="方正仿宋_GBK" w:cs="Times New Roman"/>
          <w:kern w:val="0"/>
          <w:sz w:val="28"/>
          <w:szCs w:val="28"/>
        </w:rPr>
        <w:t>141</w:t>
      </w:r>
      <w:r>
        <w:rPr>
          <w:rFonts w:hint="eastAsia" w:ascii="宋体" w:hAnsi="宋体" w:eastAsia="宋体" w:cs="宋体"/>
          <w:kern w:val="0"/>
          <w:sz w:val="28"/>
          <w:szCs w:val="28"/>
        </w:rPr>
        <w:t>万元；项目支出增加</w:t>
      </w:r>
      <w:r>
        <w:rPr>
          <w:rFonts w:ascii="Times New Roman" w:hAnsi="Times New Roman" w:eastAsia="方正仿宋_GBK" w:cs="Times New Roman"/>
          <w:kern w:val="0"/>
          <w:sz w:val="28"/>
          <w:szCs w:val="28"/>
        </w:rPr>
        <w:t>17</w:t>
      </w:r>
      <w:r>
        <w:rPr>
          <w:rFonts w:hint="eastAsia" w:ascii="宋体" w:hAnsi="宋体" w:eastAsia="宋体" w:cs="宋体"/>
          <w:kern w:val="0"/>
          <w:sz w:val="28"/>
          <w:szCs w:val="28"/>
        </w:rPr>
        <w:t>万元，主要是因为十四届二次会议落实疫情防控要求实行闭环管理，会议费用增加。</w:t>
      </w:r>
      <w:r>
        <w:rPr>
          <w:rFonts w:ascii="宋体" w:hAnsi="宋体" w:eastAsia="宋体" w:cs="宋体"/>
          <w:kern w:val="0"/>
          <w:sz w:val="28"/>
          <w:szCs w:val="28"/>
        </w:rPr>
        <w:t>）</w:t>
      </w:r>
    </w:p>
    <w:p>
      <w:pPr>
        <w:widowControl/>
        <w:spacing w:before="10" w:after="10"/>
        <w:ind w:firstLine="640"/>
        <w:jc w:val="left"/>
        <w:outlineLvl w:val="5"/>
        <w:rPr>
          <w:rFonts w:hint="eastAsia" w:ascii="黑体" w:hAnsi="黑体" w:eastAsia="黑体" w:cs="Times New Roman"/>
          <w:color w:val="000000"/>
          <w:kern w:val="0"/>
          <w:sz w:val="32"/>
          <w:szCs w:val="32"/>
        </w:rPr>
      </w:pPr>
      <w:r>
        <w:rPr>
          <w:rFonts w:hint="eastAsia" w:ascii="黑体" w:hAnsi="黑体" w:eastAsia="黑体" w:cs="Times New Roman"/>
          <w:color w:val="000000"/>
          <w:kern w:val="0"/>
          <w:sz w:val="32"/>
          <w:szCs w:val="32"/>
        </w:rPr>
        <w:t>三、机关运行经费安排情况</w:t>
      </w:r>
    </w:p>
    <w:p>
      <w:pPr>
        <w:widowControl/>
        <w:spacing w:line="500" w:lineRule="exact"/>
        <w:ind w:firstLine="560"/>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2022</w:t>
      </w:r>
      <w:r>
        <w:rPr>
          <w:rFonts w:hint="eastAsia" w:ascii="宋体" w:hAnsi="宋体" w:eastAsia="宋体" w:cs="宋体"/>
          <w:kern w:val="0"/>
          <w:sz w:val="28"/>
          <w:szCs w:val="28"/>
        </w:rPr>
        <w:t>年，我</w:t>
      </w:r>
      <w:r>
        <w:rPr>
          <w:rFonts w:hint="eastAsia" w:ascii="宋体" w:hAnsi="宋体" w:eastAsia="宋体" w:cs="宋体"/>
          <w:kern w:val="0"/>
          <w:sz w:val="28"/>
          <w:szCs w:val="28"/>
          <w:lang w:val="en-US" w:eastAsia="zh-CN"/>
        </w:rPr>
        <w:t>单位</w:t>
      </w:r>
      <w:r>
        <w:rPr>
          <w:rFonts w:hint="eastAsia" w:ascii="宋体" w:hAnsi="宋体" w:eastAsia="宋体" w:cs="宋体"/>
          <w:kern w:val="0"/>
          <w:sz w:val="28"/>
          <w:szCs w:val="28"/>
        </w:rPr>
        <w:t>机关运行经费共计安排</w:t>
      </w:r>
      <w:r>
        <w:rPr>
          <w:rFonts w:ascii="Times New Roman" w:hAnsi="Times New Roman" w:eastAsia="方正仿宋_GBK" w:cs="Times New Roman"/>
          <w:kern w:val="0"/>
          <w:sz w:val="28"/>
          <w:szCs w:val="28"/>
        </w:rPr>
        <w:t>92</w:t>
      </w:r>
      <w:r>
        <w:rPr>
          <w:rFonts w:hint="eastAsia" w:ascii="宋体" w:hAnsi="宋体" w:eastAsia="宋体" w:cs="宋体"/>
          <w:kern w:val="0"/>
          <w:sz w:val="28"/>
          <w:szCs w:val="28"/>
        </w:rPr>
        <w:t>万元，主要用于保证机关正常运转的办公及印刷费、邮电费、差旅费、福利费、办公用房水电费、办公用房取暖费、日常维修费、公务车运行维护费等支出</w:t>
      </w:r>
      <w:r>
        <w:rPr>
          <w:rFonts w:ascii="宋体" w:hAnsi="宋体" w:eastAsia="宋体" w:cs="宋体"/>
          <w:kern w:val="0"/>
          <w:sz w:val="28"/>
          <w:szCs w:val="28"/>
        </w:rPr>
        <w:t>。</w:t>
      </w:r>
    </w:p>
    <w:p>
      <w:pPr>
        <w:widowControl/>
        <w:spacing w:before="10" w:after="10"/>
        <w:ind w:firstLine="640"/>
        <w:jc w:val="left"/>
        <w:outlineLvl w:val="5"/>
        <w:rPr>
          <w:rFonts w:hint="eastAsia" w:ascii="黑体" w:hAnsi="黑体" w:eastAsia="黑体" w:cs="Times New Roman"/>
          <w:color w:val="000000"/>
          <w:kern w:val="0"/>
          <w:sz w:val="32"/>
          <w:szCs w:val="32"/>
        </w:rPr>
      </w:pPr>
      <w:r>
        <w:rPr>
          <w:rFonts w:hint="eastAsia" w:ascii="黑体" w:hAnsi="黑体" w:eastAsia="黑体" w:cs="Times New Roman"/>
          <w:color w:val="000000"/>
          <w:kern w:val="0"/>
          <w:sz w:val="32"/>
          <w:szCs w:val="32"/>
        </w:rPr>
        <w:t>四、财政拨款“三公”经费预算情况及增减变化原因</w:t>
      </w:r>
    </w:p>
    <w:p>
      <w:pPr>
        <w:widowControl/>
        <w:spacing w:line="500" w:lineRule="exact"/>
        <w:ind w:firstLine="560"/>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2022</w:t>
      </w:r>
      <w:r>
        <w:rPr>
          <w:rFonts w:hint="eastAsia" w:ascii="宋体" w:hAnsi="宋体" w:eastAsia="宋体" w:cs="宋体"/>
          <w:kern w:val="0"/>
          <w:sz w:val="28"/>
          <w:szCs w:val="28"/>
        </w:rPr>
        <w:t>年，我</w:t>
      </w:r>
      <w:r>
        <w:rPr>
          <w:rFonts w:hint="eastAsia" w:ascii="宋体" w:hAnsi="宋体" w:eastAsia="宋体" w:cs="宋体"/>
          <w:kern w:val="0"/>
          <w:sz w:val="28"/>
          <w:szCs w:val="28"/>
          <w:lang w:val="en-US" w:eastAsia="zh-CN"/>
        </w:rPr>
        <w:t>单位</w:t>
      </w:r>
      <w:r>
        <w:rPr>
          <w:rFonts w:hint="eastAsia" w:ascii="宋体" w:hAnsi="宋体" w:eastAsia="宋体" w:cs="宋体"/>
          <w:kern w:val="0"/>
          <w:sz w:val="28"/>
          <w:szCs w:val="28"/>
        </w:rPr>
        <w:t>财政拨款</w:t>
      </w:r>
      <w:r>
        <w:rPr>
          <w:rFonts w:ascii="Times New Roman" w:hAnsi="Times New Roman" w:eastAsia="方正仿宋_GBK" w:cs="Times New Roman"/>
          <w:kern w:val="0"/>
          <w:sz w:val="28"/>
          <w:szCs w:val="28"/>
        </w:rPr>
        <w:t>“</w:t>
      </w:r>
      <w:r>
        <w:rPr>
          <w:rFonts w:hint="eastAsia" w:ascii="宋体" w:hAnsi="宋体" w:eastAsia="宋体" w:cs="宋体"/>
          <w:kern w:val="0"/>
          <w:sz w:val="28"/>
          <w:szCs w:val="28"/>
        </w:rPr>
        <w:t>三公</w:t>
      </w:r>
      <w:r>
        <w:rPr>
          <w:rFonts w:ascii="Times New Roman" w:hAnsi="Times New Roman" w:eastAsia="方正仿宋_GBK" w:cs="Times New Roman"/>
          <w:kern w:val="0"/>
          <w:sz w:val="28"/>
          <w:szCs w:val="28"/>
        </w:rPr>
        <w:t>”</w:t>
      </w:r>
      <w:r>
        <w:rPr>
          <w:rFonts w:hint="eastAsia" w:ascii="宋体" w:hAnsi="宋体" w:eastAsia="宋体" w:cs="宋体"/>
          <w:kern w:val="0"/>
          <w:sz w:val="28"/>
          <w:szCs w:val="28"/>
        </w:rPr>
        <w:t>经费预算安排</w:t>
      </w:r>
      <w:r>
        <w:rPr>
          <w:rFonts w:ascii="Times New Roman" w:hAnsi="Times New Roman" w:eastAsia="方正仿宋_GBK" w:cs="Times New Roman"/>
          <w:kern w:val="0"/>
          <w:sz w:val="28"/>
          <w:szCs w:val="28"/>
        </w:rPr>
        <w:t>16</w:t>
      </w:r>
      <w:r>
        <w:rPr>
          <w:rFonts w:hint="eastAsia" w:ascii="宋体" w:hAnsi="宋体" w:eastAsia="宋体" w:cs="宋体"/>
          <w:kern w:val="0"/>
          <w:sz w:val="28"/>
          <w:szCs w:val="28"/>
        </w:rPr>
        <w:t>万元，相比无增减，其中：因公出国（境）费</w:t>
      </w:r>
      <w:r>
        <w:rPr>
          <w:rFonts w:ascii="Times New Roman" w:hAnsi="Times New Roman" w:eastAsia="方正仿宋_GBK" w:cs="Times New Roman"/>
          <w:kern w:val="0"/>
          <w:sz w:val="28"/>
          <w:szCs w:val="28"/>
        </w:rPr>
        <w:t>0</w:t>
      </w:r>
      <w:r>
        <w:rPr>
          <w:rFonts w:hint="eastAsia" w:ascii="宋体" w:hAnsi="宋体" w:eastAsia="宋体" w:cs="宋体"/>
          <w:kern w:val="0"/>
          <w:sz w:val="28"/>
          <w:szCs w:val="28"/>
        </w:rPr>
        <w:t>万元；公务用车购置及运维费</w:t>
      </w:r>
      <w:r>
        <w:rPr>
          <w:rFonts w:ascii="Times New Roman" w:hAnsi="Times New Roman" w:eastAsia="方正仿宋_GBK" w:cs="Times New Roman"/>
          <w:kern w:val="0"/>
          <w:sz w:val="28"/>
          <w:szCs w:val="28"/>
        </w:rPr>
        <w:t>16</w:t>
      </w:r>
      <w:r>
        <w:rPr>
          <w:rFonts w:hint="eastAsia" w:ascii="宋体" w:hAnsi="宋体" w:eastAsia="宋体" w:cs="宋体"/>
          <w:kern w:val="0"/>
          <w:sz w:val="28"/>
          <w:szCs w:val="28"/>
        </w:rPr>
        <w:t>万元（其中：公务用车购置费</w:t>
      </w:r>
      <w:r>
        <w:rPr>
          <w:rFonts w:ascii="Times New Roman" w:hAnsi="Times New Roman" w:eastAsia="方正仿宋_GBK" w:cs="Times New Roman"/>
          <w:kern w:val="0"/>
          <w:sz w:val="28"/>
          <w:szCs w:val="28"/>
        </w:rPr>
        <w:t>0</w:t>
      </w:r>
      <w:r>
        <w:rPr>
          <w:rFonts w:hint="eastAsia" w:ascii="宋体" w:hAnsi="宋体" w:eastAsia="宋体" w:cs="宋体"/>
          <w:kern w:val="0"/>
          <w:sz w:val="28"/>
          <w:szCs w:val="28"/>
        </w:rPr>
        <w:t>万元，公务用车运行维护费</w:t>
      </w:r>
      <w:r>
        <w:rPr>
          <w:rFonts w:ascii="Times New Roman" w:hAnsi="Times New Roman" w:eastAsia="方正仿宋_GBK" w:cs="Times New Roman"/>
          <w:kern w:val="0"/>
          <w:sz w:val="28"/>
          <w:szCs w:val="28"/>
        </w:rPr>
        <w:t>16</w:t>
      </w:r>
      <w:r>
        <w:rPr>
          <w:rFonts w:hint="eastAsia" w:ascii="宋体" w:hAnsi="宋体" w:eastAsia="宋体" w:cs="宋体"/>
          <w:kern w:val="0"/>
          <w:sz w:val="28"/>
          <w:szCs w:val="28"/>
        </w:rPr>
        <w:t>万元</w:t>
      </w:r>
      <w:r>
        <w:rPr>
          <w:rFonts w:ascii="Times New Roman" w:hAnsi="Times New Roman" w:eastAsia="方正仿宋_GBK" w:cs="Times New Roman"/>
          <w:kern w:val="0"/>
          <w:sz w:val="28"/>
          <w:szCs w:val="28"/>
        </w:rPr>
        <w:t>)</w:t>
      </w:r>
      <w:r>
        <w:rPr>
          <w:rFonts w:hint="eastAsia" w:ascii="宋体" w:hAnsi="宋体" w:eastAsia="宋体" w:cs="宋体"/>
          <w:kern w:val="0"/>
          <w:sz w:val="28"/>
          <w:szCs w:val="28"/>
        </w:rPr>
        <w:t>；公务接待费</w:t>
      </w:r>
      <w:r>
        <w:rPr>
          <w:rFonts w:ascii="Times New Roman" w:hAnsi="Times New Roman" w:eastAsia="方正仿宋_GBK" w:cs="Times New Roman"/>
          <w:kern w:val="0"/>
          <w:sz w:val="28"/>
          <w:szCs w:val="28"/>
        </w:rPr>
        <w:t>0</w:t>
      </w:r>
      <w:r>
        <w:rPr>
          <w:rFonts w:hint="eastAsia" w:ascii="宋体" w:hAnsi="宋体" w:eastAsia="宋体" w:cs="宋体"/>
          <w:kern w:val="0"/>
          <w:sz w:val="28"/>
          <w:szCs w:val="28"/>
        </w:rPr>
        <w:t>万元，与</w:t>
      </w:r>
      <w:r>
        <w:rPr>
          <w:rFonts w:ascii="Times New Roman" w:hAnsi="Times New Roman" w:eastAsia="方正仿宋_GBK" w:cs="Times New Roman"/>
          <w:kern w:val="0"/>
          <w:sz w:val="28"/>
          <w:szCs w:val="28"/>
        </w:rPr>
        <w:t>2021</w:t>
      </w:r>
      <w:r>
        <w:rPr>
          <w:rFonts w:hint="eastAsia" w:ascii="宋体" w:hAnsi="宋体" w:eastAsia="宋体" w:cs="宋体"/>
          <w:kern w:val="0"/>
          <w:sz w:val="28"/>
          <w:szCs w:val="28"/>
        </w:rPr>
        <w:t>年相比持平无增减变化</w:t>
      </w:r>
      <w:r>
        <w:rPr>
          <w:rFonts w:ascii="宋体" w:hAnsi="宋体" w:eastAsia="宋体" w:cs="宋体"/>
          <w:kern w:val="0"/>
          <w:sz w:val="28"/>
          <w:szCs w:val="28"/>
        </w:rPr>
        <w:t>。</w:t>
      </w:r>
    </w:p>
    <w:p>
      <w:pPr>
        <w:widowControl/>
        <w:spacing w:before="10" w:after="10"/>
        <w:ind w:firstLine="640"/>
        <w:jc w:val="left"/>
        <w:outlineLvl w:val="5"/>
        <w:rPr>
          <w:rFonts w:hint="eastAsia" w:ascii="黑体" w:hAnsi="黑体" w:eastAsia="黑体" w:cs="Times New Roman"/>
          <w:color w:val="000000"/>
          <w:kern w:val="0"/>
          <w:sz w:val="32"/>
          <w:szCs w:val="32"/>
        </w:rPr>
      </w:pPr>
      <w:r>
        <w:rPr>
          <w:rFonts w:hint="eastAsia" w:ascii="黑体" w:hAnsi="黑体" w:eastAsia="黑体" w:cs="Times New Roman"/>
          <w:color w:val="000000"/>
          <w:kern w:val="0"/>
          <w:sz w:val="32"/>
          <w:szCs w:val="32"/>
        </w:rPr>
        <w:t>五、预算绩效信息</w:t>
      </w:r>
    </w:p>
    <w:p>
      <w:pPr>
        <w:numPr>
          <w:ilvl w:val="0"/>
          <w:numId w:val="0"/>
        </w:numPr>
        <w:rPr>
          <w:rFonts w:hint="eastAsia"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rPr>
        <w:t>第一部分</w:t>
      </w:r>
      <w:r>
        <w:rPr>
          <w:rFonts w:hint="eastAsia" w:ascii="方正楷体_GBK" w:hAnsi="方正楷体_GBK" w:eastAsia="方正楷体_GBK" w:cs="方正楷体_GBK"/>
          <w:b/>
          <w:color w:val="000000"/>
          <w:sz w:val="32"/>
          <w:lang w:val="en-US" w:eastAsia="zh-CN"/>
        </w:rPr>
        <w:t xml:space="preserve"> </w:t>
      </w:r>
      <w:r>
        <w:rPr>
          <w:rFonts w:hint="eastAsia" w:ascii="方正楷体_GBK" w:hAnsi="方正楷体_GBK" w:eastAsia="方正楷体_GBK" w:cs="方正楷体_GBK"/>
          <w:b/>
          <w:color w:val="000000"/>
          <w:sz w:val="32"/>
        </w:rPr>
        <w:t>部门整体绩效目标</w:t>
      </w:r>
    </w:p>
    <w:p>
      <w:pPr>
        <w:widowControl/>
        <w:spacing w:line="500" w:lineRule="exact"/>
        <w:ind w:firstLine="560"/>
        <w:jc w:val="left"/>
        <w:rPr>
          <w:rFonts w:ascii="Times New Roman" w:hAnsi="Times New Roman" w:eastAsia="方正仿宋_GBK" w:cs="Times New Roman"/>
          <w:kern w:val="0"/>
          <w:sz w:val="28"/>
          <w:szCs w:val="28"/>
        </w:rPr>
      </w:pPr>
      <w:r>
        <w:rPr>
          <w:rFonts w:hint="eastAsia" w:ascii="宋体" w:hAnsi="宋体" w:eastAsia="宋体" w:cs="宋体"/>
          <w:kern w:val="0"/>
          <w:sz w:val="28"/>
          <w:szCs w:val="28"/>
        </w:rPr>
        <w:t>（一）总体绩效目</w:t>
      </w:r>
      <w:r>
        <w:rPr>
          <w:rFonts w:ascii="宋体" w:hAnsi="宋体" w:eastAsia="宋体" w:cs="宋体"/>
          <w:kern w:val="0"/>
          <w:sz w:val="28"/>
          <w:szCs w:val="28"/>
        </w:rPr>
        <w:t>标</w:t>
      </w:r>
    </w:p>
    <w:p>
      <w:pPr>
        <w:widowControl/>
        <w:spacing w:line="500" w:lineRule="exact"/>
        <w:ind w:firstLine="560"/>
        <w:jc w:val="left"/>
        <w:rPr>
          <w:rFonts w:ascii="Times New Roman" w:hAnsi="Times New Roman" w:eastAsia="方正仿宋_GBK" w:cs="Times New Roman"/>
          <w:kern w:val="0"/>
          <w:sz w:val="28"/>
          <w:szCs w:val="28"/>
        </w:rPr>
      </w:pPr>
      <w:r>
        <w:rPr>
          <w:rFonts w:hint="eastAsia" w:ascii="宋体" w:hAnsi="宋体" w:eastAsia="宋体" w:cs="宋体"/>
          <w:kern w:val="0"/>
          <w:sz w:val="28"/>
          <w:szCs w:val="28"/>
        </w:rPr>
        <w:t>就县大政方针以及政治、经济、文化、社会等重要问题在决策之前进行协商和就决策执行过程中的重要问题进行协商。有效履行民主监督职责。通过意见、建议、批评的方式对国家法律法规的实施、重大方针政策的贯彻执行、县委、县政府的工作进行政治监督。通过对县重大问题以及人民群众普遍关心的问题，开展调查研究，反映社情民意，以调研、提案等形式，向</w:t>
      </w:r>
      <w:r>
        <w:rPr>
          <w:rFonts w:hint="eastAsia" w:ascii="宋体" w:hAnsi="宋体" w:eastAsia="宋体" w:cs="宋体"/>
          <w:kern w:val="0"/>
          <w:sz w:val="28"/>
          <w:szCs w:val="28"/>
          <w:lang w:eastAsia="zh-CN"/>
        </w:rPr>
        <w:t>县委、县政府</w:t>
      </w:r>
      <w:r>
        <w:rPr>
          <w:rFonts w:hint="eastAsia" w:ascii="宋体" w:hAnsi="宋体" w:eastAsia="宋体" w:cs="宋体"/>
          <w:kern w:val="0"/>
          <w:sz w:val="28"/>
          <w:szCs w:val="28"/>
        </w:rPr>
        <w:t>提出意见和建议</w:t>
      </w:r>
      <w:r>
        <w:rPr>
          <w:rFonts w:ascii="宋体" w:hAnsi="宋体" w:eastAsia="宋体" w:cs="宋体"/>
          <w:kern w:val="0"/>
          <w:sz w:val="28"/>
          <w:szCs w:val="28"/>
        </w:rPr>
        <w:t>。</w:t>
      </w:r>
    </w:p>
    <w:p>
      <w:pPr>
        <w:widowControl/>
        <w:spacing w:line="500" w:lineRule="exact"/>
        <w:ind w:firstLine="560"/>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2022</w:t>
      </w:r>
      <w:r>
        <w:rPr>
          <w:rFonts w:hint="eastAsia" w:ascii="宋体" w:hAnsi="宋体" w:eastAsia="宋体" w:cs="宋体"/>
          <w:kern w:val="0"/>
          <w:sz w:val="28"/>
          <w:szCs w:val="28"/>
        </w:rPr>
        <w:t>年，县政协及其常委会工作将以习近平新时代中国特色社会主义思想为指导，深入学习贯彻党的十九大和十九届二中、三中、四中、五中、六中全会精神和县委十二届二次</w:t>
      </w:r>
      <w:r>
        <w:rPr>
          <w:rFonts w:ascii="方正仿宋_GBK" w:hAnsi="方正仿宋_GBK" w:eastAsia="方正仿宋_GBK" w:cs="Times New Roman"/>
          <w:kern w:val="0"/>
          <w:sz w:val="28"/>
          <w:szCs w:val="28"/>
        </w:rPr>
        <w:t xml:space="preserve"> </w:t>
      </w:r>
      <w:r>
        <w:rPr>
          <w:rFonts w:hint="eastAsia" w:ascii="宋体" w:hAnsi="宋体" w:eastAsia="宋体" w:cs="宋体"/>
          <w:kern w:val="0"/>
          <w:sz w:val="28"/>
          <w:szCs w:val="28"/>
        </w:rPr>
        <w:t>全会精神，全面贯彻落实中央和省市县委政协工作会议精神，聚焦无极高质量发展，围绕民生改善实事和社会治理难事，着力加强思想政治引领，着力增强协商议政实效，着力强化民主监督职能，着力凝聚广泛共识，充分发挥政协专门协商机构作用，为建设</w:t>
      </w:r>
      <w:r>
        <w:rPr>
          <w:rFonts w:ascii="Times New Roman" w:hAnsi="Times New Roman" w:eastAsia="方正仿宋_GBK" w:cs="Times New Roman"/>
          <w:kern w:val="0"/>
          <w:sz w:val="28"/>
          <w:szCs w:val="28"/>
        </w:rPr>
        <w:t>“</w:t>
      </w:r>
      <w:r>
        <w:rPr>
          <w:rFonts w:hint="eastAsia" w:ascii="宋体" w:hAnsi="宋体" w:eastAsia="宋体" w:cs="宋体"/>
          <w:kern w:val="0"/>
          <w:sz w:val="28"/>
          <w:szCs w:val="28"/>
        </w:rPr>
        <w:t>实业强县、幸福无极</w:t>
      </w:r>
      <w:r>
        <w:rPr>
          <w:rFonts w:ascii="Times New Roman" w:hAnsi="Times New Roman" w:eastAsia="方正仿宋_GBK" w:cs="Times New Roman"/>
          <w:kern w:val="0"/>
          <w:sz w:val="28"/>
          <w:szCs w:val="28"/>
        </w:rPr>
        <w:t>”</w:t>
      </w:r>
      <w:r>
        <w:rPr>
          <w:rFonts w:hint="eastAsia" w:ascii="宋体" w:hAnsi="宋体" w:eastAsia="宋体" w:cs="宋体"/>
          <w:kern w:val="0"/>
          <w:sz w:val="28"/>
          <w:szCs w:val="28"/>
        </w:rPr>
        <w:t>作出新的更大贡献。一、深学新思想，在强化政治引领上取得新成效。二、聚焦新部署，在助推无极高质量发展上作出新贡献。三、关注新热点，在增进民生福祉上展现新担当。四、把握新要求，在凝聚共识、汇聚力量上谱写新篇章。五、适应新时代，在加强自身建设上再上新台阶</w:t>
      </w:r>
      <w:r>
        <w:rPr>
          <w:rFonts w:ascii="宋体" w:hAnsi="宋体" w:eastAsia="宋体" w:cs="宋体"/>
          <w:kern w:val="0"/>
          <w:sz w:val="28"/>
          <w:szCs w:val="28"/>
        </w:rPr>
        <w:t>。</w:t>
      </w:r>
      <w:r>
        <w:rPr>
          <w:rFonts w:ascii="Times New Roman" w:hAnsi="Times New Roman" w:eastAsia="方正仿宋_GBK" w:cs="Times New Roman"/>
          <w:kern w:val="0"/>
          <w:sz w:val="28"/>
          <w:szCs w:val="28"/>
        </w:rPr>
        <w:t xml:space="preserve"> </w:t>
      </w:r>
    </w:p>
    <w:p>
      <w:pPr>
        <w:widowControl/>
        <w:spacing w:line="500" w:lineRule="exact"/>
        <w:ind w:firstLine="560"/>
        <w:jc w:val="left"/>
        <w:rPr>
          <w:rFonts w:ascii="Times New Roman" w:hAnsi="Times New Roman" w:eastAsia="方正仿宋_GBK" w:cs="Times New Roman"/>
          <w:kern w:val="0"/>
          <w:sz w:val="28"/>
          <w:szCs w:val="28"/>
        </w:rPr>
      </w:pPr>
      <w:r>
        <w:rPr>
          <w:rFonts w:hint="eastAsia" w:ascii="宋体" w:hAnsi="宋体" w:eastAsia="宋体" w:cs="宋体"/>
          <w:kern w:val="0"/>
          <w:sz w:val="28"/>
          <w:szCs w:val="28"/>
        </w:rPr>
        <w:t>（二）分项绩效目</w:t>
      </w:r>
      <w:r>
        <w:rPr>
          <w:rFonts w:ascii="宋体" w:hAnsi="宋体" w:eastAsia="宋体" w:cs="宋体"/>
          <w:kern w:val="0"/>
          <w:sz w:val="28"/>
          <w:szCs w:val="28"/>
        </w:rPr>
        <w:t>标</w:t>
      </w:r>
    </w:p>
    <w:p>
      <w:pPr>
        <w:widowControl/>
        <w:spacing w:line="500" w:lineRule="exact"/>
        <w:ind w:firstLine="560"/>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1</w:t>
      </w:r>
      <w:r>
        <w:rPr>
          <w:rFonts w:hint="eastAsia" w:ascii="宋体" w:hAnsi="宋体" w:eastAsia="宋体" w:cs="宋体"/>
          <w:kern w:val="0"/>
          <w:sz w:val="28"/>
          <w:szCs w:val="28"/>
        </w:rPr>
        <w:t>、规范会议程序，提高会议质量</w:t>
      </w:r>
      <w:r>
        <w:rPr>
          <w:rFonts w:ascii="宋体" w:hAnsi="宋体" w:eastAsia="宋体" w:cs="宋体"/>
          <w:kern w:val="0"/>
          <w:sz w:val="28"/>
          <w:szCs w:val="28"/>
        </w:rPr>
        <w:t>。</w:t>
      </w:r>
    </w:p>
    <w:p>
      <w:pPr>
        <w:widowControl/>
        <w:spacing w:line="500" w:lineRule="exact"/>
        <w:ind w:firstLine="560"/>
        <w:jc w:val="left"/>
        <w:rPr>
          <w:rFonts w:ascii="Times New Roman" w:hAnsi="Times New Roman" w:eastAsia="方正仿宋_GBK" w:cs="Times New Roman"/>
          <w:kern w:val="0"/>
          <w:sz w:val="28"/>
          <w:szCs w:val="28"/>
        </w:rPr>
      </w:pPr>
      <w:r>
        <w:rPr>
          <w:rFonts w:hint="eastAsia" w:ascii="宋体" w:hAnsi="宋体" w:eastAsia="宋体" w:cs="宋体"/>
          <w:kern w:val="0"/>
          <w:sz w:val="28"/>
          <w:szCs w:val="28"/>
        </w:rPr>
        <w:t>绩效目标：落实疫情防控各项要求，保障会议顺利召开；保障委员履行职责</w:t>
      </w:r>
      <w:r>
        <w:rPr>
          <w:rFonts w:ascii="宋体" w:hAnsi="宋体" w:eastAsia="宋体" w:cs="宋体"/>
          <w:kern w:val="0"/>
          <w:sz w:val="28"/>
          <w:szCs w:val="28"/>
        </w:rPr>
        <w:t>。</w:t>
      </w:r>
    </w:p>
    <w:p>
      <w:pPr>
        <w:widowControl/>
        <w:spacing w:line="500" w:lineRule="exact"/>
        <w:ind w:firstLine="560"/>
        <w:jc w:val="left"/>
        <w:rPr>
          <w:rFonts w:ascii="Times New Roman" w:hAnsi="Times New Roman" w:eastAsia="方正仿宋_GBK" w:cs="Times New Roman"/>
          <w:kern w:val="0"/>
          <w:sz w:val="28"/>
          <w:szCs w:val="28"/>
        </w:rPr>
      </w:pPr>
      <w:r>
        <w:rPr>
          <w:rFonts w:hint="eastAsia" w:ascii="宋体" w:hAnsi="宋体" w:eastAsia="宋体" w:cs="宋体"/>
          <w:kern w:val="0"/>
          <w:sz w:val="28"/>
          <w:szCs w:val="28"/>
        </w:rPr>
        <w:t>绩效指标：会场安排、食宿安排完成率；收集整理委员提出的议案、建议和意见完成率</w:t>
      </w:r>
      <w:r>
        <w:rPr>
          <w:rFonts w:ascii="Times New Roman" w:hAnsi="Times New Roman" w:eastAsia="方正仿宋_GBK" w:cs="Times New Roman"/>
          <w:kern w:val="0"/>
          <w:sz w:val="28"/>
          <w:szCs w:val="28"/>
        </w:rPr>
        <w:t>95%</w:t>
      </w:r>
      <w:r>
        <w:rPr>
          <w:rFonts w:hint="eastAsia" w:ascii="宋体" w:hAnsi="宋体" w:eastAsia="宋体" w:cs="宋体"/>
          <w:kern w:val="0"/>
          <w:sz w:val="28"/>
          <w:szCs w:val="28"/>
        </w:rPr>
        <w:t>以上</w:t>
      </w:r>
      <w:r>
        <w:rPr>
          <w:rFonts w:ascii="宋体" w:hAnsi="宋体" w:eastAsia="宋体" w:cs="宋体"/>
          <w:kern w:val="0"/>
          <w:sz w:val="28"/>
          <w:szCs w:val="28"/>
        </w:rPr>
        <w:t>。</w:t>
      </w:r>
    </w:p>
    <w:p>
      <w:pPr>
        <w:widowControl/>
        <w:spacing w:line="500" w:lineRule="exact"/>
        <w:ind w:firstLine="560"/>
        <w:jc w:val="left"/>
        <w:rPr>
          <w:rFonts w:ascii="Times New Roman" w:hAnsi="Times New Roman" w:eastAsia="方正仿宋_GBK" w:cs="Times New Roman"/>
          <w:kern w:val="0"/>
          <w:sz w:val="28"/>
          <w:szCs w:val="28"/>
        </w:rPr>
      </w:pPr>
      <w:r>
        <w:rPr>
          <w:rFonts w:hint="eastAsia" w:ascii="宋体" w:hAnsi="宋体" w:eastAsia="宋体" w:cs="宋体"/>
          <w:kern w:val="0"/>
          <w:sz w:val="28"/>
          <w:szCs w:val="28"/>
        </w:rPr>
        <w:t>（三）工作保障措</w:t>
      </w:r>
      <w:r>
        <w:rPr>
          <w:rFonts w:ascii="宋体" w:hAnsi="宋体" w:eastAsia="宋体" w:cs="宋体"/>
          <w:kern w:val="0"/>
          <w:sz w:val="28"/>
          <w:szCs w:val="28"/>
        </w:rPr>
        <w:t>施</w:t>
      </w:r>
    </w:p>
    <w:p>
      <w:pPr>
        <w:widowControl/>
        <w:spacing w:line="500" w:lineRule="exact"/>
        <w:ind w:firstLine="560"/>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1</w:t>
      </w:r>
      <w:r>
        <w:rPr>
          <w:rFonts w:hint="eastAsia" w:ascii="宋体" w:hAnsi="宋体" w:eastAsia="宋体" w:cs="宋体"/>
          <w:kern w:val="0"/>
          <w:sz w:val="28"/>
          <w:szCs w:val="28"/>
        </w:rPr>
        <w:t>、加强制度建设。建立健全机关预算绩效管理制度，为全年预算绩效目标的实现奠定制度基础</w:t>
      </w:r>
      <w:r>
        <w:rPr>
          <w:rFonts w:ascii="宋体" w:hAnsi="宋体" w:eastAsia="宋体" w:cs="宋体"/>
          <w:kern w:val="0"/>
          <w:sz w:val="28"/>
          <w:szCs w:val="28"/>
        </w:rPr>
        <w:t>。</w:t>
      </w:r>
    </w:p>
    <w:p>
      <w:pPr>
        <w:widowControl/>
        <w:spacing w:line="500" w:lineRule="exact"/>
        <w:ind w:firstLine="560"/>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2</w:t>
      </w:r>
      <w:r>
        <w:rPr>
          <w:rFonts w:hint="eastAsia" w:ascii="宋体" w:hAnsi="宋体" w:eastAsia="宋体" w:cs="宋体"/>
          <w:kern w:val="0"/>
          <w:sz w:val="28"/>
          <w:szCs w:val="28"/>
        </w:rPr>
        <w:t>、规范财务管理。进一步完善财务管理制度，通过科学编制预算、优化支出结构、加快政府采购、加快项目建设、及时拨付资金，确保经费支出进度达到规定标准</w:t>
      </w:r>
      <w:r>
        <w:rPr>
          <w:rFonts w:ascii="宋体" w:hAnsi="宋体" w:eastAsia="宋体" w:cs="宋体"/>
          <w:kern w:val="0"/>
          <w:sz w:val="28"/>
          <w:szCs w:val="28"/>
        </w:rPr>
        <w:t>。</w:t>
      </w:r>
    </w:p>
    <w:p>
      <w:pPr>
        <w:widowControl/>
        <w:spacing w:line="500" w:lineRule="exact"/>
        <w:ind w:firstLine="560"/>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3</w:t>
      </w:r>
      <w:r>
        <w:rPr>
          <w:rFonts w:hint="eastAsia" w:ascii="宋体" w:hAnsi="宋体" w:eastAsia="宋体" w:cs="宋体"/>
          <w:kern w:val="0"/>
          <w:sz w:val="28"/>
          <w:szCs w:val="28"/>
        </w:rPr>
        <w:t>、加强内部监督。加强内部监督制度建设，对绩效运行、重大支出事项、资产处置及其他重要经济业务事项决策和执行进行监督，定期开展财务内部审计，确保财政资金使用安全合规</w:t>
      </w:r>
      <w:r>
        <w:rPr>
          <w:rFonts w:ascii="宋体" w:hAnsi="宋体" w:eastAsia="宋体" w:cs="宋体"/>
          <w:kern w:val="0"/>
          <w:sz w:val="28"/>
          <w:szCs w:val="28"/>
        </w:rPr>
        <w:t>。</w:t>
      </w:r>
    </w:p>
    <w:p>
      <w:pPr>
        <w:widowControl/>
        <w:spacing w:line="500" w:lineRule="exact"/>
        <w:ind w:firstLine="560"/>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4</w:t>
      </w:r>
      <w:r>
        <w:rPr>
          <w:rFonts w:hint="eastAsia" w:ascii="宋体" w:hAnsi="宋体" w:eastAsia="宋体" w:cs="宋体"/>
          <w:kern w:val="0"/>
          <w:sz w:val="28"/>
          <w:szCs w:val="28"/>
        </w:rPr>
        <w:t>、加强绩效监控。积极开展绩效运行监控，发现问题及时采取措施，确保绩效目标如期保质实现</w:t>
      </w:r>
      <w:r>
        <w:rPr>
          <w:rFonts w:ascii="宋体" w:hAnsi="宋体" w:eastAsia="宋体" w:cs="宋体"/>
          <w:kern w:val="0"/>
          <w:sz w:val="28"/>
          <w:szCs w:val="28"/>
        </w:rPr>
        <w:t>。</w:t>
      </w:r>
    </w:p>
    <w:p>
      <w:pPr>
        <w:widowControl/>
        <w:spacing w:line="500" w:lineRule="exact"/>
        <w:ind w:firstLine="560"/>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5</w:t>
      </w:r>
      <w:r>
        <w:rPr>
          <w:rFonts w:hint="eastAsia" w:ascii="宋体" w:hAnsi="宋体" w:eastAsia="宋体" w:cs="宋体"/>
          <w:kern w:val="0"/>
          <w:sz w:val="28"/>
          <w:szCs w:val="28"/>
        </w:rPr>
        <w:t>、做好绩效自评。按要求开展部门预算绩效自评和重点项目评价工作，对评价中发现的问题及时整改</w:t>
      </w:r>
      <w:r>
        <w:rPr>
          <w:rFonts w:ascii="宋体" w:hAnsi="宋体" w:eastAsia="宋体" w:cs="宋体"/>
          <w:kern w:val="0"/>
          <w:sz w:val="28"/>
          <w:szCs w:val="28"/>
        </w:rPr>
        <w:t>。</w:t>
      </w:r>
    </w:p>
    <w:p>
      <w:pPr>
        <w:widowControl/>
        <w:spacing w:line="500" w:lineRule="exact"/>
        <w:ind w:firstLine="560"/>
        <w:jc w:val="left"/>
        <w:rPr>
          <w:rFonts w:ascii="Times New Roman" w:hAnsi="Times New Roman" w:eastAsia="方正仿宋_GBK" w:cs="Times New Roman"/>
          <w:kern w:val="0"/>
          <w:sz w:val="28"/>
          <w:szCs w:val="28"/>
        </w:rPr>
      </w:pPr>
      <w:r>
        <w:rPr>
          <w:rFonts w:ascii="Times New Roman" w:hAnsi="Times New Roman" w:eastAsia="方正仿宋_GBK" w:cs="Times New Roman"/>
          <w:kern w:val="0"/>
          <w:sz w:val="28"/>
          <w:szCs w:val="28"/>
        </w:rPr>
        <w:t>6</w:t>
      </w:r>
      <w:r>
        <w:rPr>
          <w:rFonts w:hint="eastAsia" w:ascii="宋体" w:hAnsi="宋体" w:eastAsia="宋体" w:cs="宋体"/>
          <w:kern w:val="0"/>
          <w:sz w:val="28"/>
          <w:szCs w:val="28"/>
        </w:rPr>
        <w:t>、加强宣传培训。加强人员培训，加大宣传力度，强化预算绩效管理意识，促进预算绩效管理水平提升</w:t>
      </w:r>
      <w:r>
        <w:rPr>
          <w:rFonts w:ascii="宋体" w:hAnsi="宋体" w:eastAsia="宋体" w:cs="宋体"/>
          <w:kern w:val="0"/>
          <w:sz w:val="28"/>
          <w:szCs w:val="28"/>
        </w:rPr>
        <w:t>。</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ind w:firstLine="56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numPr>
          <w:ilvl w:val="0"/>
          <w:numId w:val="0"/>
        </w:numPr>
        <w:ind w:firstLine="56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1、政协十四届二次全会绩效目标表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8"/>
              <w:rPr>
                <w:rFonts w:hint="default" w:eastAsia="宋体"/>
                <w:lang w:val="en-US" w:eastAsia="zh-CN"/>
              </w:rPr>
            </w:pPr>
            <w:r>
              <w:t>1.目标内容</w:t>
            </w:r>
            <w:r>
              <w:rPr>
                <w:rFonts w:hint="eastAsia"/>
                <w:lang w:eastAsia="zh-CN"/>
              </w:rPr>
              <w:t>：</w:t>
            </w:r>
            <w:r>
              <w:rPr>
                <w:rFonts w:hint="eastAsia"/>
                <w:lang w:val="en-US" w:eastAsia="zh-CN"/>
              </w:rPr>
              <w:t>保证会议的顺利召开</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6"/>
            </w:pPr>
            <w:r>
              <w:t>产出指标</w:t>
            </w:r>
          </w:p>
        </w:tc>
        <w:tc>
          <w:tcPr>
            <w:tcW w:w="2268" w:type="dxa"/>
            <w:vAlign w:val="center"/>
          </w:tcPr>
          <w:p>
            <w:pPr>
              <w:pStyle w:val="8"/>
            </w:pPr>
            <w:r>
              <w:t>数量指标</w:t>
            </w:r>
          </w:p>
        </w:tc>
        <w:tc>
          <w:tcPr>
            <w:tcW w:w="2835" w:type="dxa"/>
            <w:vAlign w:val="center"/>
          </w:tcPr>
          <w:p>
            <w:pPr>
              <w:pStyle w:val="8"/>
            </w:pPr>
            <w:r>
              <w:t>召开会议次数</w:t>
            </w:r>
          </w:p>
        </w:tc>
        <w:tc>
          <w:tcPr>
            <w:tcW w:w="2835" w:type="dxa"/>
            <w:vAlign w:val="center"/>
          </w:tcPr>
          <w:p>
            <w:pPr>
              <w:pStyle w:val="8"/>
            </w:pPr>
            <w:r>
              <w:t>召开会议次数</w:t>
            </w:r>
          </w:p>
        </w:tc>
        <w:tc>
          <w:tcPr>
            <w:tcW w:w="2551" w:type="dxa"/>
            <w:vAlign w:val="center"/>
          </w:tcPr>
          <w:p>
            <w:pPr>
              <w:pStyle w:val="8"/>
            </w:pPr>
            <w:r>
              <w:t>≥98就大方针政策以及政治、、经济、文化、和生态文明中的重要问题，在决策前进行协商和就决策执行过程中的重要问题进行协商。</w:t>
            </w:r>
          </w:p>
        </w:tc>
        <w:tc>
          <w:tcPr>
            <w:tcW w:w="2268" w:type="dxa"/>
            <w:vAlign w:val="center"/>
          </w:tcPr>
          <w:p>
            <w:pPr>
              <w:pStyle w:val="8"/>
            </w:pPr>
            <w:r>
              <w:t>上级文件精神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8"/>
            </w:pPr>
            <w:r>
              <w:t>质量指标</w:t>
            </w:r>
          </w:p>
        </w:tc>
        <w:tc>
          <w:tcPr>
            <w:tcW w:w="2835" w:type="dxa"/>
            <w:vAlign w:val="center"/>
          </w:tcPr>
          <w:p>
            <w:pPr>
              <w:pStyle w:val="8"/>
            </w:pPr>
            <w:r>
              <w:t>推进政党协商制度建设工作完成率</w:t>
            </w:r>
          </w:p>
        </w:tc>
        <w:tc>
          <w:tcPr>
            <w:tcW w:w="2835" w:type="dxa"/>
            <w:vAlign w:val="center"/>
          </w:tcPr>
          <w:p>
            <w:pPr>
              <w:pStyle w:val="8"/>
            </w:pPr>
            <w:r>
              <w:t>推进政党协商制度建设工作完成率</w:t>
            </w:r>
          </w:p>
        </w:tc>
        <w:tc>
          <w:tcPr>
            <w:tcW w:w="2551" w:type="dxa"/>
            <w:vAlign w:val="center"/>
          </w:tcPr>
          <w:p>
            <w:pPr>
              <w:pStyle w:val="8"/>
            </w:pPr>
            <w:r>
              <w:t>≥98围绕县委、县政府中心工作</w:t>
            </w:r>
          </w:p>
        </w:tc>
        <w:tc>
          <w:tcPr>
            <w:tcW w:w="2268" w:type="dxa"/>
            <w:vAlign w:val="center"/>
          </w:tcPr>
          <w:p>
            <w:pPr>
              <w:pStyle w:val="8"/>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8"/>
            </w:pPr>
            <w:r>
              <w:t>时效指标</w:t>
            </w:r>
          </w:p>
        </w:tc>
        <w:tc>
          <w:tcPr>
            <w:tcW w:w="2835" w:type="dxa"/>
            <w:vAlign w:val="center"/>
          </w:tcPr>
          <w:p>
            <w:pPr>
              <w:pStyle w:val="8"/>
            </w:pPr>
            <w:r>
              <w:t>工作任务完成及时率</w:t>
            </w:r>
          </w:p>
        </w:tc>
        <w:tc>
          <w:tcPr>
            <w:tcW w:w="2835" w:type="dxa"/>
            <w:vAlign w:val="center"/>
          </w:tcPr>
          <w:p>
            <w:pPr>
              <w:pStyle w:val="8"/>
            </w:pPr>
            <w:r>
              <w:t>工作任务完成及时率</w:t>
            </w:r>
          </w:p>
        </w:tc>
        <w:tc>
          <w:tcPr>
            <w:tcW w:w="2551" w:type="dxa"/>
            <w:vAlign w:val="center"/>
          </w:tcPr>
          <w:p>
            <w:pPr>
              <w:pStyle w:val="8"/>
            </w:pPr>
            <w:r>
              <w:t>≥98会议是人民政协履行职能的主要形式，是开展工作的主体，是委员履行自身职责的主要途径。</w:t>
            </w:r>
          </w:p>
        </w:tc>
        <w:tc>
          <w:tcPr>
            <w:tcW w:w="2268" w:type="dxa"/>
            <w:vAlign w:val="center"/>
          </w:tcPr>
          <w:p>
            <w:pPr>
              <w:pStyle w:val="8"/>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8"/>
            </w:pPr>
            <w:r>
              <w:t>成本指标</w:t>
            </w:r>
          </w:p>
        </w:tc>
        <w:tc>
          <w:tcPr>
            <w:tcW w:w="2835" w:type="dxa"/>
            <w:vAlign w:val="center"/>
          </w:tcPr>
          <w:p>
            <w:pPr>
              <w:pStyle w:val="8"/>
            </w:pPr>
            <w:r>
              <w:t>会议费成本</w:t>
            </w:r>
          </w:p>
        </w:tc>
        <w:tc>
          <w:tcPr>
            <w:tcW w:w="2835" w:type="dxa"/>
            <w:vAlign w:val="center"/>
          </w:tcPr>
          <w:p>
            <w:pPr>
              <w:pStyle w:val="8"/>
            </w:pPr>
            <w:r>
              <w:t>人均会议费成本</w:t>
            </w:r>
          </w:p>
        </w:tc>
        <w:tc>
          <w:tcPr>
            <w:tcW w:w="2551" w:type="dxa"/>
            <w:vAlign w:val="center"/>
          </w:tcPr>
          <w:p>
            <w:pPr>
              <w:pStyle w:val="8"/>
            </w:pPr>
            <w:r>
              <w:t>≥98召开各种常委会、主席会、专委会议</w:t>
            </w:r>
          </w:p>
        </w:tc>
        <w:tc>
          <w:tcPr>
            <w:tcW w:w="2268" w:type="dxa"/>
            <w:vAlign w:val="center"/>
          </w:tcPr>
          <w:p>
            <w:pPr>
              <w:pStyle w:val="8"/>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6"/>
            </w:pPr>
            <w:r>
              <w:t>效益指标</w:t>
            </w:r>
          </w:p>
        </w:tc>
        <w:tc>
          <w:tcPr>
            <w:tcW w:w="2268" w:type="dxa"/>
            <w:vAlign w:val="center"/>
          </w:tcPr>
          <w:p>
            <w:pPr>
              <w:pStyle w:val="8"/>
            </w:pPr>
            <w:r>
              <w:t>经济效益指标</w:t>
            </w:r>
          </w:p>
        </w:tc>
        <w:tc>
          <w:tcPr>
            <w:tcW w:w="2835" w:type="dxa"/>
            <w:vAlign w:val="center"/>
          </w:tcPr>
          <w:p>
            <w:pPr>
              <w:pStyle w:val="8"/>
            </w:pPr>
            <w:r>
              <w:t>经济效益指标</w:t>
            </w:r>
          </w:p>
        </w:tc>
        <w:tc>
          <w:tcPr>
            <w:tcW w:w="2835" w:type="dxa"/>
            <w:vAlign w:val="center"/>
          </w:tcPr>
          <w:p>
            <w:pPr>
              <w:pStyle w:val="8"/>
            </w:pPr>
            <w:r>
              <w:t>经济效益指标</w:t>
            </w:r>
          </w:p>
        </w:tc>
        <w:tc>
          <w:tcPr>
            <w:tcW w:w="2551" w:type="dxa"/>
            <w:vAlign w:val="center"/>
          </w:tcPr>
          <w:p>
            <w:pPr>
              <w:pStyle w:val="8"/>
            </w:pPr>
            <w:r>
              <w:t>≥98促进我县经济的发展</w:t>
            </w:r>
          </w:p>
        </w:tc>
        <w:tc>
          <w:tcPr>
            <w:tcW w:w="2268" w:type="dxa"/>
            <w:vAlign w:val="center"/>
          </w:tcPr>
          <w:p>
            <w:pPr>
              <w:pStyle w:val="8"/>
            </w:pPr>
            <w:r>
              <w:t xml:space="preserve">历年经验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8"/>
            </w:pPr>
            <w:r>
              <w:t>社会效益指标</w:t>
            </w:r>
          </w:p>
        </w:tc>
        <w:tc>
          <w:tcPr>
            <w:tcW w:w="2835" w:type="dxa"/>
            <w:vAlign w:val="center"/>
          </w:tcPr>
          <w:p>
            <w:pPr>
              <w:pStyle w:val="8"/>
            </w:pPr>
            <w:r>
              <w:t>政策建议采纳率</w:t>
            </w:r>
          </w:p>
        </w:tc>
        <w:tc>
          <w:tcPr>
            <w:tcW w:w="2835" w:type="dxa"/>
            <w:vAlign w:val="center"/>
          </w:tcPr>
          <w:p>
            <w:pPr>
              <w:pStyle w:val="8"/>
            </w:pPr>
            <w:r>
              <w:t>政策建议采纳率</w:t>
            </w:r>
          </w:p>
        </w:tc>
        <w:tc>
          <w:tcPr>
            <w:tcW w:w="2551" w:type="dxa"/>
            <w:vAlign w:val="center"/>
          </w:tcPr>
          <w:p>
            <w:pPr>
              <w:pStyle w:val="8"/>
            </w:pPr>
            <w:r>
              <w:t>≥98政策建议采纳</w:t>
            </w:r>
          </w:p>
        </w:tc>
        <w:tc>
          <w:tcPr>
            <w:tcW w:w="2268" w:type="dxa"/>
            <w:vAlign w:val="center"/>
          </w:tcPr>
          <w:p>
            <w:pPr>
              <w:pStyle w:val="8"/>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8"/>
            </w:pPr>
            <w:r>
              <w:t>生态效益指标</w:t>
            </w:r>
          </w:p>
        </w:tc>
        <w:tc>
          <w:tcPr>
            <w:tcW w:w="2835" w:type="dxa"/>
            <w:vAlign w:val="center"/>
          </w:tcPr>
          <w:p>
            <w:pPr>
              <w:pStyle w:val="8"/>
            </w:pPr>
            <w:r>
              <w:t>生态效益指标</w:t>
            </w:r>
          </w:p>
        </w:tc>
        <w:tc>
          <w:tcPr>
            <w:tcW w:w="2835" w:type="dxa"/>
            <w:vAlign w:val="center"/>
          </w:tcPr>
          <w:p>
            <w:pPr>
              <w:pStyle w:val="8"/>
            </w:pPr>
            <w:r>
              <w:t>生态效益指标</w:t>
            </w:r>
          </w:p>
        </w:tc>
        <w:tc>
          <w:tcPr>
            <w:tcW w:w="2551" w:type="dxa"/>
            <w:vAlign w:val="center"/>
          </w:tcPr>
          <w:p>
            <w:pPr>
              <w:pStyle w:val="8"/>
            </w:pPr>
            <w:r>
              <w:t>≥98营造良好的生态环境</w:t>
            </w:r>
          </w:p>
        </w:tc>
        <w:tc>
          <w:tcPr>
            <w:tcW w:w="2268" w:type="dxa"/>
            <w:vAlign w:val="center"/>
          </w:tcPr>
          <w:p>
            <w:pPr>
              <w:pStyle w:val="8"/>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8"/>
            </w:pPr>
            <w:r>
              <w:t>可持续影响指标</w:t>
            </w:r>
          </w:p>
        </w:tc>
        <w:tc>
          <w:tcPr>
            <w:tcW w:w="2835" w:type="dxa"/>
            <w:vAlign w:val="center"/>
          </w:tcPr>
          <w:p>
            <w:pPr>
              <w:pStyle w:val="8"/>
            </w:pPr>
            <w:r>
              <w:t>党员参政议政、建言献策的比例</w:t>
            </w:r>
          </w:p>
        </w:tc>
        <w:tc>
          <w:tcPr>
            <w:tcW w:w="2835" w:type="dxa"/>
            <w:vAlign w:val="center"/>
          </w:tcPr>
          <w:p>
            <w:pPr>
              <w:pStyle w:val="8"/>
            </w:pPr>
            <w:r>
              <w:t>党员参政议政、建言献策的比例</w:t>
            </w:r>
          </w:p>
        </w:tc>
        <w:tc>
          <w:tcPr>
            <w:tcW w:w="2551" w:type="dxa"/>
            <w:vAlign w:val="center"/>
          </w:tcPr>
          <w:p>
            <w:pPr>
              <w:pStyle w:val="8"/>
            </w:pPr>
            <w:r>
              <w:t>≥98党员参政议政、建言献策的比例</w:t>
            </w:r>
          </w:p>
        </w:tc>
        <w:tc>
          <w:tcPr>
            <w:tcW w:w="2268" w:type="dxa"/>
            <w:vAlign w:val="center"/>
          </w:tcPr>
          <w:p>
            <w:pPr>
              <w:pStyle w:val="8"/>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6"/>
            </w:pPr>
            <w:r>
              <w:t>满意度指标</w:t>
            </w:r>
          </w:p>
        </w:tc>
        <w:tc>
          <w:tcPr>
            <w:tcW w:w="2268" w:type="dxa"/>
            <w:vAlign w:val="center"/>
          </w:tcPr>
          <w:p>
            <w:pPr>
              <w:pStyle w:val="8"/>
            </w:pPr>
            <w:r>
              <w:t>服务对象满意度指标</w:t>
            </w:r>
          </w:p>
        </w:tc>
        <w:tc>
          <w:tcPr>
            <w:tcW w:w="2835" w:type="dxa"/>
            <w:vAlign w:val="center"/>
          </w:tcPr>
          <w:p>
            <w:pPr>
              <w:pStyle w:val="8"/>
            </w:pPr>
            <w:r>
              <w:t>服务对象满意度</w:t>
            </w:r>
          </w:p>
        </w:tc>
        <w:tc>
          <w:tcPr>
            <w:tcW w:w="2835" w:type="dxa"/>
            <w:vAlign w:val="center"/>
          </w:tcPr>
          <w:p>
            <w:pPr>
              <w:pStyle w:val="8"/>
            </w:pPr>
            <w:r>
              <w:t>服务对象满意度</w:t>
            </w:r>
          </w:p>
        </w:tc>
        <w:tc>
          <w:tcPr>
            <w:tcW w:w="2551" w:type="dxa"/>
            <w:vAlign w:val="center"/>
          </w:tcPr>
          <w:p>
            <w:pPr>
              <w:pStyle w:val="8"/>
            </w:pPr>
            <w:r>
              <w:t>≥98服务对象满意度</w:t>
            </w:r>
          </w:p>
        </w:tc>
        <w:tc>
          <w:tcPr>
            <w:tcW w:w="2268" w:type="dxa"/>
            <w:vAlign w:val="center"/>
          </w:tcPr>
          <w:p>
            <w:pPr>
              <w:pStyle w:val="8"/>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0" w:name="_Toc_3_3_0000000015"/>
      <w:r>
        <w:rPr>
          <w:rFonts w:ascii="黑体" w:hAnsi="黑体" w:eastAsia="黑体" w:cs="黑体"/>
          <w:color w:val="000000"/>
          <w:sz w:val="32"/>
        </w:rPr>
        <w:t>六、政府采购预算情况</w:t>
      </w:r>
      <w:bookmarkEnd w:id="0"/>
    </w:p>
    <w:p>
      <w:pPr>
        <w:spacing w:line="500" w:lineRule="exact"/>
        <w:ind w:firstLine="560"/>
      </w:pPr>
      <w:r>
        <w:rPr>
          <w:rFonts w:eastAsia="方正仿宋_GBK"/>
          <w:color w:val="000000"/>
          <w:sz w:val="28"/>
        </w:rPr>
        <w:t>2022年，中国人民政治协商会议无极县委员会办公室安排政府采购预算0.00万元。具体内容见下表。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131中国人民政治协商会议无极县委员会办公室</w:t>
            </w:r>
          </w:p>
        </w:tc>
        <w:tc>
          <w:tcPr>
            <w:tcW w:w="8674" w:type="dxa"/>
            <w:gridSpan w:val="9"/>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8"/>
            </w:pPr>
          </w:p>
        </w:tc>
        <w:tc>
          <w:tcPr>
            <w:tcW w:w="964" w:type="dxa"/>
            <w:vAlign w:val="center"/>
          </w:tcPr>
          <w:p>
            <w:pPr>
              <w:pStyle w:val="7"/>
            </w:pPr>
          </w:p>
        </w:tc>
        <w:tc>
          <w:tcPr>
            <w:tcW w:w="1134" w:type="dxa"/>
            <w:vAlign w:val="center"/>
          </w:tcPr>
          <w:p>
            <w:pPr>
              <w:pStyle w:val="8"/>
            </w:pPr>
          </w:p>
        </w:tc>
        <w:tc>
          <w:tcPr>
            <w:tcW w:w="1134" w:type="dxa"/>
            <w:vAlign w:val="center"/>
          </w:tcPr>
          <w:p>
            <w:pPr>
              <w:pStyle w:val="8"/>
            </w:pPr>
          </w:p>
        </w:tc>
        <w:tc>
          <w:tcPr>
            <w:tcW w:w="709" w:type="dxa"/>
            <w:vAlign w:val="center"/>
          </w:tcPr>
          <w:p>
            <w:pPr>
              <w:pStyle w:val="6"/>
            </w:pPr>
          </w:p>
        </w:tc>
        <w:tc>
          <w:tcPr>
            <w:tcW w:w="850" w:type="dxa"/>
            <w:vAlign w:val="center"/>
          </w:tcPr>
          <w:p>
            <w:pPr>
              <w:pStyle w:val="7"/>
            </w:pPr>
          </w:p>
        </w:tc>
        <w:tc>
          <w:tcPr>
            <w:tcW w:w="850"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 w:name="_Toc_3_3_0000000016"/>
      <w:r>
        <w:rPr>
          <w:rFonts w:ascii="黑体" w:hAnsi="黑体" w:eastAsia="黑体" w:cs="黑体"/>
          <w:color w:val="000000"/>
          <w:sz w:val="32"/>
        </w:rPr>
        <w:t>七、国有资产信息</w:t>
      </w:r>
      <w:bookmarkEnd w:id="1"/>
    </w:p>
    <w:p>
      <w:pPr>
        <w:spacing w:line="500" w:lineRule="exact"/>
        <w:ind w:firstLine="560"/>
      </w:pPr>
      <w:r>
        <w:rPr>
          <w:rFonts w:eastAsia="方正仿宋_GBK"/>
          <w:color w:val="000000"/>
          <w:sz w:val="28"/>
        </w:rPr>
        <w:t>中国人民政治协商会议无极县委员会办公室上年末固定资产金额为100.64万元（详见下表）。本年度拟购置固定资产总额为0.00万元，已按要求列入政府采购预算，详见政府采购预算表。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131中国人民政治协商会议无极县委员会办公室</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8"/>
            </w:pPr>
            <w:r>
              <w:t>资产总额</w:t>
            </w:r>
          </w:p>
        </w:tc>
        <w:tc>
          <w:tcPr>
            <w:tcW w:w="2835" w:type="dxa"/>
            <w:vAlign w:val="center"/>
          </w:tcPr>
          <w:p>
            <w:pPr>
              <w:pStyle w:val="6"/>
            </w:pPr>
          </w:p>
        </w:tc>
        <w:tc>
          <w:tcPr>
            <w:tcW w:w="2835" w:type="dxa"/>
            <w:vAlign w:val="center"/>
          </w:tcPr>
          <w:p>
            <w:pPr>
              <w:pStyle w:val="7"/>
            </w:pPr>
            <w:r>
              <w:t>100.64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8"/>
            </w:pPr>
            <w:r>
              <w:t>1、房屋（平方米）</w:t>
            </w:r>
          </w:p>
        </w:tc>
        <w:tc>
          <w:tcPr>
            <w:tcW w:w="2835" w:type="dxa"/>
            <w:vAlign w:val="center"/>
          </w:tcPr>
          <w:p>
            <w:pPr>
              <w:pStyle w:val="6"/>
            </w:pPr>
          </w:p>
        </w:tc>
        <w:tc>
          <w:tcPr>
            <w:tcW w:w="2835"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8"/>
            </w:pPr>
            <w:r>
              <w:t>　　其中：办公用房（平方米）</w:t>
            </w:r>
          </w:p>
        </w:tc>
        <w:tc>
          <w:tcPr>
            <w:tcW w:w="2835" w:type="dxa"/>
            <w:vAlign w:val="center"/>
          </w:tcPr>
          <w:p>
            <w:pPr>
              <w:pStyle w:val="6"/>
            </w:pPr>
          </w:p>
        </w:tc>
        <w:tc>
          <w:tcPr>
            <w:tcW w:w="2835"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8"/>
            </w:pPr>
            <w:r>
              <w:t>2、车辆（台、辆）</w:t>
            </w:r>
          </w:p>
        </w:tc>
        <w:tc>
          <w:tcPr>
            <w:tcW w:w="2835" w:type="dxa"/>
            <w:vAlign w:val="center"/>
          </w:tcPr>
          <w:p>
            <w:pPr>
              <w:pStyle w:val="6"/>
            </w:pPr>
            <w:r>
              <w:t>4</w:t>
            </w:r>
          </w:p>
        </w:tc>
        <w:tc>
          <w:tcPr>
            <w:tcW w:w="2835" w:type="dxa"/>
            <w:vAlign w:val="center"/>
          </w:tcPr>
          <w:p>
            <w:pPr>
              <w:pStyle w:val="7"/>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8"/>
            </w:pPr>
            <w:r>
              <w:t>3、单价在20万元以上的设备</w:t>
            </w:r>
          </w:p>
        </w:tc>
        <w:tc>
          <w:tcPr>
            <w:tcW w:w="2835" w:type="dxa"/>
            <w:vAlign w:val="center"/>
          </w:tcPr>
          <w:p>
            <w:pPr>
              <w:pStyle w:val="6"/>
            </w:pPr>
          </w:p>
        </w:tc>
        <w:tc>
          <w:tcPr>
            <w:tcW w:w="2835"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8"/>
            </w:pPr>
            <w:r>
              <w:t>4、其他固定资产</w:t>
            </w:r>
          </w:p>
        </w:tc>
        <w:tc>
          <w:tcPr>
            <w:tcW w:w="2835" w:type="dxa"/>
            <w:vAlign w:val="center"/>
          </w:tcPr>
          <w:p>
            <w:pPr>
              <w:pStyle w:val="6"/>
            </w:pPr>
          </w:p>
        </w:tc>
        <w:tc>
          <w:tcPr>
            <w:tcW w:w="2835" w:type="dxa"/>
            <w:vAlign w:val="center"/>
          </w:tcPr>
          <w:p>
            <w:pPr>
              <w:pStyle w:val="7"/>
            </w:pPr>
            <w:r>
              <w:t>74.64</w:t>
            </w:r>
          </w:p>
        </w:tc>
      </w:tr>
    </w:tbl>
    <w:p>
      <w:pPr>
        <w:ind w:firstLine="640"/>
      </w:pPr>
      <w:r>
        <w:rPr>
          <w:rFonts w:eastAsia="方正仿宋_GBK"/>
          <w:color w:val="000000"/>
          <w:sz w:val="32"/>
        </w:rPr>
        <w:t xml:space="preserve"> </w:t>
      </w:r>
    </w:p>
    <w:p>
      <w:pPr>
        <w:spacing w:before="10" w:after="10"/>
        <w:ind w:firstLine="640"/>
        <w:outlineLvl w:val="2"/>
      </w:pPr>
      <w:bookmarkStart w:id="2" w:name="_Toc_3_3_0000000017"/>
      <w:r>
        <w:rPr>
          <w:rFonts w:ascii="黑体" w:hAnsi="黑体" w:eastAsia="黑体" w:cs="黑体"/>
          <w:color w:val="000000"/>
          <w:sz w:val="32"/>
        </w:rPr>
        <w:t>八、名词解释</w:t>
      </w:r>
      <w:bookmarkEnd w:id="2"/>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w:t>
      </w:r>
      <w:r>
        <w:rPr>
          <w:rFonts w:eastAsia="方正仿宋_GBK"/>
          <w:color w:val="000000"/>
          <w:sz w:val="28"/>
        </w:rPr>
        <w:t>级财政预算管理的“三公”经费，是指</w:t>
      </w:r>
      <w:r>
        <w:rPr>
          <w:rFonts w:hint="eastAsia" w:eastAsia="方正仿宋_GBK"/>
          <w:color w:val="000000"/>
          <w:sz w:val="28"/>
          <w:lang w:val="en-US" w:eastAsia="zh-CN"/>
        </w:rPr>
        <w:t>县</w:t>
      </w:r>
      <w:r>
        <w:rPr>
          <w:rFonts w:eastAsia="方正仿宋_GBK"/>
          <w:color w:val="000000"/>
          <w:sz w:val="28"/>
        </w:rPr>
        <w:t>级</w:t>
      </w:r>
      <w:r>
        <w:rPr>
          <w:rFonts w:hint="eastAsia" w:eastAsia="方正仿宋_GBK"/>
          <w:color w:val="000000"/>
          <w:sz w:val="28"/>
          <w:lang w:val="en-US" w:eastAsia="zh-CN"/>
        </w:rPr>
        <w:t>单位</w:t>
      </w:r>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3" w:name="_Toc_3_3_0000000018"/>
      <w:r>
        <w:rPr>
          <w:rFonts w:ascii="黑体" w:hAnsi="黑体" w:eastAsia="黑体" w:cs="黑体"/>
          <w:color w:val="000000"/>
          <w:sz w:val="32"/>
        </w:rPr>
        <w:t>九、其他需要说明的事项</w:t>
      </w:r>
      <w:bookmarkEnd w:id="3"/>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w:t>
      </w:r>
      <w:r>
        <w:rPr>
          <w:rFonts w:hint="eastAsia" w:eastAsia="方正仿宋_GBK"/>
          <w:color w:val="000000"/>
          <w:sz w:val="28"/>
          <w:lang w:val="en-US" w:eastAsia="zh-CN"/>
        </w:rPr>
        <w:t>单位</w:t>
      </w:r>
      <w:r>
        <w:rPr>
          <w:rFonts w:eastAsia="方正仿宋_GBK"/>
          <w:color w:val="000000"/>
          <w:sz w:val="28"/>
        </w:rPr>
        <w:t>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p>
      <w:pPr>
        <w:widowControl/>
        <w:spacing w:line="500" w:lineRule="exact"/>
        <w:ind w:firstLine="560"/>
        <w:jc w:val="left"/>
        <w:rPr>
          <w:rFonts w:hint="eastAsia" w:ascii="宋体" w:hAnsi="宋体" w:eastAsia="宋体" w:cs="宋体"/>
          <w:kern w:val="0"/>
          <w:sz w:val="28"/>
          <w:szCs w:val="28"/>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6E423C2"/>
    <w:multiLevelType w:val="singleLevel"/>
    <w:tmpl w:val="C6E423C2"/>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24B1"/>
    <w:rsid w:val="00605129"/>
    <w:rsid w:val="006A24B1"/>
    <w:rsid w:val="0E730B26"/>
    <w:rsid w:val="38566E80"/>
    <w:rsid w:val="3FCA06CF"/>
    <w:rsid w:val="4C147660"/>
    <w:rsid w:val="5C5F7630"/>
    <w:rsid w:val="630E0B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customStyle="1" w:styleId="6">
    <w:name w:val="单元格样式3"/>
    <w:basedOn w:val="1"/>
    <w:qFormat/>
    <w:uiPriority w:val="0"/>
    <w:pPr>
      <w:widowControl/>
      <w:jc w:val="center"/>
    </w:pPr>
    <w:rPr>
      <w:rFonts w:ascii="方正书宋_GBK" w:hAnsi="方正书宋_GBK" w:eastAsia="宋体" w:cs="宋体"/>
      <w:kern w:val="0"/>
      <w:szCs w:val="21"/>
    </w:rPr>
  </w:style>
  <w:style w:type="paragraph" w:customStyle="1" w:styleId="7">
    <w:name w:val="单元格样式4"/>
    <w:basedOn w:val="1"/>
    <w:qFormat/>
    <w:uiPriority w:val="0"/>
    <w:pPr>
      <w:widowControl/>
      <w:jc w:val="right"/>
    </w:pPr>
    <w:rPr>
      <w:rFonts w:ascii="方正书宋_GBK" w:hAnsi="方正书宋_GBK" w:eastAsia="宋体" w:cs="宋体"/>
      <w:kern w:val="0"/>
      <w:szCs w:val="21"/>
    </w:rPr>
  </w:style>
  <w:style w:type="paragraph" w:customStyle="1" w:styleId="8">
    <w:name w:val="单元格样式2"/>
    <w:basedOn w:val="1"/>
    <w:uiPriority w:val="0"/>
    <w:pPr>
      <w:widowControl/>
      <w:jc w:val="left"/>
    </w:pPr>
    <w:rPr>
      <w:rFonts w:ascii="方正书宋_GBK" w:hAnsi="方正书宋_GBK" w:eastAsia="宋体" w:cs="宋体"/>
      <w:kern w:val="0"/>
      <w:szCs w:val="21"/>
    </w:rPr>
  </w:style>
  <w:style w:type="paragraph" w:customStyle="1" w:styleId="9">
    <w:name w:val="单元格样式5"/>
    <w:basedOn w:val="1"/>
    <w:qFormat/>
    <w:uiPriority w:val="0"/>
    <w:pPr>
      <w:widowControl/>
      <w:jc w:val="left"/>
    </w:pPr>
    <w:rPr>
      <w:rFonts w:ascii="方正书宋_GBK" w:hAnsi="方正书宋_GBK" w:eastAsia="宋体" w:cs="宋体"/>
      <w:b/>
      <w:bCs/>
      <w:kern w:val="0"/>
      <w:szCs w:val="21"/>
    </w:rPr>
  </w:style>
  <w:style w:type="paragraph" w:customStyle="1" w:styleId="10">
    <w:name w:val="单元格样式1"/>
    <w:basedOn w:val="1"/>
    <w:uiPriority w:val="0"/>
    <w:pPr>
      <w:widowControl/>
      <w:jc w:val="center"/>
    </w:pPr>
    <w:rPr>
      <w:rFonts w:ascii="方正书宋_GBK" w:hAnsi="方正书宋_GBK" w:eastAsia="宋体" w:cs="宋体"/>
      <w:b/>
      <w:bCs/>
      <w:kern w:val="0"/>
      <w:szCs w:val="21"/>
    </w:rPr>
  </w:style>
  <w:style w:type="paragraph" w:customStyle="1" w:styleId="11">
    <w:name w:val="单元格样式22"/>
    <w:basedOn w:val="1"/>
    <w:qFormat/>
    <w:uiPriority w:val="0"/>
    <w:pPr>
      <w:widowControl/>
      <w:jc w:val="right"/>
    </w:pPr>
    <w:rPr>
      <w:rFonts w:ascii="方正小标宋_GBK" w:hAnsi="方正小标宋_GBK" w:eastAsia="宋体" w:cs="宋体"/>
      <w:kern w:val="0"/>
      <w:sz w:val="24"/>
      <w:szCs w:val="24"/>
    </w:rPr>
  </w:style>
  <w:style w:type="paragraph" w:customStyle="1" w:styleId="12">
    <w:name w:val="插入文本样式-插入预算公开部门财政拨款三公经费预算情况及增减变化原因文件"/>
    <w:basedOn w:val="1"/>
    <w:qFormat/>
    <w:uiPriority w:val="0"/>
    <w:pPr>
      <w:widowControl/>
      <w:spacing w:line="500" w:lineRule="exact"/>
      <w:ind w:firstLine="560"/>
      <w:jc w:val="left"/>
    </w:pPr>
    <w:rPr>
      <w:rFonts w:ascii="Times New Roman" w:hAnsi="Times New Roman" w:eastAsia="方正仿宋_GBK" w:cs="Times New Roman"/>
      <w:kern w:val="0"/>
      <w:sz w:val="28"/>
      <w:szCs w:val="28"/>
    </w:rPr>
  </w:style>
  <w:style w:type="paragraph" w:customStyle="1" w:styleId="13">
    <w:name w:val="单元格样式20"/>
    <w:basedOn w:val="1"/>
    <w:qFormat/>
    <w:uiPriority w:val="0"/>
    <w:pPr>
      <w:widowControl/>
      <w:jc w:val="left"/>
    </w:pPr>
    <w:rPr>
      <w:rFonts w:ascii="方正小标宋_GBK" w:hAnsi="方正小标宋_GBK" w:eastAsia="宋体" w:cs="宋体"/>
      <w:kern w:val="0"/>
      <w:sz w:val="24"/>
      <w:szCs w:val="24"/>
    </w:rPr>
  </w:style>
  <w:style w:type="paragraph" w:customStyle="1" w:styleId="14">
    <w:name w:val="单元格样式21"/>
    <w:basedOn w:val="1"/>
    <w:qFormat/>
    <w:uiPriority w:val="0"/>
    <w:pPr>
      <w:widowControl/>
      <w:jc w:val="center"/>
    </w:pPr>
    <w:rPr>
      <w:rFonts w:ascii="方正小标宋_GBK" w:hAnsi="方正小标宋_GBK" w:eastAsia="宋体" w:cs="宋体"/>
      <w:kern w:val="0"/>
      <w:sz w:val="24"/>
      <w:szCs w:val="24"/>
    </w:rPr>
  </w:style>
  <w:style w:type="paragraph" w:customStyle="1" w:styleId="15">
    <w:name w:val="插入文本样式-插入单位职责文件"/>
    <w:basedOn w:val="1"/>
    <w:uiPriority w:val="0"/>
    <w:pPr>
      <w:widowControl/>
      <w:spacing w:line="500" w:lineRule="exact"/>
      <w:ind w:firstLine="560"/>
      <w:jc w:val="left"/>
    </w:pPr>
    <w:rPr>
      <w:rFonts w:ascii="Times New Roman" w:hAnsi="Times New Roman" w:eastAsia="方正仿宋_GBK" w:cs="Times New Roman"/>
      <w:kern w:val="0"/>
      <w:sz w:val="28"/>
      <w:szCs w:val="28"/>
    </w:rPr>
  </w:style>
  <w:style w:type="paragraph" w:customStyle="1" w:styleId="16">
    <w:name w:val="单元格样式7"/>
    <w:basedOn w:val="1"/>
    <w:qFormat/>
    <w:uiPriority w:val="0"/>
    <w:pPr>
      <w:widowControl/>
      <w:jc w:val="right"/>
    </w:pPr>
    <w:rPr>
      <w:rFonts w:ascii="方正书宋_GBK" w:hAnsi="方正书宋_GBK" w:eastAsia="宋体" w:cs="宋体"/>
      <w:b/>
      <w:bCs/>
      <w:kern w:val="0"/>
      <w:szCs w:val="21"/>
    </w:rPr>
  </w:style>
  <w:style w:type="paragraph" w:customStyle="1" w:styleId="17">
    <w:name w:val="单元格样式6"/>
    <w:basedOn w:val="1"/>
    <w:qFormat/>
    <w:uiPriority w:val="0"/>
    <w:pPr>
      <w:widowControl/>
      <w:jc w:val="center"/>
    </w:pPr>
    <w:rPr>
      <w:rFonts w:ascii="方正书宋_GBK" w:hAnsi="方正书宋_GBK" w:eastAsia="宋体" w:cs="宋体"/>
      <w:b/>
      <w:bCs/>
      <w:kern w:val="0"/>
      <w:szCs w:val="21"/>
    </w:rPr>
  </w:style>
  <w:style w:type="paragraph" w:customStyle="1" w:styleId="18">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19</Pages>
  <Words>1262</Words>
  <Characters>7200</Characters>
  <Lines>60</Lines>
  <Paragraphs>16</Paragraphs>
  <TotalTime>1</TotalTime>
  <ScaleCrop>false</ScaleCrop>
  <LinksUpToDate>false</LinksUpToDate>
  <CharactersWithSpaces>8446</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2023-08-01T06:50:00Z</dcterms:created>
  <dc:creator>hp</dc:creator>
  <cp:lastModifiedBy>Administrator</cp:lastModifiedBy>
  <dcterms:modified xsi:type="dcterms:W3CDTF">2024-04-10T07:49:53Z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5AEAC75272C5486BBC17F331CBF24550</vt:lpwstr>
  </property>
</Properties>
</file>