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微软雅黑" w:hAnsi="微软雅黑" w:eastAsia="微软雅黑" w:cs="宋体"/>
          <w:bCs/>
          <w:sz w:val="48"/>
          <w:szCs w:val="48"/>
        </w:rPr>
      </w:pPr>
      <w:bookmarkStart w:id="5" w:name="_GoBack"/>
      <w:bookmarkEnd w:id="5"/>
      <w:r>
        <w:rPr>
          <w:rFonts w:hint="eastAsia" w:ascii="仿宋" w:hAnsi="仿宋" w:eastAsia="仿宋" w:cs="宋体"/>
          <w:b/>
          <w:bCs/>
          <w:sz w:val="32"/>
          <w:szCs w:val="32"/>
        </w:rPr>
        <w:t xml:space="preserve">           </w:t>
      </w:r>
      <w:r>
        <w:rPr>
          <w:rFonts w:hint="eastAsia" w:ascii="微软雅黑" w:hAnsi="微软雅黑" w:eastAsia="微软雅黑" w:cs="宋体"/>
          <w:bCs/>
          <w:sz w:val="48"/>
          <w:szCs w:val="48"/>
        </w:rPr>
        <w:t>无极县公安交通警察大队</w:t>
      </w:r>
      <w:r>
        <w:rPr>
          <w:rFonts w:ascii="微软雅黑" w:hAnsi="微软雅黑" w:eastAsia="微软雅黑" w:cs="宋体"/>
          <w:bCs/>
          <w:sz w:val="48"/>
          <w:szCs w:val="48"/>
        </w:rPr>
        <w:t xml:space="preserve">    </w:t>
      </w:r>
    </w:p>
    <w:p>
      <w:pPr>
        <w:jc w:val="center"/>
        <w:rPr>
          <w:rFonts w:ascii="微软雅黑" w:hAnsi="微软雅黑" w:eastAsia="微软雅黑" w:cs="宋体"/>
          <w:bCs/>
          <w:sz w:val="48"/>
          <w:szCs w:val="48"/>
        </w:rPr>
      </w:pPr>
      <w:r>
        <w:rPr>
          <w:rFonts w:ascii="微软雅黑" w:hAnsi="微软雅黑" w:eastAsia="微软雅黑" w:cs="宋体"/>
          <w:bCs/>
          <w:sz w:val="48"/>
          <w:szCs w:val="48"/>
        </w:rPr>
        <w:t>20</w:t>
      </w:r>
      <w:r>
        <w:rPr>
          <w:rFonts w:hint="eastAsia" w:ascii="微软雅黑" w:hAnsi="微软雅黑" w:eastAsia="微软雅黑" w:cs="宋体"/>
          <w:bCs/>
          <w:sz w:val="48"/>
          <w:szCs w:val="48"/>
        </w:rPr>
        <w:t>20年部门预算信息公开情况说明</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按照</w:t>
      </w:r>
      <w:r>
        <w:rPr>
          <w:rFonts w:hint="eastAsia" w:ascii="仿宋" w:hAnsi="仿宋" w:eastAsia="仿宋" w:cs="仿宋_GB2312"/>
          <w:sz w:val="32"/>
          <w:szCs w:val="32"/>
          <w:lang w:eastAsia="zh-CN"/>
        </w:rPr>
        <w:t>《中华人民共和国预算法》</w:t>
      </w:r>
      <w:r>
        <w:rPr>
          <w:rFonts w:hint="eastAsia" w:ascii="仿宋" w:hAnsi="仿宋" w:eastAsia="仿宋" w:cs="仿宋_GB2312"/>
          <w:sz w:val="32"/>
          <w:szCs w:val="32"/>
        </w:rPr>
        <w:t>、《地方预决算公开操作规程》和《河北省省级预算公开办法》规定，现将无极县公安交通警察大队</w:t>
      </w:r>
      <w:r>
        <w:rPr>
          <w:rFonts w:ascii="仿宋" w:hAnsi="仿宋" w:eastAsia="仿宋" w:cs="仿宋_GB2312"/>
          <w:sz w:val="32"/>
          <w:szCs w:val="32"/>
        </w:rPr>
        <w:t>20</w:t>
      </w:r>
      <w:r>
        <w:rPr>
          <w:rFonts w:hint="eastAsia" w:ascii="仿宋" w:hAnsi="仿宋" w:eastAsia="仿宋" w:cs="仿宋_GB2312"/>
          <w:sz w:val="32"/>
          <w:szCs w:val="32"/>
        </w:rPr>
        <w:t>20年部门预算公开如下：</w:t>
      </w:r>
    </w:p>
    <w:p>
      <w:pPr>
        <w:ind w:firstLine="640"/>
        <w:rPr>
          <w:rFonts w:ascii="仿宋" w:hAnsi="仿宋" w:eastAsia="仿宋" w:cs="仿宋_GB2312"/>
          <w:sz w:val="32"/>
          <w:szCs w:val="32"/>
        </w:rPr>
      </w:pPr>
      <w:r>
        <w:rPr>
          <w:rFonts w:hint="eastAsia" w:ascii="黑体" w:hAnsi="黑体" w:eastAsia="黑体"/>
          <w:sz w:val="32"/>
          <w:szCs w:val="32"/>
        </w:rPr>
        <w:t>一、部门职责及机构设置情况</w:t>
      </w:r>
    </w:p>
    <w:p>
      <w:pPr>
        <w:ind w:firstLine="560"/>
        <w:rPr>
          <w:rFonts w:ascii="仿宋" w:hAnsi="仿宋" w:eastAsia="仿宋" w:cs="仿宋_GB2312"/>
          <w:sz w:val="32"/>
          <w:szCs w:val="32"/>
        </w:rPr>
      </w:pPr>
      <w:r>
        <w:rPr>
          <w:rFonts w:hint="eastAsia" w:ascii="仿宋" w:hAnsi="仿宋" w:eastAsia="仿宋"/>
          <w:b/>
          <w:sz w:val="32"/>
          <w:szCs w:val="32"/>
        </w:rPr>
        <w:t>部门职责:</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交警大队是主管全县道路交通安全和交通秩序以及机动车、驾驶人管理工作的职能部门。是负责本地区道路交通的组织、指挥、控制，运用现代管理科学，增强道路交通协调与控制能力。</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维护全县的道路交通秩序，保障道路交通安全畅通。预防和处理交通事故，制止妨碍道路交通安全的行为。预防和打击公路上发生的违法犯罪活动，查缉逃犯及其他犯罪嫌疑人。</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巡逻道路：先期处置道路治安、刑事案件和突发性、群体性事件。</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ind w:firstLine="560"/>
        <w:rPr>
          <w:rFonts w:ascii="仿宋" w:hAnsi="仿宋" w:eastAsia="仿宋" w:cs="仿宋_GB2312"/>
          <w:sz w:val="32"/>
          <w:szCs w:val="32"/>
        </w:rPr>
      </w:pPr>
      <w:r>
        <w:rPr>
          <w:rFonts w:hint="eastAsia" w:ascii="仿宋" w:hAnsi="仿宋" w:eastAsia="仿宋" w:cs="仿宋_GB2312"/>
          <w:sz w:val="32"/>
          <w:szCs w:val="32"/>
        </w:rPr>
        <w:t>根据</w:t>
      </w:r>
      <w:r>
        <w:rPr>
          <w:rFonts w:hint="eastAsia" w:ascii="仿宋" w:hAnsi="仿宋" w:eastAsia="仿宋" w:cs="仿宋_GB2312"/>
          <w:sz w:val="32"/>
          <w:szCs w:val="32"/>
          <w:lang w:eastAsia="zh-CN"/>
        </w:rPr>
        <w:t>中华人民共和国道路交通安全法</w:t>
      </w:r>
      <w:r>
        <w:rPr>
          <w:rFonts w:hint="eastAsia" w:ascii="仿宋" w:hAnsi="仿宋" w:eastAsia="仿宋" w:cs="仿宋_GB2312"/>
          <w:sz w:val="32"/>
          <w:szCs w:val="32"/>
        </w:rPr>
        <w:t>，对违反交通安全法律、法规、规章的驾驶员和车辆进行纠正、</w:t>
      </w:r>
    </w:p>
    <w:p>
      <w:pPr>
        <w:ind w:firstLine="643" w:firstLineChars="200"/>
        <w:rPr>
          <w:rFonts w:ascii="仿宋" w:hAnsi="仿宋" w:eastAsia="仿宋"/>
          <w:b/>
          <w:sz w:val="32"/>
          <w:szCs w:val="32"/>
        </w:rPr>
      </w:pPr>
      <w:r>
        <w:rPr>
          <w:rFonts w:hint="eastAsia" w:ascii="仿宋" w:hAnsi="仿宋" w:eastAsia="仿宋"/>
          <w:b/>
          <w:sz w:val="32"/>
          <w:szCs w:val="32"/>
        </w:rPr>
        <w:t>机构设置:</w:t>
      </w:r>
    </w:p>
    <w:p>
      <w:pPr>
        <w:ind w:firstLine="645"/>
        <w:rPr>
          <w:rFonts w:ascii="仿宋" w:hAnsi="仿宋" w:eastAsia="仿宋" w:cs="仿宋_GB2312"/>
          <w:sz w:val="32"/>
          <w:szCs w:val="32"/>
        </w:rPr>
      </w:pPr>
      <w:r>
        <w:rPr>
          <w:rFonts w:ascii="仿宋" w:hAnsi="仿宋" w:eastAsia="仿宋" w:cs="仿宋_GB2312"/>
          <w:sz w:val="32"/>
          <w:szCs w:val="32"/>
        </w:rPr>
        <w:t xml:space="preserve">                                 </w:t>
      </w:r>
      <w:r>
        <w:rPr>
          <w:rFonts w:hint="eastAsia" w:ascii="仿宋" w:hAnsi="仿宋" w:eastAsia="仿宋" w:cs="仿宋_GB2312"/>
          <w:sz w:val="32"/>
          <w:szCs w:val="32"/>
        </w:rPr>
        <w:t>部门机构设置</w:t>
      </w:r>
      <w:r>
        <w:rPr>
          <w:rFonts w:ascii="仿宋" w:hAnsi="仿宋" w:eastAsia="仿宋" w:cs="仿宋_GB2312"/>
          <w:sz w:val="32"/>
          <w:szCs w:val="32"/>
        </w:rPr>
        <w:t xml:space="preserve">      </w:t>
      </w:r>
    </w:p>
    <w:tbl>
      <w:tblPr>
        <w:tblStyle w:val="4"/>
        <w:tblW w:w="103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3"/>
        <w:gridCol w:w="1290"/>
        <w:gridCol w:w="1260"/>
        <w:gridCol w:w="3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413" w:type="dxa"/>
            <w:vMerge w:val="restart"/>
            <w:vAlign w:val="center"/>
          </w:tcPr>
          <w:p>
            <w:pPr>
              <w:spacing w:line="300" w:lineRule="exact"/>
              <w:jc w:val="center"/>
              <w:rPr>
                <w:rFonts w:ascii="仿宋" w:hAnsi="仿宋" w:eastAsia="仿宋"/>
                <w:b/>
                <w:sz w:val="32"/>
                <w:szCs w:val="32"/>
              </w:rPr>
            </w:pPr>
            <w:r>
              <w:rPr>
                <w:rFonts w:hint="eastAsia" w:ascii="仿宋" w:hAnsi="仿宋" w:eastAsia="仿宋" w:cs="宋体"/>
                <w:b/>
                <w:sz w:val="32"/>
                <w:szCs w:val="32"/>
              </w:rPr>
              <w:t>单位名称</w:t>
            </w:r>
          </w:p>
        </w:tc>
        <w:tc>
          <w:tcPr>
            <w:tcW w:w="1290" w:type="dxa"/>
            <w:vMerge w:val="restart"/>
            <w:vAlign w:val="center"/>
          </w:tcPr>
          <w:p>
            <w:pPr>
              <w:spacing w:line="300" w:lineRule="exact"/>
              <w:jc w:val="center"/>
              <w:rPr>
                <w:rFonts w:ascii="仿宋" w:hAnsi="仿宋" w:eastAsia="仿宋"/>
                <w:b/>
                <w:sz w:val="32"/>
                <w:szCs w:val="32"/>
              </w:rPr>
            </w:pPr>
            <w:r>
              <w:rPr>
                <w:rFonts w:hint="eastAsia" w:ascii="仿宋" w:hAnsi="仿宋" w:eastAsia="仿宋" w:cs="宋体"/>
                <w:b/>
                <w:sz w:val="32"/>
                <w:szCs w:val="32"/>
              </w:rPr>
              <w:t>单位性质</w:t>
            </w:r>
          </w:p>
        </w:tc>
        <w:tc>
          <w:tcPr>
            <w:tcW w:w="1260" w:type="dxa"/>
            <w:vMerge w:val="restart"/>
            <w:vAlign w:val="center"/>
          </w:tcPr>
          <w:p>
            <w:pPr>
              <w:spacing w:line="300" w:lineRule="exact"/>
              <w:jc w:val="center"/>
              <w:rPr>
                <w:rFonts w:ascii="仿宋" w:hAnsi="仿宋" w:eastAsia="仿宋"/>
                <w:b/>
                <w:sz w:val="32"/>
                <w:szCs w:val="32"/>
              </w:rPr>
            </w:pPr>
            <w:r>
              <w:rPr>
                <w:rFonts w:hint="eastAsia" w:ascii="仿宋" w:hAnsi="仿宋" w:eastAsia="仿宋" w:cs="宋体"/>
                <w:b/>
                <w:sz w:val="32"/>
                <w:szCs w:val="32"/>
              </w:rPr>
              <w:t>单位规格</w:t>
            </w:r>
          </w:p>
        </w:tc>
        <w:tc>
          <w:tcPr>
            <w:tcW w:w="3362" w:type="dxa"/>
            <w:vMerge w:val="restart"/>
            <w:vAlign w:val="center"/>
          </w:tcPr>
          <w:p>
            <w:pPr>
              <w:spacing w:line="300" w:lineRule="exact"/>
              <w:jc w:val="center"/>
              <w:rPr>
                <w:rFonts w:ascii="仿宋" w:hAnsi="仿宋" w:eastAsia="仿宋"/>
                <w:b/>
                <w:sz w:val="32"/>
                <w:szCs w:val="32"/>
              </w:rPr>
            </w:pPr>
            <w:r>
              <w:rPr>
                <w:rFonts w:hint="eastAsia" w:ascii="仿宋" w:hAnsi="仿宋" w:eastAsia="仿宋" w:cs="宋体"/>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413" w:type="dxa"/>
            <w:vMerge w:val="continue"/>
            <w:vAlign w:val="center"/>
          </w:tcPr>
          <w:p>
            <w:pPr>
              <w:spacing w:line="300" w:lineRule="exact"/>
              <w:jc w:val="left"/>
              <w:outlineLvl w:val="0"/>
              <w:rPr>
                <w:rFonts w:ascii="仿宋" w:hAnsi="仿宋" w:eastAsia="仿宋"/>
                <w:sz w:val="32"/>
                <w:szCs w:val="32"/>
              </w:rPr>
            </w:pPr>
          </w:p>
        </w:tc>
        <w:tc>
          <w:tcPr>
            <w:tcW w:w="1290" w:type="dxa"/>
            <w:vMerge w:val="continue"/>
            <w:vAlign w:val="center"/>
          </w:tcPr>
          <w:p>
            <w:pPr>
              <w:spacing w:line="300" w:lineRule="exact"/>
              <w:jc w:val="left"/>
              <w:outlineLvl w:val="0"/>
              <w:rPr>
                <w:rFonts w:ascii="仿宋" w:hAnsi="仿宋" w:eastAsia="仿宋"/>
                <w:sz w:val="32"/>
                <w:szCs w:val="32"/>
              </w:rPr>
            </w:pPr>
          </w:p>
        </w:tc>
        <w:tc>
          <w:tcPr>
            <w:tcW w:w="1260" w:type="dxa"/>
            <w:vMerge w:val="continue"/>
            <w:vAlign w:val="center"/>
          </w:tcPr>
          <w:p>
            <w:pPr>
              <w:spacing w:line="300" w:lineRule="exact"/>
              <w:jc w:val="left"/>
              <w:outlineLvl w:val="0"/>
              <w:rPr>
                <w:rFonts w:ascii="仿宋" w:hAnsi="仿宋" w:eastAsia="仿宋"/>
                <w:sz w:val="32"/>
                <w:szCs w:val="32"/>
              </w:rPr>
            </w:pPr>
          </w:p>
        </w:tc>
        <w:tc>
          <w:tcPr>
            <w:tcW w:w="3362" w:type="dxa"/>
            <w:vMerge w:val="continue"/>
            <w:vAlign w:val="center"/>
          </w:tcPr>
          <w:p>
            <w:pPr>
              <w:spacing w:line="300" w:lineRule="exact"/>
              <w:jc w:val="left"/>
              <w:outlineLvl w:val="0"/>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4413"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无极县公安交通警察大队</w:t>
            </w:r>
          </w:p>
        </w:tc>
        <w:tc>
          <w:tcPr>
            <w:tcW w:w="1290"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行政</w:t>
            </w:r>
          </w:p>
        </w:tc>
        <w:tc>
          <w:tcPr>
            <w:tcW w:w="1260"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正科级</w:t>
            </w:r>
          </w:p>
        </w:tc>
        <w:tc>
          <w:tcPr>
            <w:tcW w:w="3362"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财政拨款</w:t>
            </w:r>
          </w:p>
        </w:tc>
      </w:tr>
    </w:tbl>
    <w:p>
      <w:pPr>
        <w:ind w:firstLine="64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p>
    <w:p>
      <w:pPr>
        <w:pStyle w:val="9"/>
        <w:ind w:firstLine="640" w:firstLineChars="200"/>
        <w:rPr>
          <w:rFonts w:ascii="仿宋" w:hAnsi="仿宋" w:eastAsia="仿宋"/>
          <w:sz w:val="32"/>
          <w:szCs w:val="32"/>
          <w:lang w:eastAsia="zh-CN"/>
        </w:rPr>
      </w:pPr>
      <w:r>
        <w:rPr>
          <w:rFonts w:hint="eastAsia" w:ascii="仿宋" w:hAnsi="仿宋" w:eastAsia="仿宋" w:cs="仿宋_GB2312"/>
          <w:kern w:val="2"/>
          <w:sz w:val="32"/>
          <w:szCs w:val="32"/>
          <w:lang w:eastAsia="zh-CN"/>
        </w:rPr>
        <w:t>1、收入说明：</w:t>
      </w:r>
      <w:r>
        <w:rPr>
          <w:rFonts w:ascii="仿宋" w:hAnsi="仿宋" w:eastAsia="仿宋"/>
          <w:sz w:val="32"/>
          <w:szCs w:val="32"/>
          <w:lang w:eastAsia="zh-CN"/>
        </w:rPr>
        <w:t xml:space="preserve"> </w:t>
      </w:r>
    </w:p>
    <w:p>
      <w:pPr>
        <w:adjustRightInd w:val="0"/>
        <w:snapToGrid w:val="0"/>
        <w:spacing w:line="600" w:lineRule="exact"/>
        <w:jc w:val="left"/>
        <w:rPr>
          <w:rFonts w:ascii="仿宋" w:hAnsi="仿宋" w:eastAsia="仿宋" w:cs="仿宋_GB2312"/>
          <w:sz w:val="32"/>
          <w:szCs w:val="32"/>
        </w:rPr>
      </w:pPr>
      <w:r>
        <w:rPr>
          <w:rFonts w:ascii="仿宋" w:hAnsi="仿宋" w:eastAsia="仿宋" w:cs="仿宋_GB2312"/>
          <w:sz w:val="32"/>
          <w:szCs w:val="32"/>
        </w:rPr>
        <w:t xml:space="preserve">    </w:t>
      </w:r>
      <w:r>
        <w:rPr>
          <w:rFonts w:hint="eastAsia" w:ascii="仿宋" w:hAnsi="仿宋" w:eastAsia="仿宋" w:cs="仿宋_GB2312"/>
          <w:sz w:val="32"/>
          <w:szCs w:val="32"/>
        </w:rPr>
        <w:t>反应本部门当年全部收入，无极县公安交通警察大队2020年预算收入总计1570.78万元。其中，一般公共预算收入</w:t>
      </w:r>
      <w:r>
        <w:rPr>
          <w:rFonts w:ascii="仿宋" w:hAnsi="仿宋" w:eastAsia="仿宋" w:cs="仿宋_GB2312"/>
          <w:sz w:val="32"/>
          <w:szCs w:val="32"/>
        </w:rPr>
        <w:t xml:space="preserve"> 1</w:t>
      </w:r>
      <w:r>
        <w:rPr>
          <w:rFonts w:hint="eastAsia" w:ascii="仿宋" w:hAnsi="仿宋" w:eastAsia="仿宋" w:cs="仿宋_GB2312"/>
          <w:sz w:val="32"/>
          <w:szCs w:val="32"/>
        </w:rPr>
        <w:t>570.78</w:t>
      </w:r>
      <w:r>
        <w:rPr>
          <w:rFonts w:ascii="仿宋" w:hAnsi="仿宋" w:eastAsia="仿宋" w:cs="仿宋_GB2312"/>
          <w:sz w:val="32"/>
          <w:szCs w:val="32"/>
        </w:rPr>
        <w:t xml:space="preserve"> </w:t>
      </w:r>
      <w:r>
        <w:rPr>
          <w:rFonts w:hint="eastAsia" w:ascii="仿宋" w:hAnsi="仿宋" w:eastAsia="仿宋" w:cs="仿宋_GB2312"/>
          <w:sz w:val="32"/>
          <w:szCs w:val="32"/>
        </w:rPr>
        <w:t>万元、政府性基金收入</w:t>
      </w:r>
      <w:r>
        <w:rPr>
          <w:rFonts w:ascii="仿宋" w:hAnsi="仿宋" w:eastAsia="仿宋" w:cs="仿宋_GB2312"/>
          <w:sz w:val="32"/>
          <w:szCs w:val="32"/>
        </w:rPr>
        <w:t>0</w:t>
      </w:r>
      <w:r>
        <w:rPr>
          <w:rFonts w:hint="eastAsia" w:ascii="仿宋" w:hAnsi="仿宋" w:eastAsia="仿宋" w:cs="仿宋_GB2312"/>
          <w:sz w:val="32"/>
          <w:szCs w:val="32"/>
        </w:rPr>
        <w:t>万元、国有资本经营预算收入</w:t>
      </w:r>
      <w:r>
        <w:rPr>
          <w:rFonts w:ascii="仿宋" w:hAnsi="仿宋" w:eastAsia="仿宋" w:cs="仿宋_GB2312"/>
          <w:sz w:val="32"/>
          <w:szCs w:val="32"/>
        </w:rPr>
        <w:t>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w:t>
      </w:r>
      <w:r>
        <w:rPr>
          <w:rFonts w:ascii="仿宋" w:hAnsi="仿宋" w:eastAsia="仿宋" w:cs="仿宋_GB2312"/>
          <w:sz w:val="32"/>
          <w:szCs w:val="32"/>
        </w:rPr>
        <w:t>0</w:t>
      </w:r>
      <w:r>
        <w:rPr>
          <w:rFonts w:hint="eastAsia" w:ascii="仿宋" w:hAnsi="仿宋" w:eastAsia="仿宋" w:cs="仿宋_GB2312"/>
          <w:sz w:val="32"/>
          <w:szCs w:val="32"/>
        </w:rPr>
        <w:t>万元。</w:t>
      </w:r>
    </w:p>
    <w:p>
      <w:pPr>
        <w:pStyle w:val="9"/>
        <w:rPr>
          <w:rFonts w:ascii="仿宋" w:hAnsi="仿宋" w:eastAsia="仿宋" w:cs="仿宋_GB2312"/>
          <w:kern w:val="2"/>
          <w:sz w:val="32"/>
          <w:szCs w:val="32"/>
          <w:lang w:eastAsia="zh-CN"/>
        </w:rPr>
      </w:pPr>
      <w:r>
        <w:rPr>
          <w:rFonts w:ascii="仿宋" w:hAnsi="仿宋" w:eastAsia="仿宋" w:cs="仿宋_GB2312"/>
          <w:kern w:val="2"/>
          <w:sz w:val="32"/>
          <w:szCs w:val="32"/>
          <w:lang w:eastAsia="zh-CN"/>
        </w:rPr>
        <w:t xml:space="preserve">    </w:t>
      </w:r>
      <w:r>
        <w:rPr>
          <w:rFonts w:hint="eastAsia" w:ascii="仿宋" w:hAnsi="仿宋" w:eastAsia="仿宋" w:cs="仿宋_GB2312"/>
          <w:kern w:val="2"/>
          <w:sz w:val="32"/>
          <w:szCs w:val="32"/>
          <w:lang w:eastAsia="zh-CN"/>
        </w:rPr>
        <w:t>2、支出说明：</w:t>
      </w:r>
    </w:p>
    <w:p>
      <w:pPr>
        <w:adjustRightInd w:val="0"/>
        <w:snapToGrid w:val="0"/>
        <w:spacing w:line="600" w:lineRule="exact"/>
        <w:jc w:val="left"/>
        <w:rPr>
          <w:rFonts w:ascii="仿宋" w:hAnsi="仿宋" w:eastAsia="仿宋" w:cs="仿宋_GB2312"/>
          <w:sz w:val="32"/>
          <w:szCs w:val="32"/>
        </w:rPr>
      </w:pPr>
      <w:r>
        <w:rPr>
          <w:rFonts w:ascii="仿宋" w:hAnsi="仿宋" w:eastAsia="仿宋" w:cs="仿宋_GB2312"/>
          <w:sz w:val="32"/>
          <w:szCs w:val="32"/>
        </w:rPr>
        <w:t xml:space="preserve">    </w:t>
      </w:r>
      <w:r>
        <w:rPr>
          <w:rFonts w:hint="eastAsia" w:ascii="仿宋" w:hAnsi="仿宋" w:eastAsia="仿宋" w:cs="仿宋_GB2312"/>
          <w:sz w:val="32"/>
          <w:szCs w:val="32"/>
        </w:rPr>
        <w:t>收支预算总表支出栏、基本支出表、项目支出表按经济分类和支出功能分类科目编制，反应本部门年度部门预算中支出预算的总体情况。2020年预算支出1570.78万元。其中，人员经费支出228.68万元，正常公用经费360.20万元，项目支出981.90万元，全部为本级支出。</w:t>
      </w:r>
    </w:p>
    <w:p>
      <w:pPr>
        <w:ind w:firstLine="640"/>
        <w:rPr>
          <w:rFonts w:eastAsia="仿宋"/>
          <w:sz w:val="32"/>
          <w:szCs w:val="32"/>
        </w:rPr>
      </w:pPr>
      <w:r>
        <w:rPr>
          <w:rFonts w:hint="eastAsia" w:eastAsia="仿宋"/>
          <w:sz w:val="32"/>
          <w:szCs w:val="32"/>
        </w:rPr>
        <w:t>3、</w:t>
      </w:r>
      <w:r>
        <w:rPr>
          <w:rFonts w:eastAsia="仿宋"/>
          <w:sz w:val="32"/>
          <w:szCs w:val="32"/>
        </w:rPr>
        <w:t>比上年增减情况</w:t>
      </w:r>
    </w:p>
    <w:p>
      <w:pPr>
        <w:ind w:firstLine="640"/>
        <w:rPr>
          <w:rFonts w:eastAsia="仿宋"/>
          <w:sz w:val="32"/>
          <w:szCs w:val="32"/>
        </w:rPr>
      </w:pPr>
      <w:r>
        <w:rPr>
          <w:rFonts w:hint="eastAsia" w:eastAsia="仿宋"/>
          <w:color w:val="000000"/>
          <w:sz w:val="32"/>
          <w:szCs w:val="32"/>
        </w:rPr>
        <w:t>2020年部门预算收支安排</w:t>
      </w:r>
      <w:r>
        <w:rPr>
          <w:rFonts w:hint="eastAsia" w:eastAsia="仿宋"/>
          <w:sz w:val="32"/>
          <w:szCs w:val="32"/>
        </w:rPr>
        <w:t>1570.78</w:t>
      </w:r>
      <w:r>
        <w:rPr>
          <w:rFonts w:hint="eastAsia" w:eastAsia="仿宋"/>
          <w:color w:val="000000"/>
          <w:sz w:val="32"/>
          <w:szCs w:val="32"/>
        </w:rPr>
        <w:t>万元，</w:t>
      </w:r>
      <w:r>
        <w:rPr>
          <w:rFonts w:hint="eastAsia" w:eastAsia="仿宋"/>
          <w:sz w:val="32"/>
          <w:szCs w:val="32"/>
        </w:rPr>
        <w:t>较2019年增加233.16万元，其中：基本支出增加439.24万元；项目支出减少206.08万元，其他支出无增减变化。</w:t>
      </w:r>
    </w:p>
    <w:p>
      <w:pPr>
        <w:adjustRightInd w:val="0"/>
        <w:snapToGrid w:val="0"/>
        <w:spacing w:line="600" w:lineRule="exact"/>
        <w:jc w:val="left"/>
        <w:rPr>
          <w:rFonts w:ascii="仿宋" w:hAnsi="仿宋" w:eastAsia="仿宋" w:cs="仿宋_GB2312"/>
          <w:sz w:val="32"/>
          <w:szCs w:val="32"/>
        </w:rPr>
      </w:pPr>
    </w:p>
    <w:p>
      <w:pPr>
        <w:ind w:firstLine="640"/>
        <w:rPr>
          <w:rFonts w:ascii="黑体" w:hAnsi="黑体" w:eastAsia="黑体"/>
          <w:sz w:val="32"/>
          <w:szCs w:val="32"/>
        </w:rPr>
      </w:pPr>
      <w:r>
        <w:rPr>
          <w:rFonts w:hint="eastAsia" w:ascii="黑体" w:hAnsi="黑体" w:eastAsia="黑体"/>
          <w:sz w:val="32"/>
          <w:szCs w:val="32"/>
        </w:rPr>
        <w:t>三、机关运行经费安排情况</w:t>
      </w:r>
    </w:p>
    <w:p>
      <w:pPr>
        <w:adjustRightInd w:val="0"/>
        <w:snapToGrid w:val="0"/>
        <w:spacing w:line="600" w:lineRule="exact"/>
        <w:ind w:firstLine="640" w:firstLineChars="200"/>
        <w:jc w:val="left"/>
        <w:rPr>
          <w:rFonts w:ascii="仿宋" w:hAnsi="仿宋" w:eastAsia="仿宋" w:cs="仿宋_GB2312"/>
          <w:sz w:val="32"/>
          <w:szCs w:val="32"/>
        </w:rPr>
      </w:pPr>
      <w:r>
        <w:rPr>
          <w:rFonts w:ascii="仿宋" w:hAnsi="仿宋" w:eastAsia="仿宋" w:cs="仿宋_GB2312"/>
          <w:sz w:val="32"/>
          <w:szCs w:val="32"/>
        </w:rPr>
        <w:t>20</w:t>
      </w:r>
      <w:r>
        <w:rPr>
          <w:rFonts w:hint="eastAsia" w:ascii="仿宋" w:hAnsi="仿宋" w:eastAsia="仿宋" w:cs="仿宋_GB2312"/>
          <w:sz w:val="32"/>
          <w:szCs w:val="32"/>
        </w:rPr>
        <w:t>20年机关运行经费共计安排</w:t>
      </w:r>
      <w:r>
        <w:rPr>
          <w:rFonts w:ascii="仿宋" w:hAnsi="仿宋" w:eastAsia="仿宋" w:cs="仿宋_GB2312"/>
          <w:sz w:val="32"/>
          <w:szCs w:val="32"/>
        </w:rPr>
        <w:t xml:space="preserve"> </w:t>
      </w:r>
      <w:r>
        <w:rPr>
          <w:rFonts w:hint="eastAsia" w:ascii="仿宋" w:hAnsi="仿宋" w:eastAsia="仿宋" w:cs="仿宋_GB2312"/>
          <w:sz w:val="32"/>
          <w:szCs w:val="32"/>
        </w:rPr>
        <w:t>360.2万元。其中办公费90.9万元，水费0.66万元，电费16.34万元，邮电费13.58万元，办公取暖费18.81万元，差旅费4.57万元，维护费65.41万元，印刷费11.7万元，咨询费1.5万元，租赁费60万，专用材料费20.85万元，劳务费35万元，工会经费2.36万元，福利费1.7万元，党组织活动经费16.82万元。</w:t>
      </w:r>
    </w:p>
    <w:p>
      <w:pPr>
        <w:ind w:firstLine="640"/>
        <w:rPr>
          <w:rFonts w:ascii="黑体" w:hAnsi="黑体" w:eastAsia="黑体"/>
          <w:sz w:val="32"/>
          <w:szCs w:val="32"/>
        </w:rPr>
      </w:pPr>
      <w:r>
        <w:rPr>
          <w:rFonts w:hint="eastAsia" w:ascii="黑体" w:hAnsi="黑体" w:eastAsia="黑体"/>
          <w:sz w:val="32"/>
          <w:szCs w:val="32"/>
        </w:rPr>
        <w:t>四、财政拨款“三公”经费预算安排情况说明</w:t>
      </w:r>
    </w:p>
    <w:p>
      <w:pPr>
        <w:ind w:firstLine="640" w:firstLineChars="200"/>
        <w:rPr>
          <w:rFonts w:ascii="仿宋" w:hAnsi="仿宋" w:eastAsia="仿宋"/>
          <w:sz w:val="32"/>
          <w:szCs w:val="32"/>
        </w:rPr>
      </w:pPr>
      <w:r>
        <w:rPr>
          <w:rFonts w:ascii="仿宋" w:hAnsi="仿宋" w:eastAsia="仿宋"/>
          <w:sz w:val="32"/>
          <w:szCs w:val="32"/>
        </w:rPr>
        <w:t>20</w:t>
      </w:r>
      <w:r>
        <w:rPr>
          <w:rFonts w:hint="eastAsia" w:ascii="仿宋" w:hAnsi="仿宋" w:eastAsia="仿宋"/>
          <w:sz w:val="32"/>
          <w:szCs w:val="32"/>
        </w:rPr>
        <w:t>20年“三公”经费预算安排</w:t>
      </w:r>
      <w:r>
        <w:rPr>
          <w:rFonts w:ascii="仿宋" w:hAnsi="仿宋" w:eastAsia="仿宋"/>
          <w:sz w:val="32"/>
          <w:szCs w:val="32"/>
        </w:rPr>
        <w:t xml:space="preserve"> 0 </w:t>
      </w:r>
      <w:r>
        <w:rPr>
          <w:rFonts w:hint="eastAsia" w:ascii="仿宋" w:hAnsi="仿宋" w:eastAsia="仿宋"/>
          <w:sz w:val="32"/>
          <w:szCs w:val="32"/>
        </w:rPr>
        <w:t>万元，与上年持平无增减变化。其中：</w:t>
      </w:r>
    </w:p>
    <w:p>
      <w:pPr>
        <w:ind w:firstLine="640" w:firstLineChars="200"/>
        <w:outlineLvl w:val="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、因公出国经费预算</w:t>
      </w:r>
      <w:r>
        <w:rPr>
          <w:rFonts w:ascii="仿宋" w:hAnsi="仿宋" w:eastAsia="仿宋"/>
          <w:sz w:val="32"/>
          <w:szCs w:val="32"/>
        </w:rPr>
        <w:t>0</w:t>
      </w:r>
      <w:r>
        <w:rPr>
          <w:rFonts w:hint="eastAsia" w:ascii="仿宋" w:hAnsi="仿宋" w:eastAsia="仿宋"/>
          <w:sz w:val="32"/>
          <w:szCs w:val="32"/>
        </w:rPr>
        <w:t>万元；</w:t>
      </w:r>
    </w:p>
    <w:p>
      <w:pPr>
        <w:ind w:firstLine="640" w:firstLineChars="200"/>
        <w:outlineLvl w:val="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、公务车购置经费预算</w:t>
      </w:r>
      <w:r>
        <w:rPr>
          <w:rFonts w:ascii="仿宋" w:hAnsi="仿宋" w:eastAsia="仿宋"/>
          <w:sz w:val="32"/>
          <w:szCs w:val="32"/>
        </w:rPr>
        <w:t>0</w:t>
      </w:r>
      <w:r>
        <w:rPr>
          <w:rFonts w:hint="eastAsia" w:ascii="仿宋" w:hAnsi="仿宋" w:eastAsia="仿宋"/>
          <w:sz w:val="32"/>
          <w:szCs w:val="32"/>
        </w:rPr>
        <w:t>万元；公务车运行经费预算</w:t>
      </w:r>
      <w:r>
        <w:rPr>
          <w:rFonts w:ascii="仿宋" w:hAnsi="仿宋" w:eastAsia="仿宋"/>
          <w:sz w:val="32"/>
          <w:szCs w:val="32"/>
        </w:rPr>
        <w:t>0</w:t>
      </w:r>
      <w:r>
        <w:rPr>
          <w:rFonts w:hint="eastAsia" w:ascii="仿宋" w:hAnsi="仿宋" w:eastAsia="仿宋"/>
          <w:sz w:val="32"/>
          <w:szCs w:val="32"/>
        </w:rPr>
        <w:t>万元；</w:t>
      </w:r>
    </w:p>
    <w:p>
      <w:pPr>
        <w:autoSpaceDE w:val="0"/>
        <w:autoSpaceDN w:val="0"/>
        <w:adjustRightInd w:val="0"/>
        <w:ind w:firstLine="640" w:firstLineChars="200"/>
        <w:jc w:val="left"/>
        <w:rPr>
          <w:rFonts w:ascii="仿宋" w:hAnsi="仿宋" w:eastAsia="仿宋" w:cs="仿宋_GB2312"/>
          <w:sz w:val="32"/>
          <w:szCs w:val="32"/>
        </w:rPr>
      </w:pPr>
      <w:r>
        <w:rPr>
          <w:rFonts w:ascii="仿宋" w:hAnsi="仿宋" w:eastAsia="仿宋"/>
          <w:sz w:val="32"/>
          <w:szCs w:val="32"/>
        </w:rPr>
        <w:t>3</w:t>
      </w:r>
      <w:r>
        <w:rPr>
          <w:rFonts w:hint="eastAsia" w:ascii="仿宋" w:hAnsi="仿宋" w:eastAsia="仿宋"/>
          <w:sz w:val="32"/>
          <w:szCs w:val="32"/>
        </w:rPr>
        <w:t>、公务接待预算</w:t>
      </w:r>
      <w:r>
        <w:rPr>
          <w:rFonts w:ascii="仿宋" w:hAnsi="仿宋" w:eastAsia="仿宋"/>
          <w:sz w:val="32"/>
          <w:szCs w:val="32"/>
        </w:rPr>
        <w:t>0</w:t>
      </w:r>
      <w:r>
        <w:rPr>
          <w:rFonts w:hint="eastAsia" w:ascii="仿宋" w:hAnsi="仿宋" w:eastAsia="仿宋"/>
          <w:sz w:val="32"/>
          <w:szCs w:val="32"/>
        </w:rPr>
        <w:t>万元，均与上年持平</w:t>
      </w:r>
      <w:r>
        <w:rPr>
          <w:rFonts w:ascii="仿宋" w:hAnsi="仿宋" w:eastAsia="仿宋"/>
          <w:sz w:val="32"/>
          <w:szCs w:val="32"/>
        </w:rPr>
        <w:t>,</w:t>
      </w:r>
      <w:r>
        <w:rPr>
          <w:rFonts w:hint="eastAsia" w:ascii="仿宋" w:hAnsi="仿宋" w:eastAsia="仿宋"/>
          <w:sz w:val="32"/>
          <w:szCs w:val="32"/>
        </w:rPr>
        <w:t>无增减变化。</w:t>
      </w:r>
    </w:p>
    <w:p>
      <w:pPr>
        <w:ind w:firstLine="640"/>
        <w:rPr>
          <w:rFonts w:ascii="黑体" w:hAnsi="黑体" w:eastAsia="黑体"/>
          <w:sz w:val="32"/>
          <w:szCs w:val="32"/>
        </w:rPr>
      </w:pPr>
      <w:r>
        <w:rPr>
          <w:rFonts w:hint="eastAsia" w:ascii="黑体" w:hAnsi="黑体" w:eastAsia="黑体"/>
          <w:sz w:val="32"/>
          <w:szCs w:val="32"/>
        </w:rPr>
        <w:t>五、绩效预算信息</w:t>
      </w:r>
    </w:p>
    <w:p>
      <w:pPr>
        <w:ind w:firstLine="643" w:firstLineChars="200"/>
        <w:jc w:val="left"/>
        <w:rPr>
          <w:rFonts w:eastAsia="仿宋"/>
          <w:sz w:val="32"/>
          <w:szCs w:val="32"/>
        </w:rPr>
      </w:pPr>
      <w:r>
        <w:rPr>
          <w:rFonts w:hint="eastAsia" w:eastAsia="方正仿宋_GBK"/>
          <w:b/>
          <w:sz w:val="32"/>
          <w:szCs w:val="32"/>
        </w:rPr>
        <w:t>第一部分  部门整体绩效目标</w:t>
      </w:r>
    </w:p>
    <w:p>
      <w:pPr>
        <w:spacing w:line="500" w:lineRule="exact"/>
        <w:ind w:firstLine="643" w:firstLineChars="200"/>
        <w:jc w:val="left"/>
        <w:rPr>
          <w:rFonts w:eastAsia="方正仿宋_GBK"/>
          <w:b/>
          <w:sz w:val="32"/>
          <w:szCs w:val="32"/>
        </w:rPr>
      </w:pPr>
      <w:r>
        <w:rPr>
          <w:rFonts w:eastAsia="方正仿宋_GBK"/>
          <w:b/>
          <w:sz w:val="32"/>
          <w:szCs w:val="32"/>
        </w:rPr>
        <w:t>总体绩效目标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以习近平新时代中国特色社会主义思想为指导，深入学习贯彻落实党的十九大精神以及县委、县政府和上级公安重大决策部署，牢固树立”</w:t>
      </w:r>
      <w:r>
        <w:rPr>
          <w:rFonts w:hint="eastAsia" w:ascii="仿宋" w:hAnsi="仿宋" w:eastAsia="仿宋"/>
          <w:sz w:val="32"/>
          <w:szCs w:val="32"/>
          <w:lang w:eastAsia="zh-CN"/>
        </w:rPr>
        <w:t>以人为本</w:t>
      </w:r>
      <w:r>
        <w:rPr>
          <w:rFonts w:ascii="仿宋" w:hAnsi="仿宋" w:eastAsia="仿宋"/>
          <w:sz w:val="32"/>
          <w:szCs w:val="32"/>
        </w:rPr>
        <w:t>、生命至上“的发展理念，紧紧围绕”“防事故、保畅通、促和谐、保稳定”，以“智慧交管”建设抓手，深入推进道路交通安全综合整治，全力维护道路交通安全畅通，持续抓重点、补短板，以队伍建设为根本，以提高道路管控能力和安全水平为核心，以科技信息化建设应用和完善制度机制为保障，坚持改革创新、问题导向，实现民警现场执法达到总执法量15%以上，交通事故死亡人数比上年降低2%，全市不发生一次死亡3人以上重特大交通事故。</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分项绩效目标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1</w:t>
      </w:r>
      <w:r>
        <w:rPr>
          <w:rFonts w:ascii="仿宋" w:hAnsi="仿宋" w:eastAsia="仿宋"/>
          <w:sz w:val="32"/>
          <w:szCs w:val="32"/>
        </w:rPr>
        <w:t>）全市道路交通秩序管理工作稳步推进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推动城市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全市道路交通安全形势持续稳定。</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绩效指标：提升主干路机动车守法率和主要路口行人和非机动车守法率，全市交通违法现场查处率达到15%以上,全年酒驾醉驾、“三超一疲劳、涉牌涉证等严重交通违法行为查处量不少于近两年平均值的70%。</w:t>
      </w:r>
    </w:p>
    <w:p>
      <w:pPr>
        <w:spacing w:line="500" w:lineRule="exact"/>
        <w:ind w:firstLine="640" w:firstLineChars="200"/>
        <w:jc w:val="left"/>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2</w:t>
      </w:r>
      <w:r>
        <w:rPr>
          <w:rFonts w:ascii="仿宋" w:hAnsi="仿宋" w:eastAsia="仿宋"/>
          <w:sz w:val="32"/>
          <w:szCs w:val="32"/>
        </w:rPr>
        <w:t>）事故处理及预防能力整体提升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绩效目标：简易交通事故处理效率进一步提高，交通事故处理执法进一步规范，，当事人涉警投诉进一步减少，交通事故分析预防能力不断提升，道路交通安全隐患治理排查工作机制进一步完善。</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绩效指标：采用互联网+技术快速处理交通事故， 处理量占适用简易程序事故的10%以上，涉警执法不规范的事故信访案件控制在0起，对事故情况提出事故特点分析，预防对策每季度不少于一次，公安负责的道路交通安全隐患整治率不低于所有隐患的80%。</w:t>
      </w:r>
    </w:p>
    <w:p>
      <w:pPr>
        <w:spacing w:line="500" w:lineRule="exact"/>
        <w:ind w:firstLine="640" w:firstLineChars="200"/>
        <w:jc w:val="left"/>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3</w:t>
      </w:r>
      <w:r>
        <w:rPr>
          <w:rFonts w:ascii="仿宋" w:hAnsi="仿宋" w:eastAsia="仿宋"/>
          <w:sz w:val="32"/>
          <w:szCs w:val="32"/>
        </w:rPr>
        <w:t>）交通安全源头隐患治理高效</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生产经营单位交通安全源头隐患逐渐消除，监管手段和监管效能不断提升，生产经营单位落实道路交通安全主体责任不断增强，重大交通事故风险防控率不断提升，对重点车辆和驾驶人管理全面加强，“两客一危”重点车辆违法和事故率得到有效控制，企业道路交通隐患排查治理力度不断加强。</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绩效指标：对达到重点监管标准的道路运输企业纳入“源头监管服务平台”监管率达到95%以上，源头监管任务完成达到98%以上。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4</w:t>
      </w:r>
      <w:r>
        <w:rPr>
          <w:rFonts w:ascii="仿宋" w:hAnsi="仿宋" w:eastAsia="仿宋"/>
          <w:sz w:val="32"/>
          <w:szCs w:val="32"/>
        </w:rPr>
        <w:t>）机动车及驾驶人管理规范有序</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绩效目标：全市车辆核发、补换领号牌业务更加规范，便民利民力度不断增强，异地检车业务全面推广，“放管服”工作得到深入贯彻落实。</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绩效指标：新增车辆注册率和挂牌率达到100%，机动车和驾驶人互联网平台注册率达到50%以上。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5</w:t>
      </w:r>
      <w:r>
        <w:rPr>
          <w:rFonts w:ascii="仿宋" w:hAnsi="仿宋" w:eastAsia="仿宋"/>
          <w:sz w:val="32"/>
          <w:szCs w:val="32"/>
        </w:rPr>
        <w:t>）交通安全宣传教育水平全面提升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 文明交通宣传覆盖面继续扩大，文明交通建设持续推进，法律法规的解读和宣传、违法行为曝光警示力度加大；农村交通安全宣传教育及中小学生安全防护知识传播逐步普及；交通安全宣传的传播力、引导力、影响力、公信力明显上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 农村村镇宣传教育覆盖面超过60%，交管窗口宣传覆盖率80%以上。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6</w:t>
      </w:r>
      <w:r>
        <w:rPr>
          <w:rFonts w:ascii="仿宋" w:hAnsi="仿宋" w:eastAsia="仿宋"/>
          <w:sz w:val="32"/>
          <w:szCs w:val="32"/>
        </w:rPr>
        <w:t>）队伍建设与管理水平不断提高</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 干部民警的政策理论水平明显提高，骨干业务培训覆盖率不断扩大，交通管理执法办案、交通应急事件处置和群众工作、科技运用等能力水平进一步提高，干部民警职工政治觉悟政治定力不断增强。</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绩效指标：全县举办政治理论学习讲座不少于4次，一线交辅警培训覆盖率60%，骨干培训覆盖率达40%。</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工作保障措施</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组织领导。为全面推进预算绩效管理工作，我队成立由主要领导任组长的预算绩效工作领导小组，明确责任主体和内部绩效目标设置、监控、评价和审核的责任分工，细化工作方案，形成“一把手”亲自抓，分管副职具体抓的工作格局，全面落实各项绩效改革举措，将事前评估、目标管理、运行监控、绩效评价、结果运用有效融入预算管理的全过程。</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完善制度建设。集中组织各科室制定完善预算绩效管理制度、资金管理办法、工作保障制度等，为全年预算绩效目标的实现奠定制度基础。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加强支出管理。通过优化支出结构、编细编实预算、加快履行政府采购手续、尽快启动项目、及时支付资金、6月底前细化代编预算、按规定及时下达资金等多种措施，确保支出进度达标。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加强绩效运行监控。按要求开展绩效运行监控，发现问题及时采取措施，确保绩效目标如期保质实现。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做好绩效自评。按要求开展上年度部门预算绩效自评和重点评价工作，对评价中发现的问题及时整改，调整优化支出结构，提高财政资金使用效益。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规范财务资产管理。完善财务管理制度，严格审批程序，加强固定资产登记、使用和报废处置管理，做到支出合理，物尽其用。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line="500" w:lineRule="exact"/>
        <w:ind w:firstLine="643" w:firstLineChars="200"/>
        <w:jc w:val="left"/>
        <w:rPr>
          <w:rFonts w:ascii="仿宋" w:hAnsi="仿宋" w:eastAsia="仿宋" w:cs="仿宋_GB2312"/>
          <w:sz w:val="32"/>
          <w:szCs w:val="32"/>
        </w:rPr>
      </w:pPr>
      <w:r>
        <w:rPr>
          <w:rFonts w:hint="eastAsia" w:eastAsia="方正仿宋_GBK"/>
          <w:b/>
          <w:sz w:val="32"/>
          <w:szCs w:val="32"/>
        </w:rPr>
        <w:t>（二）预算项目绩效目标</w:t>
      </w:r>
      <w:r>
        <w:rPr>
          <w:rFonts w:eastAsia="方正仿宋_GBK"/>
          <w:b/>
          <w:sz w:val="32"/>
          <w:szCs w:val="32"/>
        </w:rPr>
        <w:t xml:space="preserve">  </w:t>
      </w:r>
      <w:r>
        <w:rPr>
          <w:rFonts w:ascii="仿宋" w:hAnsi="仿宋" w:eastAsia="仿宋" w:cs="仿宋_GB2312"/>
          <w:sz w:val="32"/>
          <w:szCs w:val="32"/>
        </w:rPr>
        <w:t xml:space="preserve">                         </w:t>
      </w:r>
    </w:p>
    <w:p>
      <w:pPr>
        <w:ind w:firstLine="643" w:firstLineChars="200"/>
        <w:jc w:val="left"/>
        <w:outlineLvl w:val="1"/>
        <w:rPr>
          <w:rFonts w:ascii="仿宋" w:hAnsi="仿宋" w:eastAsia="仿宋"/>
          <w:b/>
          <w:sz w:val="32"/>
          <w:szCs w:val="32"/>
        </w:rPr>
      </w:pPr>
      <w:r>
        <w:rPr>
          <w:rFonts w:hint="eastAsia" w:ascii="仿宋" w:hAnsi="仿宋" w:eastAsia="仿宋"/>
          <w:b/>
          <w:sz w:val="32"/>
          <w:szCs w:val="32"/>
        </w:rPr>
        <w:t>1、交警大队办公设备购置绩效目标表</w:t>
      </w:r>
      <w:r>
        <w:rPr>
          <w:rFonts w:ascii="仿宋" w:hAnsi="仿宋" w:eastAsia="仿宋"/>
          <w:b/>
          <w:sz w:val="32"/>
          <w:szCs w:val="32"/>
        </w:rPr>
        <w:fldChar w:fldCharType="begin"/>
      </w:r>
      <w:r>
        <w:rPr>
          <w:rFonts w:ascii="仿宋" w:hAnsi="仿宋" w:eastAsia="仿宋"/>
          <w:b/>
          <w:sz w:val="32"/>
          <w:szCs w:val="32"/>
        </w:rPr>
        <w:instrText xml:space="preserve"> </w:instrText>
      </w:r>
      <w:r>
        <w:rPr>
          <w:rFonts w:hint="eastAsia" w:ascii="仿宋" w:hAnsi="仿宋" w:eastAsia="仿宋"/>
          <w:b/>
          <w:sz w:val="32"/>
          <w:szCs w:val="32"/>
        </w:rPr>
        <w:instrText xml:space="preserve">TC </w:instrText>
      </w:r>
      <w:bookmarkStart w:id="0" w:name="_Toc34959044"/>
      <w:r>
        <w:rPr>
          <w:rFonts w:hint="eastAsia" w:ascii="仿宋" w:hAnsi="仿宋" w:eastAsia="仿宋"/>
          <w:b/>
          <w:sz w:val="32"/>
          <w:szCs w:val="32"/>
        </w:rPr>
        <w:instrText xml:space="preserve">1、交警大队办公设备购置绩效目标表</w:instrText>
      </w:r>
      <w:bookmarkEnd w:id="0"/>
      <w:r>
        <w:rPr>
          <w:rFonts w:hint="eastAsia" w:ascii="仿宋" w:hAnsi="仿宋" w:eastAsia="仿宋"/>
          <w:b/>
          <w:sz w:val="32"/>
          <w:szCs w:val="32"/>
        </w:rPr>
        <w:instrText xml:space="preserve"> \f C \l 1</w:instrText>
      </w:r>
      <w:r>
        <w:rPr>
          <w:rFonts w:ascii="仿宋" w:hAnsi="仿宋" w:eastAsia="仿宋"/>
          <w:b/>
          <w:sz w:val="32"/>
          <w:szCs w:val="32"/>
        </w:rPr>
        <w:instrText xml:space="preserve"> </w:instrText>
      </w:r>
      <w:r>
        <w:rPr>
          <w:rFonts w:ascii="仿宋" w:hAnsi="仿宋" w:eastAsia="仿宋"/>
          <w:b/>
          <w:sz w:val="32"/>
          <w:szCs w:val="32"/>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451-0101-JXN-WF2Q</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交警大队办公设备购置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50.00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50.00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25.00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50.00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75.00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ind w:firstLine="643" w:firstLineChars="200"/>
        <w:jc w:val="left"/>
        <w:outlineLvl w:val="1"/>
        <w:rPr>
          <w:rFonts w:ascii="仿宋" w:hAnsi="仿宋" w:eastAsia="仿宋"/>
          <w:b/>
          <w:sz w:val="32"/>
          <w:szCs w:val="32"/>
        </w:rPr>
      </w:pPr>
      <w:r>
        <w:rPr>
          <w:rFonts w:hint="eastAsia" w:ascii="仿宋" w:hAnsi="仿宋" w:eastAsia="仿宋"/>
          <w:b/>
          <w:sz w:val="32"/>
          <w:szCs w:val="32"/>
        </w:rPr>
        <w:t>2、交警大队车辆购置绩效目标表</w:t>
      </w:r>
      <w:r>
        <w:rPr>
          <w:rFonts w:ascii="仿宋" w:hAnsi="仿宋" w:eastAsia="仿宋"/>
          <w:b/>
          <w:sz w:val="32"/>
          <w:szCs w:val="32"/>
        </w:rPr>
        <w:fldChar w:fldCharType="begin"/>
      </w:r>
      <w:r>
        <w:rPr>
          <w:rFonts w:ascii="仿宋" w:hAnsi="仿宋" w:eastAsia="仿宋"/>
          <w:b/>
          <w:sz w:val="32"/>
          <w:szCs w:val="32"/>
        </w:rPr>
        <w:instrText xml:space="preserve"> </w:instrText>
      </w:r>
      <w:r>
        <w:rPr>
          <w:rFonts w:hint="eastAsia" w:ascii="仿宋" w:hAnsi="仿宋" w:eastAsia="仿宋"/>
          <w:b/>
          <w:sz w:val="32"/>
          <w:szCs w:val="32"/>
        </w:rPr>
        <w:instrText xml:space="preserve">TC </w:instrText>
      </w:r>
      <w:bookmarkStart w:id="1" w:name="_Toc34959045"/>
      <w:r>
        <w:rPr>
          <w:rFonts w:hint="eastAsia" w:ascii="仿宋" w:hAnsi="仿宋" w:eastAsia="仿宋"/>
          <w:b/>
          <w:sz w:val="32"/>
          <w:szCs w:val="32"/>
        </w:rPr>
        <w:instrText xml:space="preserve">2、交警大队车辆购置绩效目标表</w:instrText>
      </w:r>
      <w:bookmarkEnd w:id="1"/>
      <w:r>
        <w:rPr>
          <w:rFonts w:hint="eastAsia" w:ascii="仿宋" w:hAnsi="仿宋" w:eastAsia="仿宋"/>
          <w:b/>
          <w:sz w:val="32"/>
          <w:szCs w:val="32"/>
        </w:rPr>
        <w:instrText xml:space="preserve"> \f C \l 1</w:instrText>
      </w:r>
      <w:r>
        <w:rPr>
          <w:rFonts w:ascii="仿宋" w:hAnsi="仿宋" w:eastAsia="仿宋"/>
          <w:b/>
          <w:sz w:val="32"/>
          <w:szCs w:val="32"/>
        </w:rPr>
        <w:instrText xml:space="preserve"> </w:instrText>
      </w:r>
      <w:r>
        <w:rPr>
          <w:rFonts w:ascii="仿宋" w:hAnsi="仿宋" w:eastAsia="仿宋"/>
          <w:b/>
          <w:sz w:val="32"/>
          <w:szCs w:val="32"/>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451-0101-YXN-54VL</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交警大队车辆购置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19.90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19.90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维护全县的道路交通秩序，保障道路交通安全畅通。预防和处理交通事故。制止妨碍道路交通安全行为。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25.00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50.00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75.00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spacing w:line="300" w:lineRule="exact"/>
        <w:ind w:firstLine="420" w:firstLineChars="200"/>
        <w:jc w:val="left"/>
        <w:sectPr>
          <w:footerReference r:id="rId3" w:type="default"/>
          <w:pgSz w:w="11907" w:h="16839"/>
          <w:pgMar w:top="1984" w:right="1304" w:bottom="1134" w:left="1304" w:header="851" w:footer="992" w:gutter="0"/>
          <w:cols w:space="425" w:num="1"/>
          <w:docGrid w:type="lines" w:linePitch="312" w:charSpace="0"/>
        </w:sectPr>
      </w:pPr>
    </w:p>
    <w:p>
      <w:pPr>
        <w:ind w:firstLine="643" w:firstLineChars="200"/>
        <w:jc w:val="left"/>
        <w:outlineLvl w:val="1"/>
        <w:rPr>
          <w:rFonts w:ascii="仿宋" w:hAnsi="仿宋" w:eastAsia="仿宋"/>
          <w:b/>
          <w:sz w:val="32"/>
          <w:szCs w:val="32"/>
        </w:rPr>
      </w:pPr>
      <w:r>
        <w:rPr>
          <w:rFonts w:hint="eastAsia" w:ascii="仿宋" w:hAnsi="仿宋" w:eastAsia="仿宋"/>
          <w:b/>
          <w:sz w:val="32"/>
          <w:szCs w:val="32"/>
        </w:rPr>
        <w:t>3、交警大队道路划线工程绩效目标表</w:t>
      </w:r>
      <w:r>
        <w:rPr>
          <w:rFonts w:ascii="仿宋" w:hAnsi="仿宋" w:eastAsia="仿宋"/>
          <w:b/>
          <w:sz w:val="32"/>
          <w:szCs w:val="32"/>
        </w:rPr>
        <w:fldChar w:fldCharType="begin"/>
      </w:r>
      <w:r>
        <w:rPr>
          <w:rFonts w:ascii="仿宋" w:hAnsi="仿宋" w:eastAsia="仿宋"/>
          <w:b/>
          <w:sz w:val="32"/>
          <w:szCs w:val="32"/>
        </w:rPr>
        <w:instrText xml:space="preserve"> </w:instrText>
      </w:r>
      <w:r>
        <w:rPr>
          <w:rFonts w:hint="eastAsia" w:ascii="仿宋" w:hAnsi="仿宋" w:eastAsia="仿宋"/>
          <w:b/>
          <w:sz w:val="32"/>
          <w:szCs w:val="32"/>
        </w:rPr>
        <w:instrText xml:space="preserve">TC </w:instrText>
      </w:r>
      <w:bookmarkStart w:id="2" w:name="_Toc34959046"/>
      <w:r>
        <w:rPr>
          <w:rFonts w:hint="eastAsia" w:ascii="仿宋" w:hAnsi="仿宋" w:eastAsia="仿宋"/>
          <w:b/>
          <w:sz w:val="32"/>
          <w:szCs w:val="32"/>
        </w:rPr>
        <w:instrText xml:space="preserve">3、交警大队道路划线工程绩效目标表</w:instrText>
      </w:r>
      <w:bookmarkEnd w:id="2"/>
      <w:r>
        <w:rPr>
          <w:rFonts w:hint="eastAsia" w:ascii="仿宋" w:hAnsi="仿宋" w:eastAsia="仿宋"/>
          <w:b/>
          <w:sz w:val="32"/>
          <w:szCs w:val="32"/>
        </w:rPr>
        <w:instrText xml:space="preserve"> \f C \l 1</w:instrText>
      </w:r>
      <w:r>
        <w:rPr>
          <w:rFonts w:ascii="仿宋" w:hAnsi="仿宋" w:eastAsia="仿宋"/>
          <w:b/>
          <w:sz w:val="32"/>
          <w:szCs w:val="32"/>
        </w:rPr>
        <w:instrText xml:space="preserve"> </w:instrText>
      </w:r>
      <w:r>
        <w:rPr>
          <w:rFonts w:ascii="仿宋" w:hAnsi="仿宋" w:eastAsia="仿宋"/>
          <w:b/>
          <w:sz w:val="32"/>
          <w:szCs w:val="32"/>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451-0101-JXN-S69M</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交警大队道路划线工程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200.00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200.00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25.00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50.00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75.00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pStyle w:val="9"/>
        <w:ind w:firstLine="643" w:firstLineChars="200"/>
        <w:rPr>
          <w:rFonts w:ascii="仿宋" w:hAnsi="仿宋" w:eastAsia="仿宋"/>
          <w:b/>
          <w:sz w:val="32"/>
          <w:szCs w:val="32"/>
          <w:lang w:eastAsia="zh-CN"/>
        </w:rPr>
      </w:pPr>
      <w:r>
        <w:rPr>
          <w:rFonts w:hint="eastAsia" w:ascii="仿宋" w:hAnsi="仿宋" w:eastAsia="仿宋"/>
          <w:b/>
          <w:sz w:val="32"/>
          <w:szCs w:val="32"/>
          <w:lang w:eastAsia="zh-CN"/>
        </w:rPr>
        <w:t>4、交警大队服装购置绩效目标表</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451-0101-YXN-2E94</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交警大队服装购置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36.00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36.00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30.00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60.00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90.00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pStyle w:val="9"/>
        <w:ind w:firstLine="643" w:firstLineChars="200"/>
        <w:rPr>
          <w:rFonts w:ascii="仿宋" w:hAnsi="仿宋" w:eastAsia="仿宋"/>
          <w:b/>
          <w:sz w:val="32"/>
          <w:szCs w:val="32"/>
          <w:lang w:eastAsia="zh-CN"/>
        </w:rPr>
      </w:pPr>
      <w:r>
        <w:rPr>
          <w:rFonts w:hint="eastAsia" w:ascii="仿宋" w:hAnsi="仿宋" w:eastAsia="仿宋"/>
          <w:b/>
          <w:sz w:val="32"/>
          <w:szCs w:val="32"/>
          <w:lang w:eastAsia="zh-CN"/>
        </w:rPr>
        <w:t>5、交警大队暖气管道改造及房顶维修工程绩效目标表</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451-0101-YXN-EZC8</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交警大队暖气管道改造及房顶维修工程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160.00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160.00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30.00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60.00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90.00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643" w:firstLineChars="200"/>
        <w:jc w:val="left"/>
        <w:outlineLvl w:val="1"/>
        <w:rPr>
          <w:rFonts w:ascii="仿宋" w:hAnsi="仿宋" w:eastAsia="仿宋"/>
          <w:b/>
          <w:sz w:val="32"/>
          <w:szCs w:val="32"/>
        </w:rPr>
      </w:pPr>
      <w:r>
        <w:rPr>
          <w:rFonts w:hint="eastAsia" w:ascii="仿宋" w:hAnsi="仿宋" w:eastAsia="仿宋"/>
          <w:b/>
          <w:sz w:val="32"/>
          <w:szCs w:val="32"/>
        </w:rPr>
        <w:t>6、交警大队汽车维修燃油费绩效目标表</w:t>
      </w:r>
      <w:r>
        <w:rPr>
          <w:rFonts w:ascii="仿宋" w:hAnsi="仿宋" w:eastAsia="仿宋"/>
          <w:b/>
          <w:sz w:val="32"/>
          <w:szCs w:val="32"/>
        </w:rPr>
        <w:fldChar w:fldCharType="begin"/>
      </w:r>
      <w:r>
        <w:rPr>
          <w:rFonts w:ascii="仿宋" w:hAnsi="仿宋" w:eastAsia="仿宋"/>
          <w:b/>
          <w:sz w:val="32"/>
          <w:szCs w:val="32"/>
        </w:rPr>
        <w:instrText xml:space="preserve"> </w:instrText>
      </w:r>
      <w:r>
        <w:rPr>
          <w:rFonts w:hint="eastAsia" w:ascii="仿宋" w:hAnsi="仿宋" w:eastAsia="仿宋"/>
          <w:b/>
          <w:sz w:val="32"/>
          <w:szCs w:val="32"/>
        </w:rPr>
        <w:instrText xml:space="preserve">TC </w:instrText>
      </w:r>
      <w:bookmarkStart w:id="3" w:name="_Toc34959049"/>
      <w:r>
        <w:rPr>
          <w:rFonts w:hint="eastAsia" w:ascii="仿宋" w:hAnsi="仿宋" w:eastAsia="仿宋"/>
          <w:b/>
          <w:sz w:val="32"/>
          <w:szCs w:val="32"/>
        </w:rPr>
        <w:instrText xml:space="preserve">6、交警大队汽车维修燃油费绩效目标表</w:instrText>
      </w:r>
      <w:bookmarkEnd w:id="3"/>
      <w:r>
        <w:rPr>
          <w:rFonts w:hint="eastAsia" w:ascii="仿宋" w:hAnsi="仿宋" w:eastAsia="仿宋"/>
          <w:b/>
          <w:sz w:val="32"/>
          <w:szCs w:val="32"/>
        </w:rPr>
        <w:instrText xml:space="preserve"> \f C \l 1</w:instrText>
      </w:r>
      <w:r>
        <w:rPr>
          <w:rFonts w:ascii="仿宋" w:hAnsi="仿宋" w:eastAsia="仿宋"/>
          <w:b/>
          <w:sz w:val="32"/>
          <w:szCs w:val="32"/>
        </w:rPr>
        <w:instrText xml:space="preserve"> </w:instrText>
      </w:r>
      <w:r>
        <w:rPr>
          <w:rFonts w:ascii="仿宋" w:hAnsi="仿宋" w:eastAsia="仿宋"/>
          <w:b/>
          <w:sz w:val="32"/>
          <w:szCs w:val="32"/>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451-0101-YXN-CQN4</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交警大队汽车维修燃油费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68.00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68.00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25.00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50.00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75.00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、开展道路交通事故预防及专项治理工作，加大对严重违法行为的查究力度。</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、完成辖区道路交通管理工作任务</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pStyle w:val="9"/>
        <w:ind w:firstLine="643" w:firstLineChars="200"/>
        <w:rPr>
          <w:rFonts w:ascii="仿宋" w:hAnsi="仿宋" w:eastAsia="仿宋"/>
          <w:b/>
          <w:sz w:val="32"/>
          <w:szCs w:val="32"/>
          <w:lang w:eastAsia="zh-CN"/>
        </w:rPr>
      </w:pPr>
      <w:r>
        <w:rPr>
          <w:rFonts w:hint="eastAsia" w:ascii="仿宋" w:hAnsi="仿宋" w:eastAsia="仿宋"/>
          <w:b/>
          <w:sz w:val="32"/>
          <w:szCs w:val="32"/>
          <w:lang w:eastAsia="zh-CN"/>
        </w:rPr>
        <w:t>7、交警大队信号灯及抓拍设备安装工程绩效目标表</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451-0101-YXN-I2HV</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交警大队信号灯及抓拍设备安装工程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400.00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400.00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30.00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60.00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90.00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pStyle w:val="9"/>
        <w:ind w:firstLine="643" w:firstLineChars="200"/>
        <w:rPr>
          <w:rFonts w:ascii="仿宋" w:hAnsi="仿宋" w:eastAsia="仿宋"/>
          <w:b/>
          <w:sz w:val="32"/>
          <w:szCs w:val="32"/>
          <w:lang w:eastAsia="zh-CN"/>
        </w:rPr>
      </w:pPr>
      <w:r>
        <w:rPr>
          <w:rFonts w:hint="eastAsia" w:ascii="仿宋" w:hAnsi="仿宋" w:eastAsia="仿宋"/>
          <w:b/>
          <w:sz w:val="32"/>
          <w:szCs w:val="32"/>
          <w:lang w:eastAsia="zh-CN"/>
        </w:rPr>
        <w:t>8、提前下达2020年中央政法纪检监察转移支付资金绩效目标表</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项目编码</w:t>
            </w:r>
          </w:p>
        </w:tc>
        <w:tc>
          <w:tcPr>
            <w:tcW w:w="2410" w:type="dxa"/>
            <w:gridSpan w:val="2"/>
            <w:vAlign w:val="center"/>
          </w:tcPr>
          <w:p>
            <w:pPr>
              <w:spacing w:line="300" w:lineRule="exact"/>
              <w:jc w:val="left"/>
              <w:rPr>
                <w:rFonts w:ascii="仿宋" w:hAnsi="仿宋" w:eastAsia="仿宋"/>
                <w:sz w:val="32"/>
                <w:szCs w:val="32"/>
              </w:rPr>
            </w:pPr>
            <w:r>
              <w:rPr>
                <w:rFonts w:ascii="仿宋" w:hAnsi="仿宋" w:eastAsia="仿宋"/>
                <w:sz w:val="32"/>
                <w:szCs w:val="32"/>
              </w:rPr>
              <w:t>451-0101-YZN-G1YS</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项目名称</w:t>
            </w:r>
          </w:p>
        </w:tc>
        <w:tc>
          <w:tcPr>
            <w:tcW w:w="4281" w:type="dxa"/>
            <w:gridSpan w:val="3"/>
            <w:vAlign w:val="center"/>
          </w:tcPr>
          <w:p>
            <w:pPr>
              <w:spacing w:line="300" w:lineRule="exact"/>
              <w:jc w:val="left"/>
              <w:rPr>
                <w:rFonts w:ascii="仿宋" w:hAnsi="仿宋" w:eastAsia="仿宋"/>
                <w:sz w:val="32"/>
                <w:szCs w:val="32"/>
              </w:rPr>
            </w:pPr>
            <w:r>
              <w:rPr>
                <w:rFonts w:hint="eastAsia" w:ascii="仿宋" w:hAnsi="仿宋" w:eastAsia="仿宋"/>
                <w:sz w:val="32"/>
                <w:szCs w:val="32"/>
              </w:rPr>
              <w:t>提前下达</w:t>
            </w:r>
            <w:r>
              <w:rPr>
                <w:rFonts w:ascii="仿宋" w:hAnsi="仿宋" w:eastAsia="仿宋"/>
                <w:sz w:val="32"/>
                <w:szCs w:val="32"/>
              </w:rPr>
              <w:t>2020</w:t>
            </w:r>
            <w:r>
              <w:rPr>
                <w:rFonts w:hint="eastAsia" w:ascii="仿宋" w:hAnsi="仿宋" w:eastAsia="仿宋"/>
                <w:sz w:val="32"/>
                <w:szCs w:val="32"/>
              </w:rPr>
              <w:t>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预算规模及资金用途</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预算数</w:t>
            </w:r>
          </w:p>
        </w:tc>
        <w:tc>
          <w:tcPr>
            <w:tcW w:w="1276" w:type="dxa"/>
            <w:vAlign w:val="center"/>
          </w:tcPr>
          <w:p>
            <w:pPr>
              <w:spacing w:line="300" w:lineRule="exact"/>
              <w:jc w:val="left"/>
              <w:rPr>
                <w:rFonts w:ascii="仿宋" w:hAnsi="仿宋" w:eastAsia="仿宋"/>
                <w:sz w:val="32"/>
                <w:szCs w:val="32"/>
              </w:rPr>
            </w:pPr>
            <w:r>
              <w:rPr>
                <w:rFonts w:ascii="仿宋" w:hAnsi="仿宋" w:eastAsia="仿宋"/>
                <w:sz w:val="32"/>
                <w:szCs w:val="32"/>
              </w:rPr>
              <w:t>48.00</w:t>
            </w:r>
          </w:p>
        </w:tc>
        <w:tc>
          <w:tcPr>
            <w:tcW w:w="1587"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其中：财政资金</w:t>
            </w:r>
          </w:p>
        </w:tc>
        <w:tc>
          <w:tcPr>
            <w:tcW w:w="1304" w:type="dxa"/>
            <w:vAlign w:val="center"/>
          </w:tcPr>
          <w:p>
            <w:pPr>
              <w:spacing w:line="300" w:lineRule="exact"/>
              <w:jc w:val="left"/>
              <w:rPr>
                <w:rFonts w:ascii="仿宋" w:hAnsi="仿宋" w:eastAsia="仿宋"/>
                <w:sz w:val="32"/>
                <w:szCs w:val="32"/>
              </w:rPr>
            </w:pPr>
            <w:r>
              <w:rPr>
                <w:rFonts w:ascii="仿宋" w:hAnsi="仿宋" w:eastAsia="仿宋"/>
                <w:sz w:val="32"/>
                <w:szCs w:val="32"/>
              </w:rPr>
              <w:t>48.00</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其他资金</w:t>
            </w:r>
          </w:p>
        </w:tc>
        <w:tc>
          <w:tcPr>
            <w:tcW w:w="1701" w:type="dxa"/>
            <w:vAlign w:val="center"/>
          </w:tcPr>
          <w:p>
            <w:pPr>
              <w:spacing w:line="300" w:lineRule="exact"/>
              <w:jc w:val="left"/>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sz w:val="32"/>
                <w:szCs w:val="32"/>
              </w:rPr>
            </w:pPr>
          </w:p>
        </w:tc>
        <w:tc>
          <w:tcPr>
            <w:tcW w:w="8278" w:type="dxa"/>
            <w:gridSpan w:val="6"/>
            <w:vAlign w:val="center"/>
          </w:tcPr>
          <w:p>
            <w:pPr>
              <w:spacing w:line="300" w:lineRule="exact"/>
              <w:jc w:val="left"/>
              <w:rPr>
                <w:rFonts w:ascii="仿宋" w:hAnsi="仿宋" w:eastAsia="仿宋"/>
                <w:sz w:val="32"/>
                <w:szCs w:val="32"/>
              </w:rPr>
            </w:pPr>
            <w:r>
              <w:rPr>
                <w:rFonts w:hint="eastAsia" w:ascii="仿宋" w:hAnsi="仿宋" w:eastAsia="仿宋"/>
                <w:sz w:val="32"/>
                <w:szCs w:val="32"/>
              </w:rPr>
              <w:t>日常业务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资金支出计划（</w:t>
            </w:r>
            <w:r>
              <w:rPr>
                <w:rFonts w:ascii="仿宋" w:hAnsi="仿宋" w:eastAsia="仿宋"/>
                <w:b/>
                <w:sz w:val="32"/>
                <w:szCs w:val="32"/>
              </w:rPr>
              <w:t>%</w:t>
            </w:r>
            <w:r>
              <w:rPr>
                <w:rFonts w:hint="eastAsia" w:ascii="仿宋" w:hAnsi="仿宋" w:eastAsia="仿宋"/>
                <w:b/>
                <w:sz w:val="32"/>
                <w:szCs w:val="32"/>
              </w:rPr>
              <w:t>）</w:t>
            </w:r>
          </w:p>
        </w:tc>
        <w:tc>
          <w:tcPr>
            <w:tcW w:w="2410"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月底</w:t>
            </w:r>
          </w:p>
        </w:tc>
        <w:tc>
          <w:tcPr>
            <w:tcW w:w="1587" w:type="dxa"/>
            <w:vAlign w:val="center"/>
          </w:tcPr>
          <w:p>
            <w:pPr>
              <w:spacing w:line="300" w:lineRule="exact"/>
              <w:jc w:val="center"/>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月底</w:t>
            </w:r>
          </w:p>
        </w:tc>
        <w:tc>
          <w:tcPr>
            <w:tcW w:w="1304" w:type="dxa"/>
            <w:vAlign w:val="center"/>
          </w:tcPr>
          <w:p>
            <w:pPr>
              <w:spacing w:line="300" w:lineRule="exact"/>
              <w:jc w:val="center"/>
              <w:rPr>
                <w:rFonts w:ascii="仿宋" w:hAnsi="仿宋" w:eastAsia="仿宋"/>
                <w:b/>
                <w:sz w:val="32"/>
                <w:szCs w:val="32"/>
              </w:rPr>
            </w:pPr>
            <w:r>
              <w:rPr>
                <w:rFonts w:ascii="仿宋" w:hAnsi="仿宋" w:eastAsia="仿宋"/>
                <w:b/>
                <w:sz w:val="32"/>
                <w:szCs w:val="32"/>
              </w:rPr>
              <w:t>10</w:t>
            </w:r>
            <w:r>
              <w:rPr>
                <w:rFonts w:hint="eastAsia" w:ascii="仿宋" w:hAnsi="仿宋" w:eastAsia="仿宋"/>
                <w:b/>
                <w:sz w:val="32"/>
                <w:szCs w:val="32"/>
              </w:rPr>
              <w:t>月底</w:t>
            </w:r>
          </w:p>
        </w:tc>
        <w:tc>
          <w:tcPr>
            <w:tcW w:w="2977" w:type="dxa"/>
            <w:gridSpan w:val="2"/>
            <w:vAlign w:val="center"/>
          </w:tcPr>
          <w:p>
            <w:pPr>
              <w:spacing w:line="300" w:lineRule="exact"/>
              <w:jc w:val="center"/>
              <w:rPr>
                <w:rFonts w:ascii="仿宋" w:hAnsi="仿宋" w:eastAsia="仿宋"/>
                <w:b/>
                <w:sz w:val="32"/>
                <w:szCs w:val="32"/>
              </w:rPr>
            </w:pPr>
            <w:r>
              <w:rPr>
                <w:rFonts w:ascii="仿宋" w:hAnsi="仿宋" w:eastAsia="仿宋"/>
                <w:b/>
                <w:sz w:val="32"/>
                <w:szCs w:val="32"/>
              </w:rPr>
              <w:t>12</w:t>
            </w:r>
            <w:r>
              <w:rPr>
                <w:rFonts w:hint="eastAsia" w:ascii="仿宋" w:hAnsi="仿宋" w:eastAsia="仿宋"/>
                <w:b/>
                <w:sz w:val="32"/>
                <w:szCs w:val="32"/>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30.00</w:t>
            </w:r>
          </w:p>
        </w:tc>
        <w:tc>
          <w:tcPr>
            <w:tcW w:w="1587"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70.00</w:t>
            </w:r>
          </w:p>
        </w:tc>
        <w:tc>
          <w:tcPr>
            <w:tcW w:w="1304" w:type="dxa"/>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c>
          <w:tcPr>
            <w:tcW w:w="2977" w:type="dxa"/>
            <w:gridSpan w:val="2"/>
            <w:tcBorders>
              <w:bottom w:val="single" w:color="000000" w:sz="6" w:space="0"/>
            </w:tcBorders>
            <w:vAlign w:val="center"/>
          </w:tcPr>
          <w:p>
            <w:pPr>
              <w:spacing w:line="300" w:lineRule="exact"/>
              <w:jc w:val="center"/>
              <w:rPr>
                <w:rFonts w:ascii="仿宋" w:hAnsi="仿宋" w:eastAsia="仿宋"/>
                <w:sz w:val="32"/>
                <w:szCs w:val="32"/>
              </w:rPr>
            </w:pPr>
            <w:r>
              <w:rPr>
                <w:rFonts w:ascii="仿宋" w:hAnsi="仿宋" w:eastAsia="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、完成辖区道路交通管理工作任务</w:t>
            </w:r>
          </w:p>
          <w:p>
            <w:pPr>
              <w:spacing w:line="300" w:lineRule="exact"/>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、开展道路交通事故预防及专项治理工作，加大对严重违法行为的查究力度。</w:t>
            </w:r>
          </w:p>
        </w:tc>
      </w:tr>
    </w:tbl>
    <w:p>
      <w:pPr>
        <w:spacing w:line="14" w:lineRule="exact"/>
        <w:ind w:firstLine="640" w:firstLineChars="200"/>
        <w:jc w:val="center"/>
        <w:rPr>
          <w:rFonts w:ascii="仿宋" w:hAnsi="仿宋" w:eastAsia="仿宋"/>
          <w:sz w:val="32"/>
          <w:szCs w:val="32"/>
        </w:rPr>
      </w:pPr>
      <w:r>
        <w:rPr>
          <w:rFonts w:ascii="仿宋" w:hAnsi="仿宋" w:eastAsia="仿宋"/>
          <w:sz w:val="32"/>
          <w:szCs w:val="32"/>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一级指标</w:t>
            </w:r>
          </w:p>
        </w:tc>
        <w:tc>
          <w:tcPr>
            <w:tcW w:w="1134"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二级指标</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三级指标</w:t>
            </w:r>
          </w:p>
        </w:tc>
        <w:tc>
          <w:tcPr>
            <w:tcW w:w="289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绩效指标描述</w:t>
            </w:r>
          </w:p>
        </w:tc>
        <w:tc>
          <w:tcPr>
            <w:tcW w:w="1276"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w:t>
            </w:r>
          </w:p>
        </w:tc>
        <w:tc>
          <w:tcPr>
            <w:tcW w:w="1701" w:type="dxa"/>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产出指标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质量指标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交通肇事逃逸案件侦破率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已侦破交通肇事逃逸案件占交通肇事逃逸案件比率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效果指标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社会效益指标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重大事故降低率</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重大交通事故比上年同期下降比率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4%</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sz w:val="32"/>
                <w:szCs w:val="32"/>
              </w:rPr>
            </w:pPr>
            <w:r>
              <w:rPr>
                <w:rFonts w:hint="eastAsia" w:ascii="仿宋" w:hAnsi="仿宋" w:eastAsia="仿宋"/>
                <w:sz w:val="32"/>
                <w:szCs w:val="32"/>
              </w:rPr>
              <w:t>满意度指标</w:t>
            </w:r>
          </w:p>
        </w:tc>
        <w:tc>
          <w:tcPr>
            <w:tcW w:w="1134"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服务对象满意度指标</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交通监测系统群众满意度群众满意</w:t>
            </w:r>
          </w:p>
        </w:tc>
        <w:tc>
          <w:tcPr>
            <w:tcW w:w="289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通过抽查问卷的方式，调查部分群众对交通监测系统的满意度</w:t>
            </w:r>
          </w:p>
        </w:tc>
        <w:tc>
          <w:tcPr>
            <w:tcW w:w="127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1701"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《中华人民共和国道路交通安全法》、《中华人民共和国道路交通安全法实施条例》、</w:t>
            </w:r>
            <w:r>
              <w:rPr>
                <w:rFonts w:hint="eastAsia" w:ascii="仿宋" w:hAnsi="仿宋" w:eastAsia="仿宋"/>
                <w:sz w:val="32"/>
                <w:szCs w:val="32"/>
                <w:lang w:eastAsia="zh-CN"/>
              </w:rPr>
              <w:t>《中华人民共和国行政许可法》</w:t>
            </w:r>
            <w:r>
              <w:rPr>
                <w:rFonts w:hint="eastAsia" w:ascii="仿宋" w:hAnsi="仿宋" w:eastAsia="仿宋"/>
                <w:sz w:val="32"/>
                <w:szCs w:val="32"/>
              </w:rPr>
              <w:t>、《机动车驾驶证申领和使用规定》（公安部</w:t>
            </w:r>
            <w:r>
              <w:rPr>
                <w:rFonts w:ascii="仿宋" w:hAnsi="仿宋" w:eastAsia="仿宋"/>
                <w:sz w:val="32"/>
                <w:szCs w:val="32"/>
              </w:rPr>
              <w:t>123</w:t>
            </w:r>
            <w:r>
              <w:rPr>
                <w:rFonts w:hint="eastAsia" w:ascii="仿宋" w:hAnsi="仿宋" w:eastAsia="仿宋"/>
                <w:sz w:val="32"/>
                <w:szCs w:val="32"/>
              </w:rPr>
              <w:t>号令》《机动车登记规定》（公安部</w:t>
            </w:r>
            <w:r>
              <w:rPr>
                <w:rFonts w:ascii="仿宋" w:hAnsi="仿宋" w:eastAsia="仿宋"/>
                <w:sz w:val="32"/>
                <w:szCs w:val="32"/>
              </w:rPr>
              <w:t>124</w:t>
            </w:r>
            <w:r>
              <w:rPr>
                <w:rFonts w:hint="eastAsia" w:ascii="仿宋" w:hAnsi="仿宋" w:eastAsia="仿宋"/>
                <w:sz w:val="32"/>
                <w:szCs w:val="32"/>
              </w:rPr>
              <w:t>号令）</w:t>
            </w:r>
          </w:p>
        </w:tc>
      </w:tr>
    </w:tbl>
    <w:p>
      <w:pPr>
        <w:pStyle w:val="9"/>
        <w:ind w:firstLine="640" w:firstLineChars="200"/>
        <w:rPr>
          <w:rFonts w:ascii="仿宋" w:hAnsi="仿宋" w:eastAsia="仿宋" w:cs="仿宋_GB2312"/>
          <w:kern w:val="2"/>
          <w:sz w:val="32"/>
          <w:szCs w:val="32"/>
          <w:lang w:eastAsia="zh-CN"/>
        </w:rPr>
      </w:pPr>
    </w:p>
    <w:p>
      <w:pPr>
        <w:pStyle w:val="9"/>
        <w:ind w:firstLine="640" w:firstLineChars="200"/>
        <w:rPr>
          <w:rFonts w:ascii="仿宋" w:hAnsi="仿宋" w:eastAsia="仿宋" w:cs="仿宋_GB2312"/>
          <w:kern w:val="2"/>
          <w:sz w:val="32"/>
          <w:szCs w:val="32"/>
          <w:lang w:eastAsia="zh-CN"/>
        </w:rPr>
      </w:pPr>
    </w:p>
    <w:p>
      <w:pPr>
        <w:numPr>
          <w:ilvl w:val="0"/>
          <w:numId w:val="1"/>
        </w:num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cs="仿宋_GB2312"/>
          <w:sz w:val="32"/>
          <w:szCs w:val="32"/>
        </w:rPr>
        <w:t>政府采购预算情况</w:t>
      </w:r>
    </w:p>
    <w:p>
      <w:pPr>
        <w:autoSpaceDE w:val="0"/>
        <w:autoSpaceDN w:val="0"/>
        <w:adjustRightInd w:val="0"/>
        <w:jc w:val="left"/>
        <w:rPr>
          <w:rFonts w:ascii="仿宋" w:hAnsi="仿宋" w:eastAsia="仿宋" w:cs="仿宋_GB2312"/>
          <w:sz w:val="32"/>
          <w:szCs w:val="32"/>
        </w:rPr>
      </w:pPr>
      <w:r>
        <w:rPr>
          <w:rFonts w:ascii="仿宋" w:hAnsi="仿宋" w:eastAsia="仿宋" w:cs="仿宋_GB2312"/>
          <w:sz w:val="32"/>
          <w:szCs w:val="32"/>
        </w:rPr>
        <w:t xml:space="preserve">    20</w:t>
      </w:r>
      <w:r>
        <w:rPr>
          <w:rFonts w:hint="eastAsia" w:ascii="仿宋" w:hAnsi="仿宋" w:eastAsia="仿宋" w:cs="仿宋_GB2312"/>
          <w:sz w:val="32"/>
          <w:szCs w:val="32"/>
        </w:rPr>
        <w:t>20年我单位安排政府采购预算金额为981.9万元</w:t>
      </w:r>
    </w:p>
    <w:p>
      <w:pPr>
        <w:ind w:firstLine="640" w:firstLineChars="200"/>
        <w:jc w:val="center"/>
        <w:outlineLvl w:val="0"/>
        <w:rPr>
          <w:rFonts w:hAnsi="宋体"/>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sz w:val="32"/>
          <w:szCs w:val="32"/>
        </w:rPr>
        <w:instrText xml:space="preserve">tc "</w:instrText>
      </w:r>
      <w:bookmarkStart w:id="4" w:name="_Toc28848395"/>
      <w:r>
        <w:rPr>
          <w:rFonts w:hint="eastAsia" w:ascii="方正小标宋_GBK" w:eastAsia="方正小标宋_GBK" w:cs="方正小标宋_GBK"/>
          <w:sz w:val="32"/>
          <w:szCs w:val="32"/>
        </w:rPr>
        <w:instrText xml:space="preserve">部门政府采购预算</w:instrText>
      </w:r>
      <w:bookmarkEnd w:id="4"/>
      <w:r>
        <w:rPr>
          <w:rFonts w:ascii="方正小标宋_GBK" w:eastAsia="方正小标宋_GBK"/>
          <w:sz w:val="32"/>
          <w:szCs w:val="32"/>
        </w:rPr>
        <w:instrText xml:space="preserve">" \f A \l 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end"/>
      </w:r>
    </w:p>
    <w:tbl>
      <w:tblPr>
        <w:tblStyle w:val="4"/>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b/>
                <w:sz w:val="32"/>
                <w:szCs w:val="32"/>
              </w:rPr>
            </w:pPr>
            <w:r>
              <w:rPr>
                <w:rFonts w:ascii="仿宋" w:hAnsi="仿宋" w:eastAsia="仿宋"/>
                <w:b/>
                <w:sz w:val="32"/>
                <w:szCs w:val="32"/>
              </w:rPr>
              <w:t>451002</w:t>
            </w:r>
            <w:r>
              <w:rPr>
                <w:rFonts w:hint="eastAsia" w:ascii="仿宋" w:hAnsi="仿宋" w:eastAsia="仿宋"/>
                <w:b/>
                <w:sz w:val="32"/>
                <w:szCs w:val="32"/>
              </w:rPr>
              <w:t>无极县公安交通警察大队</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bCs/>
              </w:rPr>
            </w:pPr>
            <w:r>
              <w:rPr>
                <w:rFonts w:hint="eastAsia" w:ascii="方正书宋_GBK" w:eastAsia="方正书宋_GBK" w:cs="方正书宋_GBK"/>
                <w:b/>
                <w:bCs/>
              </w:rPr>
              <w:t>政府采购项目来源</w:t>
            </w:r>
          </w:p>
        </w:tc>
        <w:tc>
          <w:tcPr>
            <w:tcW w:w="1559"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采购物品名称</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政府采购目录序号</w:t>
            </w:r>
          </w:p>
        </w:tc>
        <w:tc>
          <w:tcPr>
            <w:tcW w:w="709"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计量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5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数量</w:t>
            </w:r>
          </w:p>
        </w:tc>
        <w:tc>
          <w:tcPr>
            <w:tcW w:w="992"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单价</w:t>
            </w:r>
          </w:p>
        </w:tc>
        <w:tc>
          <w:tcPr>
            <w:tcW w:w="5854" w:type="dxa"/>
            <w:gridSpan w:val="6"/>
            <w:vAlign w:val="center"/>
          </w:tcPr>
          <w:p>
            <w:pPr>
              <w:spacing w:line="300" w:lineRule="exact"/>
              <w:jc w:val="center"/>
              <w:rPr>
                <w:rFonts w:ascii="方正书宋_GBK" w:eastAsia="方正书宋_GBK"/>
                <w:b/>
                <w:bCs/>
              </w:rPr>
            </w:pPr>
            <w:r>
              <w:rPr>
                <w:rFonts w:hint="eastAsia" w:ascii="方正书宋_GBK" w:eastAsia="方正书宋_GBK" w:cs="方正书宋_GBK"/>
                <w:b/>
                <w:bCs/>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项目名称</w:t>
            </w:r>
          </w:p>
        </w:tc>
        <w:tc>
          <w:tcPr>
            <w:tcW w:w="1134"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预算资金</w:t>
            </w:r>
          </w:p>
        </w:tc>
        <w:tc>
          <w:tcPr>
            <w:tcW w:w="1559" w:type="dxa"/>
            <w:vMerge w:val="continue"/>
            <w:vAlign w:val="center"/>
          </w:tcPr>
          <w:p>
            <w:pPr>
              <w:spacing w:line="300" w:lineRule="exact"/>
              <w:jc w:val="left"/>
              <w:outlineLvl w:val="0"/>
              <w:rPr>
                <w:rFonts w:eastAsia="方正仿宋_GBK"/>
                <w:sz w:val="28"/>
                <w:szCs w:val="28"/>
              </w:rPr>
            </w:pPr>
          </w:p>
        </w:tc>
        <w:tc>
          <w:tcPr>
            <w:tcW w:w="1417" w:type="dxa"/>
            <w:vMerge w:val="continue"/>
            <w:vAlign w:val="center"/>
          </w:tcPr>
          <w:p>
            <w:pPr>
              <w:spacing w:line="300" w:lineRule="exact"/>
              <w:jc w:val="left"/>
              <w:outlineLvl w:val="0"/>
              <w:rPr>
                <w:rFonts w:eastAsia="方正仿宋_GBK"/>
                <w:sz w:val="28"/>
                <w:szCs w:val="28"/>
              </w:rPr>
            </w:pPr>
          </w:p>
        </w:tc>
        <w:tc>
          <w:tcPr>
            <w:tcW w:w="709" w:type="dxa"/>
            <w:vMerge w:val="continue"/>
            <w:vAlign w:val="center"/>
          </w:tcPr>
          <w:p>
            <w:pPr>
              <w:spacing w:line="300" w:lineRule="exact"/>
              <w:jc w:val="left"/>
              <w:outlineLvl w:val="0"/>
              <w:rPr>
                <w:rFonts w:eastAsia="方正仿宋_GBK"/>
                <w:sz w:val="28"/>
                <w:szCs w:val="28"/>
              </w:rPr>
            </w:pPr>
          </w:p>
        </w:tc>
        <w:tc>
          <w:tcPr>
            <w:tcW w:w="851" w:type="dxa"/>
            <w:vMerge w:val="continue"/>
            <w:vAlign w:val="center"/>
          </w:tcPr>
          <w:p>
            <w:pPr>
              <w:spacing w:line="300" w:lineRule="exact"/>
              <w:jc w:val="left"/>
              <w:outlineLvl w:val="0"/>
              <w:rPr>
                <w:rFonts w:eastAsia="方正仿宋_GBK"/>
                <w:sz w:val="28"/>
                <w:szCs w:val="28"/>
              </w:rPr>
            </w:pPr>
          </w:p>
        </w:tc>
        <w:tc>
          <w:tcPr>
            <w:tcW w:w="992" w:type="dxa"/>
            <w:vMerge w:val="continue"/>
            <w:vAlign w:val="center"/>
          </w:tcPr>
          <w:p>
            <w:pPr>
              <w:spacing w:line="300" w:lineRule="exact"/>
              <w:jc w:val="left"/>
              <w:outlineLvl w:val="0"/>
              <w:rPr>
                <w:rFonts w:eastAsia="方正仿宋_GBK"/>
                <w:sz w:val="28"/>
                <w:szCs w:val="28"/>
              </w:rPr>
            </w:pPr>
          </w:p>
        </w:tc>
        <w:tc>
          <w:tcPr>
            <w:tcW w:w="992"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合计</w:t>
            </w:r>
          </w:p>
        </w:tc>
        <w:tc>
          <w:tcPr>
            <w:tcW w:w="992"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一般公共预算拨款</w:t>
            </w:r>
          </w:p>
        </w:tc>
        <w:tc>
          <w:tcPr>
            <w:tcW w:w="993"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基金预算拨款</w:t>
            </w:r>
          </w:p>
        </w:tc>
        <w:tc>
          <w:tcPr>
            <w:tcW w:w="1134"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国有资本经营预算拨款</w:t>
            </w:r>
          </w:p>
        </w:tc>
        <w:tc>
          <w:tcPr>
            <w:tcW w:w="850"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财政专户核拨</w:t>
            </w:r>
          </w:p>
        </w:tc>
        <w:tc>
          <w:tcPr>
            <w:tcW w:w="893"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合　计</w:t>
            </w:r>
          </w:p>
        </w:tc>
        <w:tc>
          <w:tcPr>
            <w:tcW w:w="1134" w:type="dxa"/>
            <w:vAlign w:val="center"/>
          </w:tcPr>
          <w:p>
            <w:pPr>
              <w:spacing w:line="300" w:lineRule="exact"/>
              <w:jc w:val="right"/>
              <w:rPr>
                <w:rFonts w:ascii="方正书宋_GBK" w:eastAsia="方正书宋_GBK"/>
                <w:b/>
                <w:bCs/>
              </w:rPr>
            </w:pPr>
          </w:p>
        </w:tc>
        <w:tc>
          <w:tcPr>
            <w:tcW w:w="1559" w:type="dxa"/>
            <w:vAlign w:val="center"/>
          </w:tcPr>
          <w:p>
            <w:pPr>
              <w:spacing w:line="300" w:lineRule="exact"/>
              <w:jc w:val="left"/>
              <w:rPr>
                <w:rFonts w:ascii="方正书宋_GBK" w:eastAsia="方正书宋_GBK"/>
                <w:b/>
                <w:bCs/>
              </w:rPr>
            </w:pPr>
          </w:p>
        </w:tc>
        <w:tc>
          <w:tcPr>
            <w:tcW w:w="1417" w:type="dxa"/>
            <w:vAlign w:val="center"/>
          </w:tcPr>
          <w:p>
            <w:pPr>
              <w:spacing w:line="300" w:lineRule="exact"/>
              <w:jc w:val="left"/>
              <w:rPr>
                <w:rFonts w:ascii="方正书宋_GBK" w:eastAsia="方正书宋_GBK"/>
                <w:b/>
                <w:bCs/>
              </w:rPr>
            </w:pPr>
          </w:p>
        </w:tc>
        <w:tc>
          <w:tcPr>
            <w:tcW w:w="709" w:type="dxa"/>
            <w:vAlign w:val="center"/>
          </w:tcPr>
          <w:p>
            <w:pPr>
              <w:spacing w:line="300" w:lineRule="exact"/>
              <w:jc w:val="left"/>
              <w:rPr>
                <w:rFonts w:ascii="方正书宋_GBK" w:eastAsia="方正书宋_GBK"/>
                <w:b/>
                <w:bCs/>
              </w:rPr>
            </w:pPr>
          </w:p>
        </w:tc>
        <w:tc>
          <w:tcPr>
            <w:tcW w:w="851" w:type="dxa"/>
            <w:vAlign w:val="center"/>
          </w:tcPr>
          <w:p>
            <w:pPr>
              <w:spacing w:line="300" w:lineRule="exact"/>
              <w:jc w:val="right"/>
              <w:rPr>
                <w:rFonts w:ascii="方正书宋_GBK" w:eastAsia="方正书宋_GBK"/>
                <w:b/>
                <w:bCs/>
              </w:rPr>
            </w:pPr>
          </w:p>
        </w:tc>
        <w:tc>
          <w:tcPr>
            <w:tcW w:w="992" w:type="dxa"/>
            <w:vAlign w:val="center"/>
          </w:tcPr>
          <w:p>
            <w:pPr>
              <w:spacing w:line="300" w:lineRule="exact"/>
              <w:jc w:val="right"/>
              <w:rPr>
                <w:rFonts w:ascii="方正书宋_GBK" w:eastAsia="方正书宋_GBK"/>
                <w:b/>
                <w:bCs/>
              </w:rPr>
            </w:pPr>
          </w:p>
        </w:tc>
        <w:tc>
          <w:tcPr>
            <w:tcW w:w="992" w:type="dxa"/>
            <w:vAlign w:val="center"/>
          </w:tcPr>
          <w:p>
            <w:pPr>
              <w:adjustRightInd w:val="0"/>
              <w:snapToGrid w:val="0"/>
              <w:jc w:val="right"/>
              <w:rPr>
                <w:rFonts w:ascii="方正书宋_GBK" w:hAnsi="宋体" w:eastAsia="方正书宋_GBK"/>
                <w:b/>
                <w:bCs/>
                <w:color w:val="000000"/>
              </w:rPr>
            </w:pPr>
            <w:r>
              <w:rPr>
                <w:rFonts w:hint="eastAsia" w:ascii="方正书宋_GBK" w:eastAsia="方正书宋_GBK" w:cs="方正书宋_GBK"/>
                <w:b/>
                <w:bCs/>
                <w:color w:val="000000"/>
              </w:rPr>
              <w:t>981.9</w:t>
            </w:r>
          </w:p>
        </w:tc>
        <w:tc>
          <w:tcPr>
            <w:tcW w:w="992" w:type="dxa"/>
            <w:vAlign w:val="center"/>
          </w:tcPr>
          <w:p>
            <w:pPr>
              <w:adjustRightInd w:val="0"/>
              <w:snapToGrid w:val="0"/>
              <w:jc w:val="right"/>
              <w:rPr>
                <w:rFonts w:ascii="方正书宋_GBK" w:hAnsi="宋体" w:eastAsia="方正书宋_GBK"/>
                <w:b/>
                <w:bCs/>
                <w:color w:val="000000"/>
              </w:rPr>
            </w:pPr>
            <w:r>
              <w:rPr>
                <w:rFonts w:hint="eastAsia" w:ascii="方正书宋_GBK" w:eastAsia="方正书宋_GBK" w:cs="方正书宋_GBK"/>
                <w:b/>
                <w:bCs/>
                <w:color w:val="000000"/>
              </w:rPr>
              <w:t>981.9</w:t>
            </w:r>
          </w:p>
        </w:tc>
        <w:tc>
          <w:tcPr>
            <w:tcW w:w="993" w:type="dxa"/>
            <w:vAlign w:val="center"/>
          </w:tcPr>
          <w:p>
            <w:pPr>
              <w:spacing w:line="300" w:lineRule="exact"/>
              <w:jc w:val="right"/>
              <w:rPr>
                <w:rFonts w:ascii="方正书宋_GBK" w:eastAsia="方正书宋_GBK"/>
                <w:b/>
                <w:bCs/>
              </w:rPr>
            </w:pPr>
          </w:p>
        </w:tc>
        <w:tc>
          <w:tcPr>
            <w:tcW w:w="1134" w:type="dxa"/>
            <w:vAlign w:val="center"/>
          </w:tcPr>
          <w:p>
            <w:pPr>
              <w:spacing w:line="300" w:lineRule="exact"/>
              <w:jc w:val="right"/>
              <w:rPr>
                <w:rFonts w:ascii="方正书宋_GBK" w:eastAsia="方正书宋_GBK"/>
                <w:b/>
                <w:bCs/>
              </w:rPr>
            </w:pPr>
          </w:p>
        </w:tc>
        <w:tc>
          <w:tcPr>
            <w:tcW w:w="850" w:type="dxa"/>
            <w:vAlign w:val="center"/>
          </w:tcPr>
          <w:p>
            <w:pPr>
              <w:spacing w:line="300" w:lineRule="exact"/>
              <w:jc w:val="right"/>
              <w:rPr>
                <w:rFonts w:ascii="方正书宋_GBK" w:eastAsia="方正书宋_GBK"/>
                <w:b/>
                <w:bCs/>
              </w:rPr>
            </w:pPr>
          </w:p>
        </w:tc>
        <w:tc>
          <w:tcPr>
            <w:tcW w:w="893" w:type="dxa"/>
            <w:vAlign w:val="center"/>
          </w:tcPr>
          <w:p>
            <w:pPr>
              <w:spacing w:line="300" w:lineRule="exact"/>
              <w:jc w:val="right"/>
              <w:rPr>
                <w:rFonts w:ascii="方正书宋_GBK" w:eastAsia="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小计</w:t>
            </w:r>
          </w:p>
        </w:tc>
        <w:tc>
          <w:tcPr>
            <w:tcW w:w="1134" w:type="dxa"/>
            <w:vAlign w:val="center"/>
          </w:tcPr>
          <w:p>
            <w:pPr>
              <w:spacing w:line="300" w:lineRule="exact"/>
              <w:jc w:val="right"/>
              <w:rPr>
                <w:rFonts w:ascii="方正书宋_GBK" w:eastAsia="方正书宋_GBK"/>
                <w:b/>
                <w:bCs/>
              </w:rPr>
            </w:pPr>
            <w:r>
              <w:rPr>
                <w:rFonts w:hint="eastAsia" w:ascii="方正书宋_GBK" w:eastAsia="方正书宋_GBK"/>
                <w:b/>
                <w:bCs/>
              </w:rPr>
              <w:t>981.6</w:t>
            </w:r>
          </w:p>
        </w:tc>
        <w:tc>
          <w:tcPr>
            <w:tcW w:w="1559" w:type="dxa"/>
            <w:vAlign w:val="center"/>
          </w:tcPr>
          <w:p>
            <w:pPr>
              <w:spacing w:line="300" w:lineRule="exact"/>
              <w:jc w:val="left"/>
              <w:rPr>
                <w:rFonts w:ascii="方正书宋_GBK" w:eastAsia="方正书宋_GBK"/>
                <w:b/>
                <w:bCs/>
              </w:rPr>
            </w:pPr>
          </w:p>
        </w:tc>
        <w:tc>
          <w:tcPr>
            <w:tcW w:w="1417" w:type="dxa"/>
            <w:vAlign w:val="center"/>
          </w:tcPr>
          <w:p>
            <w:pPr>
              <w:spacing w:line="300" w:lineRule="exact"/>
              <w:jc w:val="left"/>
              <w:rPr>
                <w:rFonts w:ascii="方正书宋_GBK" w:eastAsia="方正书宋_GBK"/>
                <w:b/>
                <w:bCs/>
              </w:rPr>
            </w:pPr>
          </w:p>
        </w:tc>
        <w:tc>
          <w:tcPr>
            <w:tcW w:w="709" w:type="dxa"/>
            <w:vAlign w:val="center"/>
          </w:tcPr>
          <w:p>
            <w:pPr>
              <w:spacing w:line="300" w:lineRule="exact"/>
              <w:jc w:val="left"/>
              <w:rPr>
                <w:rFonts w:ascii="方正书宋_GBK" w:eastAsia="方正书宋_GBK"/>
                <w:b/>
                <w:bCs/>
              </w:rPr>
            </w:pPr>
          </w:p>
        </w:tc>
        <w:tc>
          <w:tcPr>
            <w:tcW w:w="851" w:type="dxa"/>
            <w:vAlign w:val="center"/>
          </w:tcPr>
          <w:p>
            <w:pPr>
              <w:spacing w:line="300" w:lineRule="exact"/>
              <w:jc w:val="right"/>
              <w:rPr>
                <w:rFonts w:ascii="方正书宋_GBK" w:eastAsia="方正书宋_GBK"/>
                <w:b/>
                <w:bCs/>
              </w:rPr>
            </w:pPr>
          </w:p>
        </w:tc>
        <w:tc>
          <w:tcPr>
            <w:tcW w:w="992" w:type="dxa"/>
            <w:vAlign w:val="center"/>
          </w:tcPr>
          <w:p>
            <w:pPr>
              <w:spacing w:line="300" w:lineRule="exact"/>
              <w:jc w:val="right"/>
              <w:rPr>
                <w:rFonts w:ascii="方正书宋_GBK" w:eastAsia="方正书宋_GBK"/>
                <w:b/>
                <w:bCs/>
              </w:rPr>
            </w:pPr>
          </w:p>
        </w:tc>
        <w:tc>
          <w:tcPr>
            <w:tcW w:w="992" w:type="dxa"/>
            <w:vAlign w:val="center"/>
          </w:tcPr>
          <w:p>
            <w:pPr>
              <w:adjustRightInd w:val="0"/>
              <w:snapToGrid w:val="0"/>
              <w:jc w:val="right"/>
              <w:rPr>
                <w:rFonts w:ascii="方正书宋_GBK" w:hAnsi="宋体" w:eastAsia="方正书宋_GBK"/>
                <w:b/>
                <w:bCs/>
                <w:color w:val="000000"/>
              </w:rPr>
            </w:pPr>
            <w:r>
              <w:rPr>
                <w:rFonts w:hint="eastAsia" w:ascii="方正书宋_GBK" w:eastAsia="方正书宋_GBK" w:cs="方正书宋_GBK"/>
                <w:b/>
                <w:bCs/>
                <w:color w:val="000000"/>
              </w:rPr>
              <w:t>981.9</w:t>
            </w:r>
          </w:p>
        </w:tc>
        <w:tc>
          <w:tcPr>
            <w:tcW w:w="992" w:type="dxa"/>
            <w:vAlign w:val="center"/>
          </w:tcPr>
          <w:p>
            <w:pPr>
              <w:adjustRightInd w:val="0"/>
              <w:snapToGrid w:val="0"/>
              <w:jc w:val="right"/>
              <w:rPr>
                <w:rFonts w:ascii="方正书宋_GBK" w:hAnsi="宋体" w:eastAsia="方正书宋_GBK"/>
                <w:b/>
                <w:bCs/>
                <w:color w:val="000000"/>
              </w:rPr>
            </w:pPr>
            <w:r>
              <w:rPr>
                <w:rFonts w:hint="eastAsia" w:ascii="方正书宋_GBK" w:eastAsia="方正书宋_GBK" w:cs="方正书宋_GBK"/>
                <w:b/>
                <w:bCs/>
                <w:color w:val="000000"/>
              </w:rPr>
              <w:t>981.9</w:t>
            </w:r>
          </w:p>
        </w:tc>
        <w:tc>
          <w:tcPr>
            <w:tcW w:w="993" w:type="dxa"/>
            <w:vAlign w:val="center"/>
          </w:tcPr>
          <w:p>
            <w:pPr>
              <w:spacing w:line="300" w:lineRule="exact"/>
              <w:jc w:val="right"/>
              <w:rPr>
                <w:rFonts w:ascii="方正书宋_GBK" w:eastAsia="方正书宋_GBK"/>
                <w:b/>
                <w:bCs/>
              </w:rPr>
            </w:pPr>
          </w:p>
        </w:tc>
        <w:tc>
          <w:tcPr>
            <w:tcW w:w="1134" w:type="dxa"/>
            <w:vAlign w:val="center"/>
          </w:tcPr>
          <w:p>
            <w:pPr>
              <w:spacing w:line="300" w:lineRule="exact"/>
              <w:jc w:val="right"/>
              <w:rPr>
                <w:rFonts w:ascii="方正书宋_GBK" w:eastAsia="方正书宋_GBK"/>
                <w:b/>
                <w:bCs/>
              </w:rPr>
            </w:pPr>
          </w:p>
        </w:tc>
        <w:tc>
          <w:tcPr>
            <w:tcW w:w="850" w:type="dxa"/>
            <w:vAlign w:val="center"/>
          </w:tcPr>
          <w:p>
            <w:pPr>
              <w:spacing w:line="300" w:lineRule="exact"/>
              <w:jc w:val="right"/>
              <w:rPr>
                <w:rFonts w:ascii="方正书宋_GBK" w:eastAsia="方正书宋_GBK"/>
                <w:b/>
                <w:bCs/>
              </w:rPr>
            </w:pPr>
          </w:p>
        </w:tc>
        <w:tc>
          <w:tcPr>
            <w:tcW w:w="893" w:type="dxa"/>
            <w:vAlign w:val="center"/>
          </w:tcPr>
          <w:p>
            <w:pPr>
              <w:spacing w:line="300" w:lineRule="exact"/>
              <w:jc w:val="right"/>
              <w:rPr>
                <w:rFonts w:ascii="方正书宋_GBK" w:eastAsia="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交警大队办公设备购置</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50</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办公设备</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50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50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50</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交警大队车辆购置</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19.9</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车辆</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辆</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3.00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6.63</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19.9</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19.9</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交警大队道路划线工程</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200</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工程服务</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200</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交警大队服装购置</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36</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服装</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36</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36</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36</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交警大队暖气管道改造及房顶维修工程</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160</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改造维修服务</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160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160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160</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交警大队汽车维修燃油费</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68</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维修服务及燃油</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68</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68</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68</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仿宋" w:hAnsi="仿宋" w:eastAsia="仿宋"/>
                <w:sz w:val="32"/>
                <w:szCs w:val="32"/>
              </w:rPr>
              <w:t>交警大队信号灯及抓拍设备安装工程</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400</w:t>
            </w:r>
          </w:p>
        </w:tc>
        <w:tc>
          <w:tcPr>
            <w:tcW w:w="1559" w:type="dxa"/>
            <w:vAlign w:val="center"/>
          </w:tcPr>
          <w:p>
            <w:pPr>
              <w:spacing w:line="300" w:lineRule="exact"/>
              <w:jc w:val="left"/>
              <w:rPr>
                <w:rFonts w:ascii="方正书宋_GBK" w:eastAsia="方正书宋_GBK"/>
              </w:rPr>
            </w:pPr>
            <w:r>
              <w:rPr>
                <w:rFonts w:hint="eastAsia" w:ascii="方正书宋_GBK" w:eastAsia="方正书宋_GBK" w:cs="方正书宋_GBK"/>
              </w:rPr>
              <w:t>安装工程服务</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400</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 w:hAnsi="仿宋" w:eastAsia="仿宋"/>
                <w:sz w:val="32"/>
                <w:szCs w:val="32"/>
              </w:rPr>
            </w:pPr>
            <w:r>
              <w:rPr>
                <w:rFonts w:hint="eastAsia" w:ascii="仿宋" w:hAnsi="仿宋" w:eastAsia="仿宋"/>
                <w:sz w:val="32"/>
                <w:szCs w:val="32"/>
              </w:rPr>
              <w:t>提前下达</w:t>
            </w:r>
            <w:r>
              <w:rPr>
                <w:rFonts w:ascii="仿宋" w:hAnsi="仿宋" w:eastAsia="仿宋"/>
                <w:sz w:val="32"/>
                <w:szCs w:val="32"/>
              </w:rPr>
              <w:t>2020</w:t>
            </w:r>
            <w:r>
              <w:rPr>
                <w:rFonts w:hint="eastAsia" w:ascii="仿宋" w:hAnsi="仿宋" w:eastAsia="仿宋"/>
                <w:sz w:val="32"/>
                <w:szCs w:val="32"/>
              </w:rPr>
              <w:t>年中央政法纪检监察转移支付资金</w:t>
            </w:r>
          </w:p>
        </w:tc>
        <w:tc>
          <w:tcPr>
            <w:tcW w:w="1134"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48</w:t>
            </w:r>
          </w:p>
        </w:tc>
        <w:tc>
          <w:tcPr>
            <w:tcW w:w="155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安装工程服务</w:t>
            </w:r>
          </w:p>
        </w:tc>
        <w:tc>
          <w:tcPr>
            <w:tcW w:w="1417" w:type="dxa"/>
            <w:vAlign w:val="center"/>
          </w:tcPr>
          <w:p>
            <w:pPr>
              <w:spacing w:line="300" w:lineRule="exact"/>
              <w:jc w:val="left"/>
              <w:rPr>
                <w:rFonts w:ascii="方正书宋_GBK" w:eastAsia="方正书宋_GBK" w:cs="方正书宋_GBK"/>
              </w:rPr>
            </w:pPr>
          </w:p>
        </w:tc>
        <w:tc>
          <w:tcPr>
            <w:tcW w:w="709"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年</w:t>
            </w:r>
          </w:p>
        </w:tc>
        <w:tc>
          <w:tcPr>
            <w:tcW w:w="85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1.00</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48</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48</w:t>
            </w:r>
          </w:p>
        </w:tc>
        <w:tc>
          <w:tcPr>
            <w:tcW w:w="992"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rPr>
              <w:t>48</w:t>
            </w:r>
          </w:p>
        </w:tc>
        <w:tc>
          <w:tcPr>
            <w:tcW w:w="993" w:type="dxa"/>
            <w:vAlign w:val="center"/>
          </w:tcPr>
          <w:p>
            <w:pPr>
              <w:spacing w:line="300" w:lineRule="exact"/>
              <w:jc w:val="right"/>
              <w:rPr>
                <w:rFonts w:ascii="方正书宋_GBK" w:eastAsia="方正书宋_GBK" w:cs="方正书宋_GBK"/>
              </w:rPr>
            </w:pPr>
          </w:p>
        </w:tc>
        <w:tc>
          <w:tcPr>
            <w:tcW w:w="1134" w:type="dxa"/>
            <w:vAlign w:val="center"/>
          </w:tcPr>
          <w:p>
            <w:pPr>
              <w:spacing w:line="300" w:lineRule="exact"/>
              <w:jc w:val="right"/>
              <w:rPr>
                <w:rFonts w:ascii="方正书宋_GBK" w:eastAsia="方正书宋_GBK" w:cs="方正书宋_GBK"/>
              </w:rPr>
            </w:pPr>
          </w:p>
        </w:tc>
        <w:tc>
          <w:tcPr>
            <w:tcW w:w="850" w:type="dxa"/>
            <w:vAlign w:val="center"/>
          </w:tcPr>
          <w:p>
            <w:pPr>
              <w:spacing w:line="300" w:lineRule="exact"/>
              <w:jc w:val="right"/>
              <w:rPr>
                <w:rFonts w:ascii="方正书宋_GBK" w:eastAsia="方正书宋_GBK" w:cs="方正书宋_GBK"/>
              </w:rPr>
            </w:pPr>
          </w:p>
        </w:tc>
        <w:tc>
          <w:tcPr>
            <w:tcW w:w="893" w:type="dxa"/>
            <w:vAlign w:val="center"/>
          </w:tcPr>
          <w:p>
            <w:pPr>
              <w:spacing w:line="300" w:lineRule="exact"/>
              <w:jc w:val="right"/>
              <w:rPr>
                <w:rFonts w:ascii="方正书宋_GBK" w:eastAsia="方正书宋_GBK" w:cs="方正书宋_GBK"/>
              </w:rPr>
            </w:pPr>
          </w:p>
        </w:tc>
      </w:tr>
    </w:tbl>
    <w:p>
      <w:pPr>
        <w:autoSpaceDE w:val="0"/>
        <w:autoSpaceDN w:val="0"/>
        <w:adjustRightInd w:val="0"/>
        <w:jc w:val="left"/>
        <w:rPr>
          <w:rFonts w:ascii="仿宋" w:hAnsi="仿宋" w:eastAsia="仿宋" w:cs="仿宋_GB2312"/>
          <w:sz w:val="32"/>
          <w:szCs w:val="32"/>
        </w:rPr>
      </w:pP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上年末固定资产金额为2669.83万元（详见下表）。本年度拟购置固定资产金额为</w:t>
      </w:r>
      <w:r>
        <w:rPr>
          <w:rFonts w:ascii="仿宋" w:hAnsi="仿宋" w:eastAsia="仿宋" w:cs="仿宋"/>
          <w:sz w:val="32"/>
          <w:szCs w:val="32"/>
        </w:rPr>
        <w:t>5</w:t>
      </w:r>
      <w:r>
        <w:rPr>
          <w:rFonts w:hint="eastAsia" w:ascii="仿宋" w:hAnsi="仿宋" w:eastAsia="仿宋" w:cs="仿宋"/>
          <w:sz w:val="32"/>
          <w:szCs w:val="32"/>
        </w:rPr>
        <w:t>1</w:t>
      </w:r>
      <w:r>
        <w:rPr>
          <w:rFonts w:ascii="仿宋" w:hAnsi="仿宋" w:eastAsia="仿宋" w:cs="仿宋"/>
          <w:sz w:val="32"/>
          <w:szCs w:val="32"/>
        </w:rPr>
        <w:t>7</w:t>
      </w:r>
      <w:r>
        <w:rPr>
          <w:rFonts w:hint="eastAsia" w:ascii="仿宋" w:hAnsi="仿宋" w:eastAsia="仿宋" w:cs="仿宋"/>
          <w:sz w:val="32"/>
          <w:szCs w:val="32"/>
        </w:rPr>
        <w:t>.</w:t>
      </w:r>
      <w:r>
        <w:rPr>
          <w:rFonts w:ascii="仿宋" w:hAnsi="仿宋" w:eastAsia="仿宋" w:cs="仿宋"/>
          <w:sz w:val="32"/>
          <w:szCs w:val="32"/>
        </w:rPr>
        <w:t>9</w:t>
      </w:r>
      <w:r>
        <w:rPr>
          <w:rFonts w:hint="eastAsia" w:ascii="仿宋" w:hAnsi="仿宋" w:eastAsia="仿宋" w:cs="仿宋"/>
          <w:sz w:val="32"/>
          <w:szCs w:val="32"/>
        </w:rPr>
        <w:t>万元</w:t>
      </w:r>
      <w:r>
        <w:rPr>
          <w:rFonts w:ascii="仿宋" w:hAnsi="仿宋" w:eastAsia="仿宋" w:cs="仿宋"/>
          <w:sz w:val="32"/>
          <w:szCs w:val="32"/>
        </w:rPr>
        <w:t>已列入政府采购预算表</w:t>
      </w:r>
      <w:r>
        <w:rPr>
          <w:rFonts w:hint="eastAsia" w:ascii="仿宋" w:hAnsi="仿宋" w:eastAsia="仿宋" w:cs="仿宋"/>
          <w:sz w:val="32"/>
          <w:szCs w:val="32"/>
        </w:rPr>
        <w:t>，详见政府采购预算表。</w:t>
      </w:r>
    </w:p>
    <w:tbl>
      <w:tblPr>
        <w:tblStyle w:val="4"/>
        <w:tblW w:w="10605" w:type="dxa"/>
        <w:tblInd w:w="19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570"/>
        <w:gridCol w:w="2100"/>
        <w:gridCol w:w="49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0605" w:type="dxa"/>
            <w:gridSpan w:val="3"/>
            <w:tcBorders>
              <w:top w:val="nil"/>
              <w:left w:val="nil"/>
              <w:bottom w:val="nil"/>
              <w:right w:val="nil"/>
            </w:tcBorders>
            <w:vAlign w:val="center"/>
          </w:tcPr>
          <w:p>
            <w:pPr>
              <w:widowControl/>
              <w:jc w:val="center"/>
              <w:rPr>
                <w:rFonts w:ascii="仿宋" w:hAnsi="仿宋" w:eastAsia="仿宋"/>
                <w:b/>
                <w:bCs/>
                <w:kern w:val="0"/>
                <w:sz w:val="32"/>
                <w:szCs w:val="32"/>
              </w:rPr>
            </w:pPr>
            <w:r>
              <w:rPr>
                <w:rFonts w:hint="eastAsia" w:ascii="仿宋" w:hAnsi="仿宋" w:eastAsia="仿宋" w:cs="宋体"/>
                <w:b/>
                <w:bCs/>
                <w:kern w:val="0"/>
                <w:sz w:val="32"/>
                <w:szCs w:val="32"/>
              </w:rPr>
              <w:t>无极县公安交通警察大队固定资产占用情况表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670" w:type="dxa"/>
            <w:gridSpan w:val="2"/>
            <w:tcBorders>
              <w:top w:val="nil"/>
              <w:left w:val="nil"/>
              <w:bottom w:val="nil"/>
              <w:right w:val="nil"/>
            </w:tcBorders>
            <w:vAlign w:val="center"/>
          </w:tcPr>
          <w:p>
            <w:pPr>
              <w:widowControl/>
              <w:jc w:val="left"/>
              <w:rPr>
                <w:rFonts w:ascii="仿宋" w:hAnsi="仿宋" w:eastAsia="仿宋"/>
                <w:kern w:val="0"/>
                <w:sz w:val="32"/>
                <w:szCs w:val="32"/>
              </w:rPr>
            </w:pPr>
            <w:r>
              <w:rPr>
                <w:rFonts w:hint="eastAsia" w:ascii="仿宋" w:hAnsi="仿宋" w:eastAsia="仿宋" w:cs="宋体"/>
                <w:kern w:val="0"/>
                <w:sz w:val="32"/>
                <w:szCs w:val="32"/>
              </w:rPr>
              <w:t>编制部门：</w:t>
            </w:r>
            <w:r>
              <w:rPr>
                <w:rFonts w:hint="eastAsia" w:ascii="仿宋" w:hAnsi="仿宋" w:eastAsia="仿宋" w:cs="宋体"/>
                <w:sz w:val="32"/>
                <w:szCs w:val="32"/>
              </w:rPr>
              <w:t>无极县公安交通警察大队</w:t>
            </w:r>
          </w:p>
        </w:tc>
        <w:tc>
          <w:tcPr>
            <w:tcW w:w="4935" w:type="dxa"/>
            <w:tcBorders>
              <w:top w:val="nil"/>
              <w:left w:val="nil"/>
              <w:bottom w:val="nil"/>
              <w:right w:val="nil"/>
            </w:tcBorders>
            <w:vAlign w:val="center"/>
          </w:tcPr>
          <w:p>
            <w:pPr>
              <w:widowControl/>
              <w:jc w:val="left"/>
              <w:rPr>
                <w:rFonts w:ascii="仿宋" w:hAnsi="仿宋" w:eastAsia="仿宋"/>
                <w:kern w:val="0"/>
                <w:sz w:val="32"/>
                <w:szCs w:val="32"/>
              </w:rPr>
            </w:pPr>
            <w:r>
              <w:rPr>
                <w:rFonts w:hint="eastAsia" w:ascii="仿宋" w:hAnsi="仿宋" w:eastAsia="仿宋" w:cs="宋体"/>
                <w:kern w:val="0"/>
                <w:sz w:val="32"/>
                <w:szCs w:val="32"/>
              </w:rPr>
              <w:t>截止时间：</w:t>
            </w:r>
            <w:r>
              <w:rPr>
                <w:rFonts w:ascii="仿宋" w:hAnsi="仿宋" w:eastAsia="仿宋" w:cs="宋体"/>
                <w:kern w:val="0"/>
                <w:sz w:val="32"/>
                <w:szCs w:val="32"/>
              </w:rPr>
              <w:t>201</w:t>
            </w:r>
            <w:r>
              <w:rPr>
                <w:rFonts w:hint="eastAsia" w:ascii="仿宋" w:hAnsi="仿宋" w:eastAsia="仿宋" w:cs="宋体"/>
                <w:kern w:val="0"/>
                <w:sz w:val="32"/>
                <w:szCs w:val="32"/>
              </w:rPr>
              <w:t>9年</w:t>
            </w:r>
            <w:r>
              <w:rPr>
                <w:rFonts w:ascii="仿宋" w:hAnsi="仿宋" w:eastAsia="仿宋" w:cs="宋体"/>
                <w:kern w:val="0"/>
                <w:sz w:val="32"/>
                <w:szCs w:val="32"/>
              </w:rPr>
              <w:t>12</w:t>
            </w:r>
            <w:r>
              <w:rPr>
                <w:rFonts w:hint="eastAsia" w:ascii="仿宋" w:hAnsi="仿宋" w:eastAsia="仿宋" w:cs="宋体"/>
                <w:kern w:val="0"/>
                <w:sz w:val="32"/>
                <w:szCs w:val="32"/>
              </w:rPr>
              <w:t>月</w:t>
            </w:r>
            <w:r>
              <w:rPr>
                <w:rFonts w:ascii="仿宋" w:hAnsi="仿宋" w:eastAsia="仿宋" w:cs="宋体"/>
                <w:kern w:val="0"/>
                <w:sz w:val="32"/>
                <w:szCs w:val="32"/>
              </w:rPr>
              <w:t>31</w:t>
            </w:r>
            <w:r>
              <w:rPr>
                <w:rFonts w:hint="eastAsia" w:ascii="仿宋" w:hAnsi="仿宋" w:eastAsia="仿宋" w:cs="宋体"/>
                <w:kern w:val="0"/>
                <w:sz w:val="32"/>
                <w:szCs w:val="32"/>
              </w:rPr>
              <w:t>日</w:t>
            </w:r>
            <w:r>
              <w:rPr>
                <w:rFonts w:ascii="仿宋" w:hAnsi="仿宋" w:eastAsia="仿宋" w:cs="宋体"/>
                <w:kern w:val="0"/>
                <w:sz w:val="32"/>
                <w:szCs w:val="3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57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b/>
                <w:bCs/>
                <w:kern w:val="0"/>
                <w:sz w:val="32"/>
                <w:szCs w:val="32"/>
              </w:rPr>
            </w:pPr>
            <w:r>
              <w:rPr>
                <w:rFonts w:hint="eastAsia" w:ascii="仿宋" w:hAnsi="仿宋" w:eastAsia="仿宋" w:cs="宋体"/>
                <w:b/>
                <w:bCs/>
                <w:kern w:val="0"/>
                <w:sz w:val="32"/>
                <w:szCs w:val="32"/>
              </w:rPr>
              <w:t>项</w:t>
            </w:r>
            <w:r>
              <w:rPr>
                <w:rFonts w:ascii="仿宋" w:hAnsi="仿宋" w:eastAsia="仿宋" w:cs="宋体"/>
                <w:b/>
                <w:bCs/>
                <w:kern w:val="0"/>
                <w:sz w:val="32"/>
                <w:szCs w:val="32"/>
              </w:rPr>
              <w:t xml:space="preserve">   </w:t>
            </w:r>
            <w:r>
              <w:rPr>
                <w:rFonts w:hint="eastAsia" w:ascii="仿宋" w:hAnsi="仿宋" w:eastAsia="仿宋" w:cs="宋体"/>
                <w:b/>
                <w:bCs/>
                <w:kern w:val="0"/>
                <w:sz w:val="32"/>
                <w:szCs w:val="32"/>
              </w:rPr>
              <w:t>目</w:t>
            </w:r>
          </w:p>
        </w:tc>
        <w:tc>
          <w:tcPr>
            <w:tcW w:w="2100"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b/>
                <w:bCs/>
                <w:kern w:val="0"/>
                <w:sz w:val="32"/>
                <w:szCs w:val="32"/>
              </w:rPr>
            </w:pPr>
            <w:r>
              <w:rPr>
                <w:rFonts w:hint="eastAsia" w:ascii="仿宋" w:hAnsi="仿宋" w:eastAsia="仿宋" w:cs="宋体"/>
                <w:b/>
                <w:bCs/>
                <w:kern w:val="0"/>
                <w:sz w:val="32"/>
                <w:szCs w:val="32"/>
              </w:rPr>
              <w:t>数量</w:t>
            </w:r>
          </w:p>
        </w:tc>
        <w:tc>
          <w:tcPr>
            <w:tcW w:w="493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b/>
                <w:bCs/>
                <w:kern w:val="0"/>
                <w:sz w:val="32"/>
                <w:szCs w:val="32"/>
              </w:rPr>
            </w:pPr>
            <w:r>
              <w:rPr>
                <w:rFonts w:hint="eastAsia" w:ascii="仿宋" w:hAnsi="仿宋" w:eastAsia="仿宋" w:cs="宋体"/>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3570"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kern w:val="0"/>
                <w:sz w:val="32"/>
                <w:szCs w:val="32"/>
              </w:rPr>
            </w:pPr>
            <w:r>
              <w:rPr>
                <w:rFonts w:hint="eastAsia" w:ascii="仿宋" w:hAnsi="仿宋" w:eastAsia="仿宋" w:cs="宋体"/>
                <w:kern w:val="0"/>
                <w:sz w:val="32"/>
                <w:szCs w:val="32"/>
              </w:rPr>
              <w:t>资产总额</w:t>
            </w:r>
          </w:p>
        </w:tc>
        <w:tc>
          <w:tcPr>
            <w:tcW w:w="2100"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ascii="仿宋" w:hAnsi="仿宋" w:eastAsia="仿宋" w:cs="宋体"/>
                <w:kern w:val="0"/>
                <w:sz w:val="32"/>
                <w:szCs w:val="32"/>
              </w:rPr>
              <w:t>——</w:t>
            </w:r>
          </w:p>
        </w:tc>
        <w:tc>
          <w:tcPr>
            <w:tcW w:w="4935"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hint="eastAsia" w:ascii="仿宋" w:hAnsi="仿宋" w:eastAsia="仿宋"/>
                <w:kern w:val="0"/>
                <w:sz w:val="32"/>
                <w:szCs w:val="32"/>
              </w:rPr>
              <w:t>2669.83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3570"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、房屋（平方米）</w:t>
            </w:r>
          </w:p>
        </w:tc>
        <w:tc>
          <w:tcPr>
            <w:tcW w:w="2100"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p>
        </w:tc>
        <w:tc>
          <w:tcPr>
            <w:tcW w:w="4935"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3" w:hRule="atLeast"/>
        </w:trPr>
        <w:tc>
          <w:tcPr>
            <w:tcW w:w="3570"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 w:val="32"/>
                <w:szCs w:val="32"/>
              </w:rPr>
            </w:pPr>
            <w:r>
              <w:rPr>
                <w:rFonts w:ascii="仿宋" w:hAnsi="仿宋" w:eastAsia="仿宋" w:cs="宋体"/>
                <w:kern w:val="0"/>
                <w:sz w:val="32"/>
                <w:szCs w:val="32"/>
              </w:rPr>
              <w:t xml:space="preserve">  </w:t>
            </w:r>
            <w:r>
              <w:rPr>
                <w:rFonts w:hint="eastAsia" w:ascii="仿宋" w:hAnsi="仿宋" w:eastAsia="仿宋" w:cs="宋体"/>
                <w:kern w:val="0"/>
                <w:sz w:val="32"/>
                <w:szCs w:val="32"/>
              </w:rPr>
              <w:t>其中：办公用房（平方米）</w:t>
            </w:r>
          </w:p>
        </w:tc>
        <w:tc>
          <w:tcPr>
            <w:tcW w:w="2100"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p>
        </w:tc>
        <w:tc>
          <w:tcPr>
            <w:tcW w:w="4935"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3570"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、车辆（台、辆）</w:t>
            </w:r>
          </w:p>
        </w:tc>
        <w:tc>
          <w:tcPr>
            <w:tcW w:w="2100"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ascii="仿宋" w:hAnsi="仿宋" w:eastAsia="仿宋"/>
                <w:kern w:val="0"/>
                <w:sz w:val="32"/>
                <w:szCs w:val="32"/>
              </w:rPr>
              <w:t>18</w:t>
            </w:r>
          </w:p>
        </w:tc>
        <w:tc>
          <w:tcPr>
            <w:tcW w:w="4935"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hint="eastAsia" w:ascii="仿宋" w:hAnsi="仿宋" w:eastAsia="仿宋"/>
                <w:kern w:val="0"/>
                <w:sz w:val="32"/>
                <w:szCs w:val="32"/>
              </w:rPr>
              <w:t>209.08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3570"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、单价在</w:t>
            </w:r>
            <w:r>
              <w:rPr>
                <w:rFonts w:ascii="仿宋" w:hAnsi="仿宋" w:eastAsia="仿宋" w:cs="宋体"/>
                <w:kern w:val="0"/>
                <w:sz w:val="32"/>
                <w:szCs w:val="32"/>
              </w:rPr>
              <w:t>20</w:t>
            </w:r>
            <w:r>
              <w:rPr>
                <w:rFonts w:hint="eastAsia" w:ascii="仿宋" w:hAnsi="仿宋" w:eastAsia="仿宋" w:cs="宋体"/>
                <w:kern w:val="0"/>
                <w:sz w:val="32"/>
                <w:szCs w:val="32"/>
              </w:rPr>
              <w:t>万元以上设备</w:t>
            </w:r>
          </w:p>
        </w:tc>
        <w:tc>
          <w:tcPr>
            <w:tcW w:w="2100"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ascii="仿宋" w:hAnsi="仿宋" w:eastAsia="仿宋" w:cs="宋体"/>
                <w:kern w:val="0"/>
                <w:sz w:val="32"/>
                <w:szCs w:val="32"/>
              </w:rPr>
              <w:t>——</w:t>
            </w:r>
          </w:p>
        </w:tc>
        <w:tc>
          <w:tcPr>
            <w:tcW w:w="4935"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3570"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、其他固定资产</w:t>
            </w:r>
          </w:p>
        </w:tc>
        <w:tc>
          <w:tcPr>
            <w:tcW w:w="2100"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ascii="仿宋" w:hAnsi="仿宋" w:eastAsia="仿宋" w:cs="宋体"/>
                <w:kern w:val="0"/>
                <w:sz w:val="32"/>
                <w:szCs w:val="32"/>
              </w:rPr>
              <w:t>——</w:t>
            </w:r>
          </w:p>
        </w:tc>
        <w:tc>
          <w:tcPr>
            <w:tcW w:w="4935" w:type="dxa"/>
            <w:tcBorders>
              <w:top w:val="nil"/>
              <w:left w:val="nil"/>
              <w:bottom w:val="single" w:color="auto" w:sz="4" w:space="0"/>
              <w:right w:val="single" w:color="auto" w:sz="4" w:space="0"/>
            </w:tcBorders>
            <w:vAlign w:val="center"/>
          </w:tcPr>
          <w:p>
            <w:pPr>
              <w:widowControl/>
              <w:jc w:val="center"/>
              <w:rPr>
                <w:rFonts w:ascii="仿宋" w:hAnsi="仿宋" w:eastAsia="仿宋"/>
                <w:kern w:val="0"/>
                <w:sz w:val="32"/>
                <w:szCs w:val="32"/>
              </w:rPr>
            </w:pPr>
            <w:r>
              <w:rPr>
                <w:rFonts w:hint="eastAsia" w:ascii="仿宋" w:hAnsi="仿宋" w:eastAsia="仿宋"/>
                <w:kern w:val="0"/>
                <w:sz w:val="32"/>
                <w:szCs w:val="32"/>
              </w:rPr>
              <w:t>2460.75</w:t>
            </w:r>
          </w:p>
        </w:tc>
      </w:tr>
    </w:tbl>
    <w:p>
      <w:pPr>
        <w:ind w:firstLine="688" w:firstLineChars="215"/>
        <w:rPr>
          <w:rFonts w:ascii="仿宋" w:hAnsi="仿宋" w:eastAsia="仿宋" w:cs="仿宋"/>
          <w:sz w:val="32"/>
          <w:szCs w:val="32"/>
        </w:rPr>
      </w:pP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cs="仿宋_GB2312"/>
          <w:sz w:val="32"/>
          <w:szCs w:val="32"/>
        </w:rPr>
        <w:t>八、名词解释</w:t>
      </w:r>
    </w:p>
    <w:p>
      <w:pPr>
        <w:spacing w:line="54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4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4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4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4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4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4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4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4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4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4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4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4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4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4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4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4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4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spacing w:line="540" w:lineRule="exact"/>
        <w:ind w:firstLine="640" w:firstLineChars="200"/>
        <w:jc w:val="left"/>
        <w:rPr>
          <w:rFonts w:ascii="仿宋" w:hAnsi="仿宋" w:eastAsia="仿宋"/>
          <w:sz w:val="32"/>
          <w:szCs w:val="32"/>
        </w:rPr>
      </w:pPr>
      <w:r>
        <w:rPr>
          <w:rFonts w:hint="eastAsia" w:ascii="仿宋" w:hAnsi="仿宋" w:eastAsia="仿宋" w:cs="仿宋_GB2312"/>
          <w:sz w:val="32"/>
          <w:szCs w:val="32"/>
        </w:rPr>
        <w:t>九、其他需要说明的事项</w:t>
      </w:r>
    </w:p>
    <w:p>
      <w:pPr>
        <w:spacing w:line="540" w:lineRule="exact"/>
        <w:ind w:firstLine="688" w:firstLineChars="215"/>
        <w:rPr>
          <w:rFonts w:ascii="仿宋" w:hAnsi="仿宋" w:eastAsia="仿宋"/>
          <w:sz w:val="32"/>
          <w:szCs w:val="32"/>
        </w:rPr>
      </w:pPr>
      <w:r>
        <w:rPr>
          <w:rFonts w:hint="eastAsia" w:ascii="仿宋" w:hAnsi="仿宋" w:eastAsia="仿宋"/>
          <w:sz w:val="32"/>
          <w:szCs w:val="32"/>
        </w:rPr>
        <w:t>无。</w:t>
      </w:r>
    </w:p>
    <w:sectPr>
      <w:head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fldChar w:fldCharType="begin"/>
    </w:r>
    <w:r>
      <w:instrText xml:space="preserve"> PAGE   \* MERGEFORMAT </w:instrText>
    </w:r>
    <w:r>
      <w:fldChar w:fldCharType="separate"/>
    </w:r>
    <w:r>
      <w:rPr>
        <w:lang w:val="zh-CN"/>
      </w:rPr>
      <w:t>27</w:t>
    </w:r>
    <w:r>
      <w:rPr>
        <w:lang w:val="zh-CN"/>
      </w:rP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singleLevel"/>
    <w:tmpl w:val="00000002"/>
    <w:lvl w:ilvl="0" w:tentative="0">
      <w:start w:val="6"/>
      <w:numFmt w:val="chineseCounting"/>
      <w:suff w:val="nothing"/>
      <w:lvlText w:val="%1、"/>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3C375B16"/>
    <w:rsid w:val="515B4F57"/>
    <w:rsid w:val="66A3282E"/>
    <w:rsid w:val="79523E6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rFonts w:ascii="Times New Roman" w:hAnsi="Times New Roman" w:eastAsia="宋体" w:cs="Times New Roman"/>
      <w:sz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rPr>
  </w:style>
  <w:style w:type="character" w:customStyle="1" w:styleId="6">
    <w:name w:val="页脚 Char"/>
    <w:basedOn w:val="5"/>
    <w:link w:val="2"/>
    <w:semiHidden/>
    <w:qFormat/>
    <w:uiPriority w:val="0"/>
    <w:rPr>
      <w:rFonts w:ascii="Times New Roman" w:hAnsi="Times New Roman" w:eastAsia="宋体" w:cs="Times New Roman"/>
      <w:sz w:val="18"/>
    </w:rPr>
  </w:style>
  <w:style w:type="character" w:customStyle="1" w:styleId="7">
    <w:name w:val="页眉 Char"/>
    <w:basedOn w:val="5"/>
    <w:link w:val="3"/>
    <w:semiHidden/>
    <w:qFormat/>
    <w:uiPriority w:val="0"/>
    <w:rPr>
      <w:rFonts w:ascii="Times New Roman" w:hAnsi="Times New Roman" w:eastAsia="宋体" w:cs="Times New Roman"/>
      <w:sz w:val="18"/>
    </w:rPr>
  </w:style>
  <w:style w:type="paragraph" w:customStyle="1" w:styleId="8">
    <w:name w:val="列出段落1"/>
    <w:basedOn w:val="1"/>
    <w:qFormat/>
    <w:uiPriority w:val="0"/>
    <w:pPr>
      <w:ind w:firstLine="420" w:firstLineChars="200"/>
    </w:pPr>
  </w:style>
  <w:style w:type="paragraph" w:customStyle="1" w:styleId="9">
    <w:name w:val="[Normal]"/>
    <w:qFormat/>
    <w:uiPriority w:val="0"/>
    <w:rPr>
      <w:rFonts w:ascii="宋体" w:hAnsi="Times New Roman" w:eastAsia="宋体" w:cs="Calibri"/>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30</Pages>
  <Words>9045</Words>
  <Characters>1962</Characters>
  <Lines>16</Lines>
  <Paragraphs>21</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2019-03-03T12:02:00Z</dcterms:created>
  <dc:creator>微软用户</dc:creator>
  <cp:lastModifiedBy>浮生</cp:lastModifiedBy>
  <dcterms:modified xsi:type="dcterms:W3CDTF">2025-01-03T06:28:33Z</dcterms:modified>
  <dc:title>微软用户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B123A5D371E042A8933243ADACE46A89</vt:lpwstr>
  </property>
</Properties>
</file>