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7" w:name="_GoBack"/>
      <w:bookmarkEnd w:id="7"/>
      <w:r>
        <w:rPr>
          <w:rFonts w:hint="eastAsia" w:ascii="方正小标宋_GBK" w:hAnsi="Times New Roman" w:eastAsia="方正小标宋_GBK" w:cs="Times New Roman"/>
          <w:bCs/>
          <w:sz w:val="44"/>
          <w:szCs w:val="44"/>
        </w:rPr>
        <w:t>无极县农业综合开发服务中心</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、《地方预决算公开操作规程》和《河北省省级预算公开办法》规定，现将无极县农业综合开发服务中心2020年部门预算公开如下：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履行农田建设和耕地保护等职责。主要是高标准农田建设项目、农业综合开发项目、农田整治项目、农田水利建设项目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无极县农业综合开发服务中心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全额事业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无极县农业综合开发服务中心及下属单位</w:t>
      </w:r>
      <w:r>
        <w:rPr>
          <w:rFonts w:ascii="Times New Roman" w:hAnsi="Times New Roman" w:eastAsia="仿宋" w:cs="Times New Roman"/>
          <w:sz w:val="32"/>
          <w:szCs w:val="32"/>
        </w:rPr>
        <w:t>的</w:t>
      </w:r>
      <w:r>
        <w:rPr>
          <w:rFonts w:hint="eastAsia" w:ascii="Times New Roman" w:hAnsi="Times New Roman" w:eastAsia="仿宋" w:cs="Times New Roman"/>
          <w:sz w:val="32"/>
          <w:szCs w:val="32"/>
        </w:rPr>
        <w:t>所有</w:t>
      </w:r>
      <w:r>
        <w:rPr>
          <w:rFonts w:ascii="Times New Roman" w:hAnsi="Times New Roman" w:eastAsia="仿宋" w:cs="Times New Roman"/>
          <w:sz w:val="32"/>
          <w:szCs w:val="32"/>
        </w:rPr>
        <w:t>收支</w:t>
      </w:r>
      <w:r>
        <w:rPr>
          <w:rFonts w:hint="eastAsia" w:ascii="Times New Roman" w:hAnsi="Times New Roman" w:eastAsia="仿宋" w:cs="Times New Roman"/>
          <w:sz w:val="32"/>
          <w:szCs w:val="32"/>
        </w:rPr>
        <w:t>都</w:t>
      </w:r>
      <w:r>
        <w:rPr>
          <w:rFonts w:ascii="Times New Roman" w:hAnsi="Times New Roman" w:eastAsia="仿宋" w:cs="Times New Roman"/>
          <w:sz w:val="32"/>
          <w:szCs w:val="32"/>
        </w:rPr>
        <w:t>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反映本部门当年全部收入。2020年预算收入总计610.93万元，其中一般公共预算收入610.93万元,基金预算收入0万元，财政专户核拨收入0万元，其他来源收入0万元。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无极县农业综合开发服务中心年度部门预算中支出预算的总体情况。2020年部门支出预算为610.93万元，其中基本支出175.93万元，包括人员经费164.35万元和日常公用经费11.58万元；项目支出435万元，主要是2020年高标准农田建设项目的支出；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610.93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较2019年增加452.27万元，其中：基本支出增加17.27万元，主要是人员增加，相应增加人员经费和日常公用经费；项目支出增加435万元，主要是增加2020年度高标准农田建设项目资金；其他支出无增减变化。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无极县农业综合开发服务中心机关运行经费安排11.58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sz w:val="32"/>
          <w:szCs w:val="32"/>
        </w:rPr>
        <w:t>2020年,财政拨款“三公”经费预算安排1.5万元，其中：因出国（境）费0万元；公务用车购置及运行维护费1.5万元（其中公务用车运行维护费1.5 万元，公务用车购置0万元）；公务接待费</w:t>
      </w:r>
      <w:r>
        <w:rPr>
          <w:rFonts w:hint="eastAsia" w:ascii="仿宋" w:hAnsi="仿宋" w:eastAsia="仿宋"/>
          <w:color w:val="000000" w:themeColor="text1"/>
          <w:sz w:val="32"/>
          <w:szCs w:val="32"/>
        </w:rPr>
        <w:t>0</w:t>
      </w:r>
      <w:r>
        <w:rPr>
          <w:rFonts w:hint="eastAsia" w:ascii="仿宋" w:hAnsi="仿宋" w:eastAsia="仿宋"/>
          <w:sz w:val="32"/>
          <w:szCs w:val="32"/>
        </w:rPr>
        <w:t>万元。2020年“三公”经费</w:t>
      </w:r>
      <w:r>
        <w:rPr>
          <w:rFonts w:hint="eastAsia" w:ascii="Times New Roman" w:hAnsi="Times New Roman" w:eastAsia="仿宋" w:cs="Times New Roman"/>
          <w:sz w:val="32"/>
          <w:szCs w:val="32"/>
        </w:rPr>
        <w:t>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贯彻落实国务院及省市政策,争取上级资金,加强高标准农田建设。完成无极县2019年大陈镇七级镇高标准农田建设项目，该项目建设规模13180亩。完成机泵配套321眼，配备井台、井盖323套，铺设地下防渗管道管道115.3km，完成田间道路硬化14.78km。完成植树5600棵。</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1、完成高标准农田建设项目(灌溉排水与节水措施)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绩效目标：铺设地下防渗管道115.3公里。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绩效指标：完成100%。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绩效目标：机泵配套321台套。</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绩效指标：完成90%以上。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2、完成高标准农田建设项目(田间机耕路)</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绩效目标:修建田间道路14.78公里。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绩效指标:完成95%以上。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3、完成高标准农田建设项目(农田防护与生态环境保持)</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绩效目标:植树5600株。</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绩效指标:完成95%以上。</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1、完善制度建设。完善预算绩效管理制度、资金管理办法、项目管理办法、工作保障制度等。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2、加强支出管理。编细编实预算、发改系统备案进行公开招标、及时支付资金。</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3、加强绩效运行监控。按要求开展运行监控、发现问题及时采取措施确保绩效目标如期保质实现。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4、做好绩效自评，对评价中发现的问题及时整改，提高财政资金使用效益。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5、规范财务资产管理。完善财务管理制度，严格审批程序，做到支出合理。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6、加强内部监督。加强内部监督制度建设，对绩效运行情况重大支出决策进行督导，对会计资料进行内部审计并配合审计、财政监督等外部监督工作，确保财政资金安全有效。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7、加强宣传培训调研，加强人员培训，加强调研，提高资金使用效益的意见，加大宣传力度，促进预算绩效管理水平，进一步提升</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numPr>
          <w:ilvl w:val="0"/>
          <w:numId w:val="1"/>
        </w:num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专项资金绩效目标</w:t>
      </w:r>
    </w:p>
    <w:p>
      <w:pPr>
        <w:autoSpaceDE w:val="0"/>
        <w:autoSpaceDN w:val="0"/>
        <w:adjustRightInd w:val="0"/>
        <w:ind w:left="420" w:leftChars="200"/>
        <w:jc w:val="left"/>
        <w:rPr>
          <w:rFonts w:ascii="Times New Roman" w:hAnsi="Times New Roman" w:eastAsia="方正仿宋_GBK" w:cs="Times New Roman"/>
          <w:b/>
          <w:sz w:val="32"/>
          <w:szCs w:val="32"/>
        </w:rPr>
      </w:pPr>
    </w:p>
    <w:p>
      <w:pPr>
        <w:autoSpaceDE w:val="0"/>
        <w:autoSpaceDN w:val="0"/>
        <w:adjustRightInd w:val="0"/>
        <w:ind w:left="420" w:leftChars="200"/>
        <w:jc w:val="left"/>
        <w:rPr>
          <w:rFonts w:ascii="Times New Roman" w:hAnsi="Times New Roman" w:eastAsia="方正仿宋_GBK" w:cs="Times New Roman"/>
          <w:b/>
          <w:sz w:val="32"/>
          <w:szCs w:val="32"/>
        </w:rPr>
      </w:pPr>
    </w:p>
    <w:p>
      <w:pPr>
        <w:autoSpaceDE w:val="0"/>
        <w:autoSpaceDN w:val="0"/>
        <w:adjustRightInd w:val="0"/>
        <w:ind w:left="420" w:leftChars="200"/>
        <w:jc w:val="left"/>
        <w:rPr>
          <w:rFonts w:ascii="Times New Roman" w:hAnsi="Times New Roman" w:eastAsia="方正仿宋_GBK" w:cs="Times New Roman"/>
          <w:b/>
          <w:sz w:val="32"/>
          <w:szCs w:val="32"/>
        </w:rPr>
      </w:pPr>
    </w:p>
    <w:p>
      <w:pPr>
        <w:numPr>
          <w:ilvl w:val="0"/>
          <w:numId w:val="1"/>
        </w:num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p>
    <w:p>
      <w:pPr>
        <w:jc w:val="left"/>
        <w:outlineLvl w:val="1"/>
        <w:rPr>
          <w:rFonts w:ascii="Times New Roman" w:hAnsi="宋体"/>
          <w:b/>
          <w:sz w:val="28"/>
        </w:rPr>
      </w:pPr>
    </w:p>
    <w:p>
      <w:pPr>
        <w:spacing w:line="14" w:lineRule="exact"/>
        <w:ind w:firstLine="420" w:firstLineChars="200"/>
        <w:jc w:val="center"/>
        <w:rPr>
          <w:rFonts w:ascii="Times New Roman" w:hAnsi="宋体"/>
        </w:rPr>
      </w:pPr>
    </w:p>
    <w:p>
      <w:pPr>
        <w:ind w:firstLine="562" w:firstLineChars="200"/>
        <w:jc w:val="left"/>
        <w:outlineLvl w:val="1"/>
        <w:rPr>
          <w:rFonts w:ascii="仿宋_GB2312" w:hAnsi="仿宋_GB2312" w:eastAsia="仿宋_GB2312" w:cs="仿宋_GB2312"/>
          <w:b/>
          <w:sz w:val="28"/>
          <w:szCs w:val="28"/>
        </w:rPr>
      </w:pPr>
      <w:r>
        <w:rPr>
          <w:rFonts w:hint="eastAsia" w:ascii="方正仿宋_GBK" w:eastAsia="方正仿宋_GBK"/>
          <w:b/>
          <w:sz w:val="28"/>
        </w:rPr>
        <w:t>1、关于提前下达2020年省级农田建设补助资金的通知（地方政府债券）冀财农（2019）163号绩效目标表</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b/>
          <w:sz w:val="28"/>
          <w:szCs w:val="28"/>
        </w:rPr>
        <w:instrText xml:space="preserve"> TC </w:instrText>
      </w:r>
      <w:bookmarkStart w:id="4" w:name="_Toc34958621"/>
      <w:r>
        <w:rPr>
          <w:rFonts w:hint="eastAsia" w:ascii="仿宋_GB2312" w:hAnsi="仿宋_GB2312" w:eastAsia="仿宋_GB2312" w:cs="仿宋_GB2312"/>
          <w:b/>
          <w:sz w:val="28"/>
          <w:szCs w:val="28"/>
        </w:rPr>
        <w:instrText xml:space="preserve">1、关于提前下达2020年省级农田建设补助资金的通知（地方政府债券）冀财农（2019）163号绩效目标表</w:instrText>
      </w:r>
      <w:bookmarkEnd w:id="4"/>
      <w:r>
        <w:rPr>
          <w:rFonts w:hint="eastAsia" w:ascii="仿宋_GB2312" w:hAnsi="仿宋_GB2312" w:eastAsia="仿宋_GB2312" w:cs="仿宋_GB2312"/>
          <w:b/>
          <w:sz w:val="28"/>
          <w:szCs w:val="28"/>
        </w:rPr>
        <w:instrText xml:space="preserve"> \f C \l 1 </w:instrText>
      </w:r>
      <w:r>
        <w:rPr>
          <w:rFonts w:hint="eastAsia" w:ascii="仿宋_GB2312" w:hAnsi="仿宋_GB2312" w:eastAsia="仿宋_GB2312" w:cs="仿宋_GB2312"/>
          <w:b/>
          <w:sz w:val="28"/>
          <w:szCs w:val="28"/>
        </w:rPr>
        <w:fldChar w:fldCharType="end"/>
      </w:r>
    </w:p>
    <w:p>
      <w:pPr>
        <w:spacing w:line="14" w:lineRule="exact"/>
        <w:ind w:firstLine="420" w:firstLineChars="200"/>
        <w:jc w:val="center"/>
        <w:rPr>
          <w:rFonts w:ascii="Times New Roman" w:hAnsi="宋体"/>
        </w:rPr>
      </w:pPr>
    </w:p>
    <w:tbl>
      <w:tblPr>
        <w:tblStyle w:val="7"/>
        <w:tblpPr w:leftFromText="180" w:rightFromText="180" w:vertAnchor="text" w:horzAnchor="page" w:tblpX="1380" w:tblpY="145"/>
        <w:tblOverlap w:val="never"/>
        <w:tblW w:w="941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441002</w:t>
            </w:r>
            <w:r>
              <w:rPr>
                <w:rFonts w:hint="eastAsia" w:ascii="方正书宋_GBK" w:eastAsia="方正书宋_GBK"/>
                <w:b/>
              </w:rPr>
              <w:t>无极县农业综合开发服务中心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441-0401-YZN-HWHU</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年省级农田建设补助资金的通知（地方政府债券）冀财农（</w:t>
            </w:r>
            <w:r>
              <w:rPr>
                <w:rFonts w:ascii="方正书宋_GBK" w:eastAsia="方正书宋_GBK"/>
              </w:rPr>
              <w:t>2019</w:t>
            </w:r>
            <w:r>
              <w:rPr>
                <w:rFonts w:hint="eastAsia" w:ascii="方正书宋_GBK" w:eastAsia="方正书宋_GBK"/>
              </w:rPr>
              <w:t>）</w:t>
            </w:r>
            <w:r>
              <w:rPr>
                <w:rFonts w:ascii="方正书宋_GBK" w:eastAsia="方正书宋_GBK"/>
              </w:rPr>
              <w:t>163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2020</w:t>
            </w:r>
            <w:r>
              <w:rPr>
                <w:rFonts w:hint="eastAsia" w:ascii="方正书宋_GBK" w:eastAsia="方正书宋_GBK"/>
              </w:rPr>
              <w:t>年高标准农田建设项目规模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ascii="方正书宋_GBK" w:eastAsia="方正书宋_GBK"/>
              </w:rPr>
              <w:t>2020</w:t>
            </w:r>
            <w:r>
              <w:rPr>
                <w:rFonts w:hint="eastAsia" w:ascii="方正书宋_GBK" w:eastAsia="方正书宋_GBK"/>
              </w:rPr>
              <w:t>年高标准农田建设项目省配套资金</w:t>
            </w:r>
          </w:p>
        </w:tc>
      </w:tr>
    </w:tbl>
    <w:tbl>
      <w:tblPr>
        <w:tblStyle w:val="7"/>
        <w:tblpPr w:leftFromText="180" w:rightFromText="180" w:vertAnchor="text" w:horzAnchor="page" w:tblpX="1395" w:tblpY="674"/>
        <w:tblOverlap w:val="never"/>
        <w:tblW w:w="941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完成建设规模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完成高标准农田</w:t>
            </w:r>
          </w:p>
        </w:tc>
        <w:tc>
          <w:tcPr>
            <w:tcW w:w="1276" w:type="dxa"/>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万亩</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生产道路通达度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完成项目区内全部道路建设</w:t>
            </w:r>
          </w:p>
        </w:tc>
        <w:tc>
          <w:tcPr>
            <w:tcW w:w="1276" w:type="dxa"/>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任务完成及时性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按上级批复项目的完成时间</w:t>
            </w:r>
          </w:p>
        </w:tc>
        <w:tc>
          <w:tcPr>
            <w:tcW w:w="1276" w:type="dxa"/>
            <w:vAlign w:val="center"/>
          </w:tcPr>
          <w:p>
            <w:pPr>
              <w:spacing w:line="300" w:lineRule="exact"/>
              <w:jc w:val="left"/>
              <w:rPr>
                <w:rFonts w:ascii="方正书宋_GBK" w:eastAsia="方正书宋_GBK"/>
              </w:rPr>
            </w:pP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新增粮食生产能力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项目区内新增粮食和其他作物的产能</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万公斤</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项目区受益人数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万人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水资源利用率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项目区内水资源利用率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比上年提高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受益乡镇</w:t>
            </w:r>
            <w:r>
              <w:rPr>
                <w:rFonts w:ascii="方正书宋_GBK" w:eastAsia="方正书宋_GBK"/>
              </w:rPr>
              <w:t>\</w:t>
            </w:r>
            <w:r>
              <w:rPr>
                <w:rFonts w:hint="eastAsia" w:ascii="方正书宋_GBK" w:eastAsia="方正书宋_GBK"/>
              </w:rPr>
              <w:t>村满意度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项目区设计的乡镇</w:t>
            </w:r>
            <w:r>
              <w:rPr>
                <w:rFonts w:ascii="方正书宋_GBK" w:eastAsia="方正书宋_GBK"/>
              </w:rPr>
              <w:t>\</w:t>
            </w:r>
            <w:r>
              <w:rPr>
                <w:rFonts w:hint="eastAsia" w:ascii="方正书宋_GBK" w:eastAsia="方正书宋_GBK"/>
              </w:rPr>
              <w:t>村满意度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项目区内群众满意度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bl>
    <w:p>
      <w:pPr>
        <w:spacing w:line="14" w:lineRule="exact"/>
        <w:ind w:firstLine="420" w:firstLineChars="200"/>
        <w:jc w:val="center"/>
        <w:rPr>
          <w:rFonts w:ascii="Times New Roman" w:hAnsi="宋体"/>
        </w:rPr>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p>
      <w:pPr>
        <w:numPr>
          <w:ilvl w:val="0"/>
          <w:numId w:val="2"/>
        </w:numPr>
        <w:ind w:firstLine="562" w:firstLineChars="200"/>
        <w:jc w:val="left"/>
        <w:outlineLvl w:val="1"/>
        <w:rPr>
          <w:rFonts w:ascii="方正仿宋_GBK" w:eastAsia="方正仿宋_GBK"/>
          <w:b/>
          <w:sz w:val="28"/>
        </w:rPr>
      </w:pPr>
      <w:r>
        <w:rPr>
          <w:rFonts w:hint="eastAsia" w:ascii="方正仿宋_GBK" w:eastAsia="方正仿宋_GBK"/>
          <w:b/>
          <w:sz w:val="28"/>
        </w:rPr>
        <w:t>关于提前下达2020年中央农田建设补助资金的通知冀财农（2019）146号绩效目标表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441002</w:t>
            </w:r>
            <w:r>
              <w:rPr>
                <w:rFonts w:hint="eastAsia" w:ascii="方正书宋_GBK" w:eastAsia="方正书宋_GBK"/>
                <w:b/>
              </w:rPr>
              <w:t>无极县农业综合开发服务中心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441-0401-YZN-1Y5T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年中央农田建设补助资金的通知冀财农（</w:t>
            </w:r>
            <w:r>
              <w:rPr>
                <w:rFonts w:ascii="方正书宋_GBK" w:eastAsia="方正书宋_GBK"/>
              </w:rPr>
              <w:t>2019</w:t>
            </w:r>
            <w:r>
              <w:rPr>
                <w:rFonts w:hint="eastAsia" w:ascii="方正书宋_GBK" w:eastAsia="方正书宋_GBK"/>
              </w:rPr>
              <w:t>）</w:t>
            </w:r>
            <w:r>
              <w:rPr>
                <w:rFonts w:ascii="方正书宋_GBK" w:eastAsia="方正书宋_GBK"/>
              </w:rPr>
              <w:t>146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2020</w:t>
            </w:r>
            <w:r>
              <w:rPr>
                <w:rFonts w:hint="eastAsia" w:ascii="方正书宋_GBK" w:eastAsia="方正书宋_GBK"/>
              </w:rPr>
              <w:t>年度高标准农田建设项目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gridSpan w:val="2"/>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gridSpan w:val="2"/>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年高标准农田建设面积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亩</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项目区生产道路通达度</w:t>
            </w:r>
          </w:p>
        </w:tc>
        <w:tc>
          <w:tcPr>
            <w:tcW w:w="2891" w:type="dxa"/>
            <w:gridSpan w:val="2"/>
            <w:vAlign w:val="center"/>
          </w:tcPr>
          <w:p>
            <w:pPr>
              <w:spacing w:line="300" w:lineRule="exact"/>
              <w:jc w:val="left"/>
              <w:rPr>
                <w:rFonts w:ascii="方正书宋_GBK" w:eastAsia="方正书宋_GBK"/>
              </w:rPr>
            </w:pPr>
            <w:r>
              <w:rPr>
                <w:rFonts w:hint="eastAsia" w:ascii="方正书宋_GBK" w:eastAsia="方正书宋_GBK"/>
              </w:rPr>
              <w:t>项目区内农田道路通达度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gridSpan w:val="2"/>
            <w:vAlign w:val="center"/>
          </w:tcPr>
          <w:p>
            <w:pPr>
              <w:spacing w:line="300" w:lineRule="exact"/>
              <w:jc w:val="left"/>
              <w:rPr>
                <w:rFonts w:ascii="方正书宋_GBK" w:eastAsia="方正书宋_GBK"/>
              </w:rPr>
            </w:pPr>
            <w:r>
              <w:rPr>
                <w:rFonts w:hint="eastAsia" w:ascii="方正书宋_GBK" w:eastAsia="方正书宋_GBK"/>
              </w:rPr>
              <w:t>根据上级要求时限完成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新增粮食和其他作物产能</w:t>
            </w:r>
          </w:p>
        </w:tc>
        <w:tc>
          <w:tcPr>
            <w:tcW w:w="2891" w:type="dxa"/>
            <w:gridSpan w:val="2"/>
            <w:vAlign w:val="center"/>
          </w:tcPr>
          <w:p>
            <w:pPr>
              <w:spacing w:line="300" w:lineRule="exact"/>
              <w:jc w:val="left"/>
              <w:rPr>
                <w:rFonts w:ascii="方正书宋_GBK" w:eastAsia="方正书宋_GBK"/>
              </w:rPr>
            </w:pPr>
            <w:r>
              <w:rPr>
                <w:rFonts w:hint="eastAsia" w:ascii="方正书宋_GBK" w:eastAsia="方正书宋_GBK"/>
              </w:rPr>
              <w:t>项目区新增粮食和其他作物产能</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万公斤</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水资源利用率</w:t>
            </w:r>
          </w:p>
        </w:tc>
        <w:tc>
          <w:tcPr>
            <w:tcW w:w="2891" w:type="dxa"/>
            <w:gridSpan w:val="2"/>
            <w:vAlign w:val="center"/>
          </w:tcPr>
          <w:p>
            <w:pPr>
              <w:spacing w:line="300" w:lineRule="exact"/>
              <w:jc w:val="left"/>
              <w:rPr>
                <w:rFonts w:ascii="方正书宋_GBK" w:eastAsia="方正书宋_GBK"/>
              </w:rPr>
            </w:pPr>
            <w:r>
              <w:rPr>
                <w:rFonts w:hint="eastAsia" w:ascii="方正书宋_GBK" w:eastAsia="方正书宋_GBK"/>
              </w:rPr>
              <w:t>项目区内水资源利用率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比上年提高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工程寿命</w:t>
            </w:r>
          </w:p>
        </w:tc>
        <w:tc>
          <w:tcPr>
            <w:tcW w:w="2891" w:type="dxa"/>
            <w:gridSpan w:val="2"/>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年度高标准项目工程寿命</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年</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gridSpan w:val="2"/>
            <w:vAlign w:val="center"/>
          </w:tcPr>
          <w:p>
            <w:pPr>
              <w:spacing w:line="300" w:lineRule="exact"/>
              <w:jc w:val="left"/>
              <w:rPr>
                <w:rFonts w:ascii="方正书宋_GBK" w:eastAsia="方正书宋_GBK"/>
              </w:rPr>
            </w:pPr>
            <w:r>
              <w:rPr>
                <w:rFonts w:hint="eastAsia" w:ascii="方正书宋_GBK" w:eastAsia="方正书宋_GBK"/>
              </w:rPr>
              <w:t>项目区受益群众满意度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受益乡镇、村满意度</w:t>
            </w:r>
          </w:p>
        </w:tc>
        <w:tc>
          <w:tcPr>
            <w:tcW w:w="2891" w:type="dxa"/>
            <w:gridSpan w:val="2"/>
            <w:vAlign w:val="center"/>
          </w:tcPr>
          <w:p>
            <w:pPr>
              <w:spacing w:line="300" w:lineRule="exact"/>
              <w:jc w:val="left"/>
              <w:rPr>
                <w:rFonts w:ascii="方正书宋_GBK" w:eastAsia="方正书宋_GBK"/>
              </w:rPr>
            </w:pPr>
            <w:r>
              <w:rPr>
                <w:rFonts w:hint="eastAsia" w:ascii="方正书宋_GBK" w:eastAsia="方正书宋_GBK"/>
              </w:rPr>
              <w:t>项目设计乡镇、村满意度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上级批复可研</w:t>
            </w:r>
          </w:p>
        </w:tc>
      </w:tr>
    </w:tbl>
    <w:p>
      <w:pPr>
        <w:jc w:val="left"/>
        <w:outlineLvl w:val="1"/>
        <w:rPr>
          <w:rFonts w:hAnsi="宋体"/>
          <w:b/>
          <w:sz w:val="28"/>
        </w:rPr>
      </w:pPr>
      <w:r>
        <w:fldChar w:fldCharType="begin"/>
      </w:r>
      <w:r>
        <w:rPr>
          <w:rFonts w:hint="eastAsia" w:ascii="方正仿宋_GBK" w:eastAsia="方正仿宋_GBK"/>
          <w:b/>
          <w:sz w:val="28"/>
        </w:rPr>
        <w:instrText xml:space="preserve">TC </w:instrText>
      </w:r>
      <w:bookmarkStart w:id="5" w:name="_Toc34958622"/>
      <w:r>
        <w:rPr>
          <w:rFonts w:hint="eastAsia" w:ascii="方正仿宋_GBK" w:eastAsia="方正仿宋_GBK"/>
          <w:b/>
          <w:sz w:val="28"/>
        </w:rPr>
        <w:instrText xml:space="preserve">2、关于提前下达2020年中央农田建设补助资金的通知冀财农（2019）146号绩效目标表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p>
      <w:pPr>
        <w:spacing w:line="14" w:lineRule="exact"/>
        <w:ind w:firstLine="420" w:firstLineChars="200"/>
        <w:jc w:val="center"/>
        <w:rPr>
          <w:rFonts w:ascii="Times New Roman" w:hAnsi="宋体"/>
        </w:rPr>
      </w:pPr>
    </w:p>
    <w:bookmarkEnd w:id="0"/>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88" w:firstLineChars="215"/>
        <w:rPr>
          <w:rFonts w:ascii="仿宋" w:hAnsi="仿宋" w:eastAsia="仿宋"/>
          <w:sz w:val="32"/>
          <w:szCs w:val="32"/>
        </w:rPr>
      </w:pPr>
      <w:bookmarkStart w:id="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仿宋" w:hAnsi="仿宋" w:eastAsia="仿宋"/>
          <w:sz w:val="32"/>
          <w:szCs w:val="32"/>
        </w:rPr>
        <w:t>安排政府采购预算0万元，具体内容见下表。</w:t>
      </w:r>
    </w:p>
    <w:p>
      <w:pPr>
        <w:ind w:firstLine="688" w:firstLineChars="215"/>
        <w:jc w:val="center"/>
        <w:rPr>
          <w:rFonts w:ascii="仿宋" w:hAnsi="仿宋" w:eastAsia="仿宋"/>
          <w:sz w:val="32"/>
          <w:szCs w:val="32"/>
        </w:rPr>
      </w:pPr>
      <w:r>
        <w:rPr>
          <w:rFonts w:hint="eastAsia" w:ascii="仿宋" w:hAnsi="仿宋" w:eastAsia="仿宋"/>
          <w:sz w:val="32"/>
          <w:szCs w:val="32"/>
        </w:rPr>
        <w:t>部门政府采购预算</w:t>
      </w:r>
    </w:p>
    <w:tbl>
      <w:tblPr>
        <w:tblStyle w:val="7"/>
        <w:tblW w:w="13755" w:type="dxa"/>
        <w:tblInd w:w="93" w:type="dxa"/>
        <w:tblLayout w:type="autofit"/>
        <w:tblCellMar>
          <w:top w:w="0" w:type="dxa"/>
          <w:left w:w="108" w:type="dxa"/>
          <w:bottom w:w="0" w:type="dxa"/>
          <w:right w:w="108" w:type="dxa"/>
        </w:tblCellMar>
      </w:tblPr>
      <w:tblGrid>
        <w:gridCol w:w="1080"/>
        <w:gridCol w:w="1080"/>
        <w:gridCol w:w="1080"/>
        <w:gridCol w:w="1080"/>
        <w:gridCol w:w="795"/>
        <w:gridCol w:w="735"/>
        <w:gridCol w:w="795"/>
        <w:gridCol w:w="945"/>
        <w:gridCol w:w="765"/>
        <w:gridCol w:w="1080"/>
        <w:gridCol w:w="1080"/>
        <w:gridCol w:w="1080"/>
        <w:gridCol w:w="1080"/>
        <w:gridCol w:w="1080"/>
      </w:tblGrid>
      <w:tr>
        <w:tblPrEx>
          <w:tblCellMar>
            <w:top w:w="0" w:type="dxa"/>
            <w:left w:w="108" w:type="dxa"/>
            <w:bottom w:w="0" w:type="dxa"/>
            <w:right w:w="108" w:type="dxa"/>
          </w:tblCellMar>
        </w:tblPrEx>
        <w:trPr>
          <w:trHeight w:val="600" w:hRule="atLeast"/>
        </w:trPr>
        <w:tc>
          <w:tcPr>
            <w:tcW w:w="6645" w:type="dxa"/>
            <w:gridSpan w:val="7"/>
            <w:tcBorders>
              <w:top w:val="single" w:color="FFFFFF" w:sz="8" w:space="0"/>
              <w:left w:val="single" w:color="FFFFFF" w:sz="8" w:space="0"/>
              <w:bottom w:val="single" w:color="000000" w:sz="8" w:space="0"/>
              <w:right w:val="single" w:color="FFFFFF" w:sz="8" w:space="0"/>
            </w:tcBorders>
            <w:shd w:val="clear" w:color="auto" w:fill="auto"/>
            <w:vAlign w:val="center"/>
          </w:tcPr>
          <w:p>
            <w:pPr>
              <w:widowControl/>
              <w:jc w:val="left"/>
              <w:textAlignment w:val="center"/>
              <w:rPr>
                <w:rFonts w:ascii="方正小标宋_GBK" w:hAnsi="方正小标宋_GBK" w:eastAsia="方正小标宋_GBK" w:cs="方正小标宋_GBK"/>
                <w:color w:val="000000"/>
                <w:sz w:val="24"/>
                <w:szCs w:val="24"/>
              </w:rPr>
            </w:pPr>
            <w:r>
              <w:rPr>
                <w:rFonts w:ascii="方正小标宋_GBK" w:hAnsi="方正小标宋_GBK" w:eastAsia="方正小标宋_GBK" w:cs="方正小标宋_GBK"/>
                <w:color w:val="000000"/>
                <w:kern w:val="0"/>
                <w:sz w:val="24"/>
                <w:szCs w:val="24"/>
              </w:rPr>
              <w:t>441001无极县农业综合开发服务中心本级</w:t>
            </w:r>
          </w:p>
        </w:tc>
        <w:tc>
          <w:tcPr>
            <w:tcW w:w="7110" w:type="dxa"/>
            <w:gridSpan w:val="7"/>
            <w:tcBorders>
              <w:top w:val="single" w:color="FFFFFF" w:sz="8" w:space="0"/>
              <w:left w:val="nil"/>
              <w:bottom w:val="single" w:color="000000" w:sz="8" w:space="0"/>
              <w:right w:val="single" w:color="FFFFFF" w:sz="8" w:space="0"/>
            </w:tcBorders>
            <w:shd w:val="clear" w:color="auto" w:fill="auto"/>
            <w:vAlign w:val="center"/>
          </w:tcPr>
          <w:p>
            <w:pPr>
              <w:widowControl/>
              <w:jc w:val="center"/>
              <w:textAlignment w:val="center"/>
              <w:rPr>
                <w:rFonts w:ascii="方正小标宋_GBK" w:hAnsi="方正小标宋_GBK" w:eastAsia="方正小标宋_GBK" w:cs="方正小标宋_GBK"/>
                <w:color w:val="000000"/>
                <w:sz w:val="24"/>
                <w:szCs w:val="24"/>
              </w:rPr>
            </w:pPr>
            <w:r>
              <w:rPr>
                <w:rFonts w:ascii="方正小标宋_GBK" w:hAnsi="方正小标宋_GBK" w:eastAsia="方正小标宋_GBK" w:cs="方正小标宋_GBK"/>
                <w:color w:val="000000"/>
                <w:kern w:val="0"/>
                <w:sz w:val="24"/>
                <w:szCs w:val="24"/>
              </w:rPr>
              <w:t>单位：万元</w:t>
            </w:r>
          </w:p>
        </w:tc>
      </w:tr>
      <w:tr>
        <w:tblPrEx>
          <w:tblCellMar>
            <w:top w:w="0" w:type="dxa"/>
            <w:left w:w="108" w:type="dxa"/>
            <w:bottom w:w="0" w:type="dxa"/>
            <w:right w:w="108" w:type="dxa"/>
          </w:tblCellMar>
        </w:tblPrEx>
        <w:trPr>
          <w:trHeight w:val="780" w:hRule="atLeast"/>
        </w:trPr>
        <w:tc>
          <w:tcPr>
            <w:tcW w:w="2160" w:type="dxa"/>
            <w:gridSpan w:val="2"/>
            <w:tcBorders>
              <w:top w:val="nil"/>
              <w:left w:val="single" w:color="auto" w:sz="4" w:space="0"/>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color w:val="000000"/>
                <w:szCs w:val="21"/>
              </w:rPr>
            </w:pPr>
            <w:r>
              <w:rPr>
                <w:rFonts w:hint="eastAsia" w:ascii="仿宋_GB2312" w:hAnsi="仿宋_GB2312" w:eastAsia="仿宋_GB2312" w:cs="仿宋_GB2312"/>
                <w:color w:val="000000"/>
                <w:kern w:val="0"/>
                <w:szCs w:val="21"/>
              </w:rPr>
              <w:t>政府采购项目来源</w:t>
            </w:r>
          </w:p>
        </w:tc>
        <w:tc>
          <w:tcPr>
            <w:tcW w:w="1080"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采购物品名称</w:t>
            </w:r>
          </w:p>
        </w:tc>
        <w:tc>
          <w:tcPr>
            <w:tcW w:w="1080"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政府采购目录序号</w:t>
            </w:r>
          </w:p>
        </w:tc>
        <w:tc>
          <w:tcPr>
            <w:tcW w:w="795" w:type="dxa"/>
            <w:vMerge w:val="restart"/>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计量  单位</w:t>
            </w:r>
          </w:p>
        </w:tc>
        <w:tc>
          <w:tcPr>
            <w:tcW w:w="735" w:type="dxa"/>
            <w:vMerge w:val="restart"/>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数量</w:t>
            </w:r>
          </w:p>
        </w:tc>
        <w:tc>
          <w:tcPr>
            <w:tcW w:w="795" w:type="dxa"/>
            <w:vMerge w:val="restart"/>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单价</w:t>
            </w:r>
          </w:p>
        </w:tc>
        <w:tc>
          <w:tcPr>
            <w:tcW w:w="7110" w:type="dxa"/>
            <w:gridSpan w:val="7"/>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政府采购金额</w:t>
            </w:r>
          </w:p>
        </w:tc>
      </w:tr>
      <w:tr>
        <w:tblPrEx>
          <w:tblCellMar>
            <w:top w:w="0" w:type="dxa"/>
            <w:left w:w="108" w:type="dxa"/>
            <w:bottom w:w="0" w:type="dxa"/>
            <w:right w:w="108" w:type="dxa"/>
          </w:tblCellMar>
        </w:tblPrEx>
        <w:trPr>
          <w:trHeight w:val="540" w:hRule="atLeast"/>
        </w:trPr>
        <w:tc>
          <w:tcPr>
            <w:tcW w:w="1080" w:type="dxa"/>
            <w:vMerge w:val="restart"/>
            <w:tcBorders>
              <w:top w:val="nil"/>
              <w:left w:val="single" w:color="auto" w:sz="4" w:space="0"/>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项目名称</w:t>
            </w:r>
          </w:p>
        </w:tc>
        <w:tc>
          <w:tcPr>
            <w:tcW w:w="1080"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预算资金</w:t>
            </w: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3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945"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总计</w:t>
            </w:r>
          </w:p>
        </w:tc>
        <w:tc>
          <w:tcPr>
            <w:tcW w:w="6165" w:type="dxa"/>
            <w:gridSpan w:val="6"/>
            <w:tcBorders>
              <w:top w:val="nil"/>
              <w:left w:val="nil"/>
              <w:bottom w:val="nil"/>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当年部门预算安排资金</w:t>
            </w:r>
          </w:p>
        </w:tc>
      </w:tr>
      <w:tr>
        <w:tblPrEx>
          <w:tblCellMar>
            <w:top w:w="0" w:type="dxa"/>
            <w:left w:w="108" w:type="dxa"/>
            <w:bottom w:w="0" w:type="dxa"/>
            <w:right w:w="108" w:type="dxa"/>
          </w:tblCellMar>
        </w:tblPrEx>
        <w:trPr>
          <w:trHeight w:val="780" w:hRule="atLeast"/>
        </w:trPr>
        <w:tc>
          <w:tcPr>
            <w:tcW w:w="1080" w:type="dxa"/>
            <w:vMerge w:val="continue"/>
            <w:tcBorders>
              <w:top w:val="nil"/>
              <w:left w:val="single" w:color="auto" w:sz="4" w:space="0"/>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3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945"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65"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合计</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一般公共预算拨款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基金预算拨款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国有资本经营预算拨款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财政专户核拨</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rPr>
              <w:t>单位资金</w:t>
            </w:r>
          </w:p>
        </w:tc>
      </w:tr>
      <w:tr>
        <w:tblPrEx>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仿宋_GB2312" w:hAnsi="仿宋_GB2312" w:eastAsia="仿宋_GB2312" w:cs="仿宋_GB2312"/>
                <w:b/>
                <w:bCs/>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r>
      <w:tr>
        <w:tblPrEx>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仿宋_GB2312" w:hAnsi="仿宋_GB2312" w:eastAsia="仿宋_GB2312" w:cs="仿宋_GB2312"/>
                <w:b/>
                <w:bCs/>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r>
      <w:tr>
        <w:tblPrEx>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lef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方正书宋_GBK" w:hAnsi="方正书宋_GBK" w:eastAsia="方正书宋_GBK" w:cs="方正书宋_GBK"/>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ascii="方正书宋_GBK" w:hAnsi="方正书宋_GBK" w:eastAsia="方正书宋_GBK" w:cs="方正书宋_GBK"/>
                <w:color w:val="000000"/>
                <w:szCs w:val="21"/>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rPr>
                <w:rFonts w:ascii="方正书宋_GBK" w:hAnsi="方正书宋_GBK" w:eastAsia="方正书宋_GBK" w:cs="方正书宋_GBK"/>
                <w:color w:val="000000"/>
                <w:szCs w:val="21"/>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r>
    </w:tbl>
    <w:p>
      <w:pPr>
        <w:ind w:firstLine="688" w:firstLineChars="215"/>
        <w:rPr>
          <w:rFonts w:ascii="仿宋" w:hAnsi="仿宋" w:eastAsia="仿宋"/>
          <w:sz w:val="32"/>
          <w:szCs w:val="32"/>
        </w:rPr>
      </w:pPr>
      <w:r>
        <w:rPr>
          <w:rFonts w:hint="eastAsia" w:ascii="仿宋" w:hAnsi="仿宋" w:eastAsia="仿宋"/>
          <w:sz w:val="32"/>
          <w:szCs w:val="32"/>
        </w:rPr>
        <w:t>注：我单位无政府采购，空表列示。</w:t>
      </w:r>
    </w:p>
    <w:bookmarkEnd w:id="6"/>
    <w:p>
      <w:pPr>
        <w:ind w:firstLine="640" w:firstLineChars="200"/>
        <w:outlineLvl w:val="0"/>
        <w:rPr>
          <w:rFonts w:ascii="Times New Roman" w:hAnsi="Times New Roman" w:eastAsia="仿宋" w:cs="Times New Roman"/>
          <w:sz w:val="32"/>
          <w:szCs w:val="24"/>
        </w:rPr>
      </w:pPr>
    </w:p>
    <w:p>
      <w:pPr>
        <w:ind w:firstLine="640" w:firstLineChars="200"/>
        <w:outlineLvl w:val="0"/>
        <w:rPr>
          <w:rFonts w:ascii="Times New Roman" w:hAnsi="Times New Roman" w:eastAsia="仿宋" w:cs="Times New Roman"/>
          <w:sz w:val="32"/>
          <w:szCs w:val="24"/>
        </w:rPr>
      </w:pPr>
    </w:p>
    <w:p>
      <w:pPr>
        <w:ind w:firstLine="640" w:firstLineChars="200"/>
        <w:outlineLvl w:val="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无极县农业综合开发服务中心2019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49.116</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无极县农发中心</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49.116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13.5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35.616</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6</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10</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singleLevel"/>
    <w:tmpl w:val="00000002"/>
    <w:lvl w:ilvl="0" w:tentative="0">
      <w:start w:val="2"/>
      <w:numFmt w:val="decimal"/>
      <w:suff w:val="nothing"/>
      <w:lvlText w:val="%1、"/>
      <w:lvlJc w:val="left"/>
    </w:lvl>
  </w:abstractNum>
  <w:abstractNum w:abstractNumId="1">
    <w:nsid w:val="4ECE5BB8"/>
    <w:multiLevelType w:val="singleLevel"/>
    <w:tmpl w:val="4ECE5BB8"/>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D29B1"/>
    <w:rsid w:val="002A49AA"/>
    <w:rsid w:val="006C487D"/>
    <w:rsid w:val="00AD29B1"/>
    <w:rsid w:val="080C2BA1"/>
    <w:rsid w:val="192E6819"/>
    <w:rsid w:val="22F234A0"/>
    <w:rsid w:val="272E7F8C"/>
    <w:rsid w:val="3C7D4E52"/>
    <w:rsid w:val="42E0247E"/>
    <w:rsid w:val="48E1580A"/>
    <w:rsid w:val="4A7D5330"/>
    <w:rsid w:val="4FB310C2"/>
    <w:rsid w:val="529A15B1"/>
    <w:rsid w:val="5E0C54CA"/>
    <w:rsid w:val="65460AB7"/>
    <w:rsid w:val="669816FE"/>
    <w:rsid w:val="67DB6D8D"/>
    <w:rsid w:val="6C9E6F70"/>
    <w:rsid w:val="769B58B6"/>
    <w:rsid w:val="7E6B3FE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character" w:customStyle="1" w:styleId="10">
    <w:name w:val="页脚 Char"/>
    <w:link w:val="2"/>
    <w:semiHidden/>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uiPriority w:val="0"/>
    <w:rPr>
      <w:rFonts w:ascii="Times New Roman" w:hAnsi="Times New Roman" w:cs="Times New Roman"/>
      <w:szCs w:val="24"/>
    </w:rPr>
  </w:style>
  <w:style w:type="character" w:customStyle="1" w:styleId="13">
    <w:name w:val="页码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689</Words>
  <Characters>3930</Characters>
  <Lines>32</Lines>
  <Paragraphs>9</Paragraphs>
  <TotalTime>16</TotalTime>
  <ScaleCrop>false</ScaleCrop>
  <LinksUpToDate>false</LinksUpToDate>
  <CharactersWithSpaces>4610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2024-01-16T05:26:20Z</dcterms:modified>
  <dc:title>Administrator</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35CBCFA4D10949C992623BB284D01FDE</vt:lpwstr>
  </property>
</Properties>
</file>