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jc w:val="center"/>
        <w:rPr>
          <w:rFonts w:ascii="宋体" w:hAnsi="宋体" w:cs="宋体"/>
          <w:b/>
          <w:bCs/>
          <w:sz w:val="44"/>
          <w:szCs w:val="44"/>
        </w:rPr>
      </w:pPr>
      <w:r>
        <w:rPr>
          <w:rFonts w:hint="eastAsia" w:ascii="宋体" w:hAnsi="宋体" w:cs="宋体"/>
          <w:b/>
          <w:bCs/>
          <w:sz w:val="44"/>
          <w:szCs w:val="44"/>
        </w:rPr>
        <w:t>无极县农业综合开发办公室</w:t>
      </w:r>
    </w:p>
    <w:p>
      <w:pPr>
        <w:jc w:val="center"/>
        <w:rPr>
          <w:rFonts w:ascii="宋体" w:hAnsi="宋体" w:cs="宋体"/>
          <w:b/>
          <w:bCs/>
          <w:sz w:val="44"/>
          <w:szCs w:val="44"/>
        </w:rPr>
      </w:pPr>
      <w:r>
        <w:rPr>
          <w:rFonts w:hint="eastAsia" w:ascii="宋体" w:hAnsi="宋体" w:cs="宋体"/>
          <w:b/>
          <w:bCs/>
          <w:sz w:val="44"/>
          <w:szCs w:val="44"/>
        </w:rPr>
        <w:t>2019年部门预算信息公开</w:t>
      </w:r>
    </w:p>
    <w:p>
      <w:pPr>
        <w:jc w:val="left"/>
      </w:pP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、《地方预决算公开操作规程》和《河北省省级预算公开办法》规定，现将无极县农业综合开发办公室2019年部门预算公开如下：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pStyle w:val="9"/>
        <w:ind w:firstLine="0" w:firstLineChars="0"/>
        <w:rPr>
          <w:rFonts w:ascii="仿宋" w:hAnsi="仿宋" w:eastAsia="仿宋" w:cstheme="minorEastAsia"/>
          <w:sz w:val="32"/>
          <w:szCs w:val="32"/>
        </w:rPr>
      </w:pPr>
      <w:r>
        <w:rPr>
          <w:rFonts w:hint="eastAsia" w:asciiTheme="minorEastAsia" w:hAnsiTheme="minorEastAsia" w:cstheme="minorEastAsia"/>
          <w:sz w:val="32"/>
          <w:szCs w:val="32"/>
        </w:rPr>
        <w:t xml:space="preserve">    </w:t>
      </w:r>
      <w:r>
        <w:rPr>
          <w:rFonts w:hint="eastAsia" w:ascii="仿宋" w:hAnsi="仿宋" w:eastAsia="仿宋" w:cstheme="minorEastAsia"/>
          <w:sz w:val="32"/>
          <w:szCs w:val="32"/>
        </w:rPr>
        <w:t>1.负责贯彻落实国家及省市的农业综合开发政策。</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2.负责无极县农业综合开发项目的申请、立项。</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3.负责组织无极县土地治理项目物资、工程的招投标工作。</w:t>
      </w:r>
    </w:p>
    <w:p>
      <w:pPr>
        <w:pStyle w:val="9"/>
        <w:ind w:firstLine="0" w:firstLineChars="0"/>
        <w:rPr>
          <w:rFonts w:ascii="仿宋" w:hAnsi="仿宋" w:eastAsia="仿宋" w:cstheme="minorEastAsia"/>
          <w:sz w:val="32"/>
          <w:szCs w:val="32"/>
        </w:rPr>
      </w:pPr>
      <w:r>
        <w:rPr>
          <w:rFonts w:hint="eastAsia" w:ascii="仿宋" w:hAnsi="仿宋" w:eastAsia="仿宋" w:cstheme="minorEastAsia"/>
          <w:sz w:val="32"/>
          <w:szCs w:val="32"/>
        </w:rPr>
        <w:t xml:space="preserve">    4.负责无极县农业综合开发项目的监督实施、检查验收工作。</w:t>
      </w:r>
    </w:p>
    <w:p>
      <w:pPr>
        <w:pStyle w:val="9"/>
        <w:ind w:firstLine="636" w:firstLineChars="0"/>
        <w:rPr>
          <w:rFonts w:ascii="仿宋" w:hAnsi="仿宋" w:eastAsia="仿宋" w:cstheme="minorEastAsia"/>
          <w:sz w:val="32"/>
          <w:szCs w:val="32"/>
        </w:rPr>
      </w:pPr>
      <w:r>
        <w:rPr>
          <w:rFonts w:hint="eastAsia" w:ascii="仿宋" w:hAnsi="仿宋" w:eastAsia="仿宋" w:cstheme="minorEastAsia"/>
          <w:sz w:val="32"/>
          <w:szCs w:val="32"/>
        </w:rPr>
        <w:t>5.负责无极县农业综合开发项目资金的管理工作。</w:t>
      </w:r>
    </w:p>
    <w:p>
      <w:pPr>
        <w:pStyle w:val="9"/>
        <w:ind w:firstLine="636" w:firstLineChars="0"/>
        <w:rPr>
          <w:rFonts w:ascii="仿宋" w:hAnsi="仿宋" w:eastAsia="仿宋" w:cstheme="minorEastAsia"/>
          <w:sz w:val="32"/>
          <w:szCs w:val="32"/>
        </w:rPr>
      </w:pPr>
      <w:r>
        <w:rPr>
          <w:rFonts w:hint="eastAsia" w:ascii="仿宋" w:hAnsi="仿宋" w:eastAsia="仿宋" w:cstheme="minorEastAsia"/>
          <w:sz w:val="32"/>
          <w:szCs w:val="32"/>
        </w:rPr>
        <w:t>6.负责无极县县委、县政府安排的日常工作及其他事务。</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441</w:t>
            </w:r>
            <w:r>
              <w:rPr>
                <w:rFonts w:hint="eastAsia" w:ascii="方正小标宋_GBK" w:eastAsia="方正小标宋_GBK"/>
                <w:sz w:val="24"/>
              </w:rPr>
              <w:t>无极县农业综合开发办公室</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14</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11</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无极县农业综合开发办公室</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按照预算管理有关规定，目前我县部门预算的编制实行综合预算制度，即全部收入和支出都反映在预算里，无极县农业综合开发办公室及所属单位所有收支都包含在部门预算中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 w:hAnsi="仿宋" w:eastAsia="仿宋" w:cs="仿宋_GB2312"/>
          <w:sz w:val="32"/>
          <w:szCs w:val="32"/>
        </w:rPr>
      </w:pPr>
      <w:r>
        <w:rPr>
          <w:rFonts w:hint="eastAsia" w:ascii="仿宋" w:hAnsi="仿宋" w:eastAsia="仿宋" w:cs="仿宋_GB2312"/>
          <w:bCs/>
          <w:sz w:val="32"/>
          <w:szCs w:val="32"/>
        </w:rPr>
        <w:t>2019年预算收入总计158.66万元，其中一般公共预算收入158.66万元,其他来源收入0万元。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2019年预算支出158.66万元。其中，人员经费支出148.66万元，正常公用经费10万元。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 w:hAnsi="仿宋" w:eastAsia="仿宋"/>
          <w:sz w:val="32"/>
          <w:szCs w:val="32"/>
        </w:rPr>
      </w:pPr>
      <w:r>
        <w:rPr>
          <w:rFonts w:hint="eastAsia" w:ascii="仿宋" w:hAnsi="仿宋" w:eastAsia="仿宋" w:cs="仿宋_GB2312"/>
          <w:bCs/>
          <w:sz w:val="32"/>
          <w:szCs w:val="32"/>
        </w:rPr>
        <w:t>2019年预算收支总计158.66万元，比2018年减少316.7万元，主要是上级安排的农发项目资金减少。</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2019年，无极县农业综合开发办公室机关运行经费安排0万元。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rPr>
          <w:rFonts w:ascii="仿宋" w:hAnsi="仿宋" w:eastAsia="仿宋"/>
          <w:sz w:val="32"/>
          <w:szCs w:val="32"/>
        </w:rPr>
      </w:pPr>
      <w:r>
        <w:rPr>
          <w:rFonts w:hint="eastAsia" w:ascii="仿宋" w:hAnsi="仿宋" w:eastAsia="仿宋"/>
          <w:sz w:val="32"/>
          <w:szCs w:val="32"/>
        </w:rPr>
        <w:t>2019年,财政拨款“三公”经费预算安排1.5万元，其中：因出国（境）费0万元；公务用车购置及运行维护费1.5万元（其中公务用车运行维护费1.5 万元，公务用车购置0万元）；公务接待费</w:t>
      </w:r>
      <w:r>
        <w:rPr>
          <w:rFonts w:hint="eastAsia" w:ascii="仿宋" w:hAnsi="仿宋" w:eastAsia="仿宋"/>
          <w:color w:val="000000" w:themeColor="text1"/>
          <w:sz w:val="32"/>
          <w:szCs w:val="32"/>
        </w:rPr>
        <w:t>0</w:t>
      </w:r>
      <w:r>
        <w:rPr>
          <w:rFonts w:hint="eastAsia" w:ascii="仿宋" w:hAnsi="仿宋" w:eastAsia="仿宋"/>
          <w:sz w:val="32"/>
          <w:szCs w:val="32"/>
        </w:rPr>
        <w:t>万元。2019年“三公”经费比上年相比减少0.3万元，其中：因公出国（境）费与上年持平，无增减变化；公务用车购置及运行维护费与上年持平，无增减变化；公务接待费比上年减少0.3万元，</w:t>
      </w:r>
      <w:r>
        <w:rPr>
          <w:rFonts w:hint="eastAsia" w:ascii="仿宋" w:hAnsi="仿宋" w:eastAsia="仿宋" w:cs="仿宋_GB2312"/>
          <w:sz w:val="32"/>
          <w:szCs w:val="32"/>
        </w:rPr>
        <w:t>主要是因为我部门严格执行有关廉政法规、厉行节约</w:t>
      </w:r>
      <w:r>
        <w:rPr>
          <w:rFonts w:ascii="仿宋" w:hAnsi="仿宋" w:eastAsia="仿宋" w:cs="仿宋_GB2312"/>
          <w:sz w:val="32"/>
          <w:szCs w:val="32"/>
        </w:rPr>
        <w:t>。</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widowControl/>
        <w:shd w:val="clear" w:color="auto" w:fill="FFFFFF"/>
        <w:spacing w:line="300" w:lineRule="atLeast"/>
        <w:ind w:right="20" w:firstLine="640"/>
        <w:textAlignment w:val="bottom"/>
        <w:rPr>
          <w:color w:val="000000"/>
          <w:kern w:val="0"/>
          <w:sz w:val="20"/>
          <w:szCs w:val="20"/>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完成</w:t>
      </w:r>
      <w:r>
        <w:rPr>
          <w:rFonts w:hint="eastAsia" w:ascii="仿宋" w:eastAsia="仿宋"/>
          <w:color w:val="000000"/>
          <w:kern w:val="0"/>
          <w:sz w:val="32"/>
          <w:szCs w:val="32"/>
        </w:rPr>
        <w:t>2018年高标准农田建设项目，该项目位于大陈镇的赵户村，规模4800亩。总投资484万元，全部为财政资金，其中：中央财政资金346万元，省财政资金138万元。项目建设的主要内容：机泵配套127眼，配备井台、井盖127套，铺设地下防渗管道管道43.7km，修建过道保护装置40个、弯道保护装置10个。新修水泥路4.65km。营造农田防护林2300株。</w:t>
      </w:r>
    </w:p>
    <w:p>
      <w:pPr>
        <w:widowControl/>
        <w:shd w:val="clear" w:color="auto" w:fill="FFFFFF"/>
        <w:spacing w:line="300" w:lineRule="atLeast"/>
        <w:ind w:right="20" w:firstLine="640"/>
        <w:textAlignment w:val="bottom"/>
        <w:rPr>
          <w:color w:val="000000"/>
          <w:kern w:val="0"/>
          <w:sz w:val="20"/>
          <w:szCs w:val="20"/>
        </w:rPr>
      </w:pPr>
      <w:r>
        <w:rPr>
          <w:rFonts w:ascii="仿宋" w:hAnsi="仿宋" w:eastAsia="仿宋"/>
          <w:sz w:val="32"/>
          <w:szCs w:val="32"/>
        </w:rPr>
        <w:t>2</w:t>
      </w:r>
      <w:r>
        <w:rPr>
          <w:rFonts w:hint="eastAsia" w:ascii="仿宋" w:hAnsi="仿宋" w:eastAsia="仿宋"/>
          <w:sz w:val="32"/>
          <w:szCs w:val="32"/>
        </w:rPr>
        <w:t>.完成2018年度农发项目的验收及年初结转农发资金的支出</w:t>
      </w:r>
      <w:r>
        <w:rPr>
          <w:rFonts w:hint="eastAsia" w:ascii="仿宋" w:eastAsia="仿宋"/>
          <w:color w:val="000000"/>
          <w:kern w:val="0"/>
          <w:sz w:val="32"/>
          <w:szCs w:val="32"/>
        </w:rPr>
        <w:t>。</w:t>
      </w:r>
    </w:p>
    <w:p>
      <w:pPr>
        <w:widowControl/>
        <w:shd w:val="clear" w:color="auto" w:fill="FFFFFF"/>
        <w:spacing w:line="300" w:lineRule="atLeast"/>
        <w:ind w:right="20" w:firstLine="640"/>
        <w:textAlignment w:val="bottom"/>
        <w:rPr>
          <w:color w:val="000000"/>
          <w:kern w:val="0"/>
          <w:sz w:val="20"/>
          <w:szCs w:val="20"/>
        </w:rPr>
      </w:pP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申请201</w:t>
      </w:r>
      <w:r>
        <w:rPr>
          <w:rFonts w:hint="eastAsia" w:ascii="仿宋" w:hAnsi="仿宋" w:eastAsia="仿宋"/>
          <w:sz w:val="32"/>
          <w:szCs w:val="32"/>
        </w:rPr>
        <w:t>9</w:t>
      </w:r>
      <w:r>
        <w:rPr>
          <w:rFonts w:ascii="仿宋" w:hAnsi="仿宋" w:eastAsia="仿宋"/>
          <w:sz w:val="32"/>
          <w:szCs w:val="32"/>
        </w:rPr>
        <w:t>年度农业综合开发项目。</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完成201</w:t>
      </w:r>
      <w:r>
        <w:rPr>
          <w:rFonts w:hint="eastAsia" w:ascii="仿宋" w:hAnsi="仿宋" w:eastAsia="仿宋"/>
          <w:sz w:val="32"/>
          <w:szCs w:val="32"/>
        </w:rPr>
        <w:t>8</w:t>
      </w:r>
      <w:r>
        <w:rPr>
          <w:rFonts w:ascii="仿宋" w:hAnsi="仿宋" w:eastAsia="仿宋"/>
          <w:sz w:val="32"/>
          <w:szCs w:val="32"/>
        </w:rPr>
        <w:t>年度高标准农田建设项目。</w:t>
      </w:r>
    </w:p>
    <w:p>
      <w:pPr>
        <w:ind w:firstLine="56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完成201</w:t>
      </w:r>
      <w:r>
        <w:rPr>
          <w:rFonts w:hint="eastAsia" w:ascii="仿宋" w:hAnsi="仿宋" w:eastAsia="仿宋"/>
          <w:sz w:val="32"/>
          <w:szCs w:val="32"/>
        </w:rPr>
        <w:t>8</w:t>
      </w:r>
      <w:r>
        <w:rPr>
          <w:rFonts w:ascii="仿宋" w:hAnsi="仿宋" w:eastAsia="仿宋"/>
          <w:sz w:val="32"/>
          <w:szCs w:val="32"/>
        </w:rPr>
        <w:t>年度高标准农田建设项目</w:t>
      </w:r>
      <w:r>
        <w:rPr>
          <w:rFonts w:hint="eastAsia" w:ascii="仿宋" w:hAnsi="仿宋" w:eastAsia="仿宋"/>
          <w:sz w:val="32"/>
          <w:szCs w:val="32"/>
        </w:rPr>
        <w:t>结转资金支出</w:t>
      </w:r>
      <w:r>
        <w:rPr>
          <w:rFonts w:ascii="仿宋" w:hAnsi="仿宋" w:eastAsia="仿宋"/>
          <w:sz w:val="32"/>
          <w:szCs w:val="32"/>
        </w:rPr>
        <w:t>。</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jc w:val="center"/>
        <w:outlineLvl w:val="0"/>
        <w:rPr>
          <w:rFonts w:ascii="仿宋" w:hAnsi="仿宋" w:eastAsia="仿宋"/>
          <w:sz w:val="32"/>
        </w:rPr>
      </w:pPr>
      <w:bookmarkStart w:id="0" w:name="_Toc510268707"/>
      <w:r>
        <w:rPr>
          <w:rFonts w:hint="eastAsia" w:ascii="仿宋" w:hAnsi="仿宋" w:eastAsia="仿宋"/>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仿宋" w:hAnsi="仿宋" w:eastAsia="仿宋"/>
                <w:sz w:val="24"/>
              </w:rPr>
            </w:pPr>
            <w:r>
              <w:rPr>
                <w:rFonts w:ascii="仿宋" w:hAnsi="仿宋" w:eastAsia="仿宋"/>
                <w:sz w:val="24"/>
              </w:rPr>
              <w:t>441</w:t>
            </w:r>
            <w:r>
              <w:rPr>
                <w:rFonts w:hint="eastAsia" w:ascii="仿宋" w:hAnsi="仿宋" w:eastAsia="仿宋"/>
                <w:sz w:val="24"/>
              </w:rPr>
              <w:t>无极县农业综合开发办公室</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仿宋" w:hAnsi="仿宋" w:eastAsia="仿宋"/>
                <w:sz w:val="24"/>
              </w:rPr>
            </w:pPr>
            <w:r>
              <w:rPr>
                <w:rFonts w:hint="eastAsia" w:ascii="仿宋" w:hAnsi="仿宋" w:eastAsia="仿宋"/>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职责活动</w:t>
            </w:r>
          </w:p>
        </w:tc>
        <w:tc>
          <w:tcPr>
            <w:tcW w:w="1276"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年度预算数</w:t>
            </w:r>
          </w:p>
        </w:tc>
        <w:tc>
          <w:tcPr>
            <w:tcW w:w="2976"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内容描述</w:t>
            </w:r>
          </w:p>
        </w:tc>
        <w:tc>
          <w:tcPr>
            <w:tcW w:w="2976"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绩效目标</w:t>
            </w:r>
          </w:p>
        </w:tc>
        <w:tc>
          <w:tcPr>
            <w:tcW w:w="1417" w:type="dxa"/>
            <w:vMerge w:val="restart"/>
            <w:shd w:val="clear" w:color="auto" w:fill="auto"/>
            <w:vAlign w:val="center"/>
          </w:tcPr>
          <w:p>
            <w:pPr>
              <w:spacing w:line="300" w:lineRule="exact"/>
              <w:jc w:val="center"/>
              <w:rPr>
                <w:rFonts w:ascii="仿宋" w:hAnsi="仿宋" w:eastAsia="仿宋"/>
                <w:b/>
              </w:rPr>
            </w:pPr>
            <w:r>
              <w:rPr>
                <w:rFonts w:hint="eastAsia" w:ascii="仿宋" w:hAnsi="仿宋" w:eastAsia="仿宋"/>
                <w:b/>
              </w:rPr>
              <w:t>绩效指标</w:t>
            </w:r>
          </w:p>
        </w:tc>
        <w:tc>
          <w:tcPr>
            <w:tcW w:w="2948" w:type="dxa"/>
            <w:gridSpan w:val="4"/>
            <w:shd w:val="clear" w:color="auto" w:fill="auto"/>
            <w:vAlign w:val="center"/>
          </w:tcPr>
          <w:p>
            <w:pPr>
              <w:spacing w:line="300" w:lineRule="exact"/>
              <w:jc w:val="center"/>
              <w:rPr>
                <w:rFonts w:ascii="仿宋" w:hAnsi="仿宋" w:eastAsia="仿宋"/>
                <w:b/>
              </w:rPr>
            </w:pPr>
            <w:r>
              <w:rPr>
                <w:rFonts w:hint="eastAsia" w:ascii="仿宋" w:hAnsi="仿宋" w:eastAsia="仿宋"/>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rPr>
                <w:rFonts w:ascii="仿宋" w:hAnsi="仿宋" w:eastAsia="仿宋"/>
              </w:rPr>
            </w:pPr>
          </w:p>
        </w:tc>
        <w:tc>
          <w:tcPr>
            <w:tcW w:w="1276" w:type="dxa"/>
            <w:vMerge w:val="continue"/>
            <w:shd w:val="clear" w:color="auto" w:fill="auto"/>
            <w:vAlign w:val="center"/>
          </w:tcPr>
          <w:p>
            <w:pPr>
              <w:spacing w:line="300" w:lineRule="exact"/>
              <w:jc w:val="left"/>
              <w:outlineLvl w:val="0"/>
              <w:rPr>
                <w:rFonts w:ascii="仿宋" w:hAnsi="仿宋" w:eastAsia="仿宋"/>
              </w:rPr>
            </w:pPr>
          </w:p>
        </w:tc>
        <w:tc>
          <w:tcPr>
            <w:tcW w:w="2976" w:type="dxa"/>
            <w:vMerge w:val="continue"/>
            <w:shd w:val="clear" w:color="auto" w:fill="auto"/>
            <w:vAlign w:val="center"/>
          </w:tcPr>
          <w:p>
            <w:pPr>
              <w:spacing w:line="300" w:lineRule="exact"/>
              <w:jc w:val="left"/>
              <w:outlineLvl w:val="0"/>
              <w:rPr>
                <w:rFonts w:ascii="仿宋" w:hAnsi="仿宋" w:eastAsia="仿宋"/>
              </w:rPr>
            </w:pPr>
          </w:p>
        </w:tc>
        <w:tc>
          <w:tcPr>
            <w:tcW w:w="2976" w:type="dxa"/>
            <w:vMerge w:val="continue"/>
            <w:shd w:val="clear" w:color="auto" w:fill="auto"/>
            <w:vAlign w:val="center"/>
          </w:tcPr>
          <w:p>
            <w:pPr>
              <w:spacing w:line="300" w:lineRule="exact"/>
              <w:jc w:val="left"/>
              <w:outlineLvl w:val="0"/>
              <w:rPr>
                <w:rFonts w:ascii="仿宋" w:hAnsi="仿宋" w:eastAsia="仿宋"/>
              </w:rPr>
            </w:pPr>
          </w:p>
        </w:tc>
        <w:tc>
          <w:tcPr>
            <w:tcW w:w="1417" w:type="dxa"/>
            <w:vMerge w:val="continue"/>
            <w:shd w:val="clear" w:color="auto" w:fill="auto"/>
            <w:vAlign w:val="center"/>
          </w:tcPr>
          <w:p>
            <w:pPr>
              <w:spacing w:line="300" w:lineRule="exact"/>
              <w:jc w:val="left"/>
              <w:outlineLvl w:val="0"/>
              <w:rPr>
                <w:rFonts w:ascii="仿宋" w:hAnsi="仿宋" w:eastAsia="仿宋"/>
              </w:rPr>
            </w:pPr>
          </w:p>
        </w:tc>
        <w:tc>
          <w:tcPr>
            <w:tcW w:w="737" w:type="dxa"/>
            <w:shd w:val="clear" w:color="auto" w:fill="auto"/>
            <w:vAlign w:val="center"/>
          </w:tcPr>
          <w:p>
            <w:pPr>
              <w:spacing w:line="300" w:lineRule="exact"/>
              <w:jc w:val="center"/>
              <w:rPr>
                <w:rFonts w:ascii="仿宋" w:hAnsi="仿宋" w:eastAsia="仿宋"/>
                <w:b/>
              </w:rPr>
            </w:pPr>
            <w:r>
              <w:rPr>
                <w:rFonts w:hint="eastAsia" w:ascii="仿宋" w:hAnsi="仿宋" w:eastAsia="仿宋"/>
                <w:b/>
              </w:rPr>
              <w:t>优</w:t>
            </w:r>
          </w:p>
        </w:tc>
        <w:tc>
          <w:tcPr>
            <w:tcW w:w="737" w:type="dxa"/>
            <w:shd w:val="clear" w:color="auto" w:fill="auto"/>
            <w:vAlign w:val="center"/>
          </w:tcPr>
          <w:p>
            <w:pPr>
              <w:spacing w:line="300" w:lineRule="exact"/>
              <w:jc w:val="center"/>
              <w:rPr>
                <w:rFonts w:ascii="仿宋" w:hAnsi="仿宋" w:eastAsia="仿宋"/>
                <w:b/>
              </w:rPr>
            </w:pPr>
            <w:r>
              <w:rPr>
                <w:rFonts w:hint="eastAsia" w:ascii="仿宋" w:hAnsi="仿宋" w:eastAsia="仿宋"/>
                <w:b/>
              </w:rPr>
              <w:t>良</w:t>
            </w:r>
          </w:p>
        </w:tc>
        <w:tc>
          <w:tcPr>
            <w:tcW w:w="737" w:type="dxa"/>
            <w:shd w:val="clear" w:color="auto" w:fill="auto"/>
            <w:vAlign w:val="center"/>
          </w:tcPr>
          <w:p>
            <w:pPr>
              <w:spacing w:line="300" w:lineRule="exact"/>
              <w:jc w:val="center"/>
              <w:rPr>
                <w:rFonts w:ascii="仿宋" w:hAnsi="仿宋" w:eastAsia="仿宋"/>
                <w:b/>
              </w:rPr>
            </w:pPr>
            <w:r>
              <w:rPr>
                <w:rFonts w:hint="eastAsia" w:ascii="仿宋" w:hAnsi="仿宋" w:eastAsia="仿宋"/>
                <w:b/>
              </w:rPr>
              <w:t>中</w:t>
            </w:r>
          </w:p>
        </w:tc>
        <w:tc>
          <w:tcPr>
            <w:tcW w:w="737" w:type="dxa"/>
            <w:shd w:val="clear" w:color="auto" w:fill="auto"/>
            <w:vAlign w:val="center"/>
          </w:tcPr>
          <w:p>
            <w:pPr>
              <w:spacing w:line="300" w:lineRule="exact"/>
              <w:jc w:val="center"/>
              <w:rPr>
                <w:rFonts w:ascii="仿宋" w:hAnsi="仿宋" w:eastAsia="仿宋"/>
                <w:b/>
              </w:rPr>
            </w:pPr>
            <w:r>
              <w:rPr>
                <w:rFonts w:hint="eastAsia" w:ascii="仿宋" w:hAnsi="仿宋" w:eastAsia="仿宋"/>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rPr>
            </w:pPr>
            <w:r>
              <w:rPr>
                <w:rFonts w:hint="eastAsia" w:ascii="仿宋" w:hAnsi="仿宋" w:eastAsia="仿宋"/>
                <w:b/>
              </w:rPr>
              <w:t>一、农业综合开发</w:t>
            </w:r>
          </w:p>
        </w:tc>
        <w:tc>
          <w:tcPr>
            <w:tcW w:w="1276" w:type="dxa"/>
            <w:shd w:val="clear" w:color="auto" w:fill="auto"/>
            <w:vAlign w:val="center"/>
          </w:tcPr>
          <w:p>
            <w:pPr>
              <w:spacing w:line="300" w:lineRule="exact"/>
              <w:jc w:val="left"/>
              <w:rPr>
                <w:rFonts w:ascii="仿宋" w:hAnsi="仿宋" w:eastAsia="仿宋"/>
              </w:rPr>
            </w:pP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贯彻国家农业综合开发方针，执行全县农业综合开发政策及项目立项、实施、检查验收等管理办法，管理县农业综合开发资金和各类农业综合开发项目。</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在全县实施农业综合开发土地治理、产业化经营、示范区等项目</w:t>
            </w:r>
            <w:r>
              <w:rPr>
                <w:rFonts w:ascii="仿宋" w:hAnsi="仿宋" w:eastAsia="仿宋"/>
              </w:rPr>
              <w:t>,</w:t>
            </w:r>
            <w:r>
              <w:rPr>
                <w:rFonts w:hint="eastAsia" w:ascii="仿宋" w:hAnsi="仿宋" w:eastAsia="仿宋"/>
              </w:rPr>
              <w:t>依据省、市确定的项目配套比例，筹集县级配套资金；在全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tc>
        <w:tc>
          <w:tcPr>
            <w:tcW w:w="1417" w:type="dxa"/>
            <w:shd w:val="clear" w:color="auto" w:fill="auto"/>
            <w:vAlign w:val="center"/>
          </w:tcPr>
          <w:p>
            <w:pPr>
              <w:spacing w:line="300" w:lineRule="exact"/>
              <w:jc w:val="left"/>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rPr>
            </w:pPr>
            <w:r>
              <w:rPr>
                <w:rFonts w:ascii="仿宋" w:hAnsi="仿宋" w:eastAsia="仿宋"/>
                <w:b/>
              </w:rPr>
              <w:t>1</w:t>
            </w:r>
            <w:r>
              <w:rPr>
                <w:rFonts w:hint="eastAsia" w:ascii="仿宋" w:hAnsi="仿宋" w:eastAsia="仿宋"/>
                <w:b/>
              </w:rPr>
              <w:t>、农业综合开发土地治理</w:t>
            </w:r>
          </w:p>
        </w:tc>
        <w:tc>
          <w:tcPr>
            <w:tcW w:w="1276" w:type="dxa"/>
            <w:shd w:val="clear" w:color="auto" w:fill="auto"/>
            <w:vAlign w:val="center"/>
          </w:tcPr>
          <w:p>
            <w:pPr>
              <w:spacing w:line="300" w:lineRule="exact"/>
              <w:jc w:val="left"/>
              <w:rPr>
                <w:rFonts w:ascii="仿宋" w:hAnsi="仿宋" w:eastAsia="仿宋"/>
              </w:rPr>
            </w:pP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组织土地治理项目的申请、建设及资金使用，对土地治理项目进行县级验收；接受上级对土地治理项目的检查验收。</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有效改善农业生产条件和生态环境，提高农业综合生产能力；探索现代农业发展路径，示范引导全县现代农业发展。</w:t>
            </w: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年度土地治理项目实施计划中各项分类措施的建设任务验收完成率</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85%</w:t>
            </w:r>
            <w:r>
              <w:rPr>
                <w:rFonts w:hint="eastAsia" w:ascii="仿宋" w:hAnsi="仿宋" w:eastAsia="仿宋"/>
              </w:rPr>
              <w:t>以上</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75%</w:t>
            </w:r>
            <w:r>
              <w:rPr>
                <w:rFonts w:hint="eastAsia" w:ascii="仿宋" w:hAnsi="仿宋" w:eastAsia="仿宋"/>
              </w:rPr>
              <w:t>以上</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75%</w:t>
            </w:r>
            <w:r>
              <w:rPr>
                <w:rFonts w:hint="eastAsia" w:ascii="仿宋" w:hAnsi="仿宋" w:eastAsia="仿宋"/>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仿宋" w:hAnsi="仿宋" w:eastAsia="仿宋"/>
                <w:b/>
              </w:rPr>
            </w:pPr>
            <w:r>
              <w:rPr>
                <w:rFonts w:ascii="仿宋" w:hAnsi="仿宋" w:eastAsia="仿宋"/>
                <w:b/>
              </w:rPr>
              <w:t>2</w:t>
            </w:r>
            <w:r>
              <w:rPr>
                <w:rFonts w:hint="eastAsia" w:ascii="仿宋" w:hAnsi="仿宋" w:eastAsia="仿宋"/>
                <w:b/>
              </w:rPr>
              <w:t>、农业产业化</w:t>
            </w:r>
          </w:p>
        </w:tc>
        <w:tc>
          <w:tcPr>
            <w:tcW w:w="1276" w:type="dxa"/>
            <w:vMerge w:val="restart"/>
            <w:shd w:val="clear" w:color="auto" w:fill="auto"/>
            <w:vAlign w:val="center"/>
          </w:tcPr>
          <w:p>
            <w:pPr>
              <w:spacing w:line="300" w:lineRule="exact"/>
              <w:jc w:val="left"/>
              <w:rPr>
                <w:rFonts w:ascii="仿宋" w:hAnsi="仿宋" w:eastAsia="仿宋"/>
              </w:rPr>
            </w:pPr>
          </w:p>
        </w:tc>
        <w:tc>
          <w:tcPr>
            <w:tcW w:w="2976"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落实农业综合开发产业化经营项目管理办法、农业综合开发产业化经营项目中长期规划和年度项目计划；监督农业综合开发产业化经营项目计划的执行。</w:t>
            </w:r>
          </w:p>
        </w:tc>
        <w:tc>
          <w:tcPr>
            <w:tcW w:w="2976" w:type="dxa"/>
            <w:vMerge w:val="restart"/>
            <w:shd w:val="clear" w:color="auto" w:fill="auto"/>
            <w:vAlign w:val="center"/>
          </w:tcPr>
          <w:p>
            <w:pPr>
              <w:spacing w:line="300" w:lineRule="exact"/>
              <w:jc w:val="left"/>
              <w:rPr>
                <w:rFonts w:ascii="仿宋" w:hAnsi="仿宋" w:eastAsia="仿宋"/>
              </w:rPr>
            </w:pPr>
            <w:r>
              <w:rPr>
                <w:rFonts w:hint="eastAsia" w:ascii="仿宋" w:hAnsi="仿宋" w:eastAsia="仿宋"/>
              </w:rPr>
              <w:t>通过扶持农业龙头企业、农业合作社和新型经营主体，带动项目区农业特色主导产业发展，提升我县农业产业化整体水平。</w:t>
            </w: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产业化补助项目立项评审合规率</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rPr>
                <w:rFonts w:ascii="仿宋" w:hAnsi="仿宋" w:eastAsia="仿宋"/>
              </w:rPr>
            </w:pPr>
            <w:r>
              <w:rPr>
                <w:rFonts w:hint="eastAsia" w:ascii="仿宋" w:hAnsi="仿宋" w:eastAsia="仿宋"/>
              </w:rPr>
              <w:t>＜</w:t>
            </w:r>
            <w:r>
              <w:rPr>
                <w:rFonts w:ascii="仿宋" w:hAnsi="仿宋" w:eastAsia="仿宋"/>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rPr>
            </w:pPr>
          </w:p>
        </w:tc>
        <w:tc>
          <w:tcPr>
            <w:tcW w:w="12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项目验收通过率</w:t>
            </w: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rPr>
            </w:pPr>
          </w:p>
        </w:tc>
        <w:tc>
          <w:tcPr>
            <w:tcW w:w="12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农业龙头企业销售收入增长率</w:t>
            </w: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rPr>
            </w:pPr>
          </w:p>
        </w:tc>
        <w:tc>
          <w:tcPr>
            <w:tcW w:w="12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2976" w:type="dxa"/>
            <w:vMerge w:val="continue"/>
            <w:shd w:val="clear" w:color="auto" w:fill="auto"/>
            <w:vAlign w:val="center"/>
          </w:tcPr>
          <w:p>
            <w:pPr>
              <w:spacing w:line="300" w:lineRule="exact"/>
              <w:jc w:val="left"/>
              <w:rPr>
                <w:rFonts w:ascii="仿宋" w:hAnsi="仿宋" w:eastAsia="仿宋"/>
              </w:rPr>
            </w:pP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特色主导产业收益增长率</w:t>
            </w: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rPr>
            </w:pPr>
            <w:r>
              <w:rPr>
                <w:rFonts w:hint="eastAsia" w:ascii="仿宋" w:hAnsi="仿宋" w:eastAsia="仿宋"/>
                <w:b/>
              </w:rPr>
              <w:t>二、政务管理</w:t>
            </w:r>
          </w:p>
        </w:tc>
        <w:tc>
          <w:tcPr>
            <w:tcW w:w="1276" w:type="dxa"/>
            <w:shd w:val="clear" w:color="auto" w:fill="auto"/>
            <w:vAlign w:val="center"/>
          </w:tcPr>
          <w:p>
            <w:pPr>
              <w:spacing w:line="300" w:lineRule="exact"/>
              <w:jc w:val="left"/>
              <w:rPr>
                <w:rFonts w:ascii="仿宋" w:hAnsi="仿宋" w:eastAsia="仿宋"/>
              </w:rPr>
            </w:pP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负责部门综合业务管理和综合事务管理。</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落实农业综合开发政策，编制农业综合开发中长期规划，监督农业综合开发项目计划执行，保障机关规范高效运转，保障农发资金规范高效使用。</w:t>
            </w:r>
          </w:p>
        </w:tc>
        <w:tc>
          <w:tcPr>
            <w:tcW w:w="1417" w:type="dxa"/>
            <w:shd w:val="clear" w:color="auto" w:fill="auto"/>
            <w:vAlign w:val="center"/>
          </w:tcPr>
          <w:p>
            <w:pPr>
              <w:spacing w:line="300" w:lineRule="exact"/>
              <w:jc w:val="left"/>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c>
          <w:tcPr>
            <w:tcW w:w="737" w:type="dxa"/>
            <w:shd w:val="clear" w:color="auto" w:fill="auto"/>
            <w:vAlign w:val="center"/>
          </w:tcPr>
          <w:p>
            <w:pPr>
              <w:spacing w:line="300" w:lineRule="exact"/>
              <w:jc w:val="center"/>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rPr>
            </w:pPr>
            <w:r>
              <w:rPr>
                <w:rFonts w:ascii="仿宋" w:hAnsi="仿宋" w:eastAsia="仿宋"/>
                <w:b/>
              </w:rPr>
              <w:t>1</w:t>
            </w:r>
            <w:r>
              <w:rPr>
                <w:rFonts w:hint="eastAsia" w:ascii="仿宋" w:hAnsi="仿宋" w:eastAsia="仿宋"/>
                <w:b/>
              </w:rPr>
              <w:t>、综合事务管理</w:t>
            </w:r>
          </w:p>
        </w:tc>
        <w:tc>
          <w:tcPr>
            <w:tcW w:w="1276" w:type="dxa"/>
            <w:shd w:val="clear" w:color="auto" w:fill="auto"/>
            <w:vAlign w:val="center"/>
          </w:tcPr>
          <w:p>
            <w:pPr>
              <w:spacing w:line="300" w:lineRule="exact"/>
              <w:jc w:val="left"/>
              <w:rPr>
                <w:rFonts w:ascii="仿宋" w:hAnsi="仿宋" w:eastAsia="仿宋"/>
              </w:rPr>
            </w:pP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会议组织管理、信息化建设与维护、财务和资产管理、标准化建设。</w:t>
            </w:r>
          </w:p>
        </w:tc>
        <w:tc>
          <w:tcPr>
            <w:tcW w:w="2976" w:type="dxa"/>
            <w:shd w:val="clear" w:color="auto" w:fill="auto"/>
            <w:vAlign w:val="center"/>
          </w:tcPr>
          <w:p>
            <w:pPr>
              <w:spacing w:line="300" w:lineRule="exact"/>
              <w:jc w:val="left"/>
              <w:rPr>
                <w:rFonts w:ascii="仿宋" w:hAnsi="仿宋" w:eastAsia="仿宋"/>
              </w:rPr>
            </w:pPr>
            <w:r>
              <w:rPr>
                <w:rFonts w:hint="eastAsia" w:ascii="仿宋" w:hAnsi="仿宋" w:eastAsia="仿宋"/>
              </w:rPr>
              <w:t>确保机关工作正常运行</w:t>
            </w:r>
          </w:p>
        </w:tc>
        <w:tc>
          <w:tcPr>
            <w:tcW w:w="1417" w:type="dxa"/>
            <w:shd w:val="clear" w:color="auto" w:fill="auto"/>
            <w:vAlign w:val="center"/>
          </w:tcPr>
          <w:p>
            <w:pPr>
              <w:spacing w:line="300" w:lineRule="exact"/>
              <w:jc w:val="left"/>
              <w:rPr>
                <w:rFonts w:ascii="仿宋" w:hAnsi="仿宋" w:eastAsia="仿宋"/>
              </w:rPr>
            </w:pPr>
            <w:r>
              <w:rPr>
                <w:rFonts w:hint="eastAsia" w:ascii="仿宋" w:hAnsi="仿宋" w:eastAsia="仿宋"/>
              </w:rPr>
              <w:t>工作完成率</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100%</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85%</w:t>
            </w:r>
            <w:r>
              <w:rPr>
                <w:rFonts w:hint="eastAsia" w:ascii="仿宋" w:hAnsi="仿宋" w:eastAsia="仿宋"/>
              </w:rPr>
              <w:t>以上</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75%</w:t>
            </w:r>
            <w:r>
              <w:rPr>
                <w:rFonts w:hint="eastAsia" w:ascii="仿宋" w:hAnsi="仿宋" w:eastAsia="仿宋"/>
              </w:rPr>
              <w:t>以上</w:t>
            </w:r>
          </w:p>
        </w:tc>
        <w:tc>
          <w:tcPr>
            <w:tcW w:w="737" w:type="dxa"/>
            <w:shd w:val="clear" w:color="auto" w:fill="auto"/>
            <w:vAlign w:val="center"/>
          </w:tcPr>
          <w:p>
            <w:pPr>
              <w:spacing w:line="300" w:lineRule="exact"/>
              <w:jc w:val="center"/>
              <w:rPr>
                <w:rFonts w:ascii="仿宋" w:hAnsi="仿宋" w:eastAsia="仿宋"/>
              </w:rPr>
            </w:pPr>
            <w:r>
              <w:rPr>
                <w:rFonts w:ascii="仿宋" w:hAnsi="仿宋" w:eastAsia="仿宋"/>
              </w:rPr>
              <w:t>75%</w:t>
            </w:r>
            <w:r>
              <w:rPr>
                <w:rFonts w:hint="eastAsia" w:ascii="仿宋" w:hAnsi="仿宋" w:eastAsia="仿宋"/>
              </w:rPr>
              <w:t>以下</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ind w:firstLine="645"/>
        <w:rPr>
          <w:rFonts w:ascii="楷体" w:hAnsi="楷体" w:eastAsia="楷体"/>
          <w:sz w:val="32"/>
          <w:szCs w:val="32"/>
        </w:rPr>
      </w:pPr>
      <w:r>
        <w:rPr>
          <w:rFonts w:hint="eastAsia" w:ascii="楷体" w:hAnsi="楷体" w:eastAsia="楷体"/>
          <w:sz w:val="32"/>
          <w:szCs w:val="32"/>
        </w:rPr>
        <w:t>（四）实现年度发展规划目标的保障措施</w:t>
      </w:r>
    </w:p>
    <w:p>
      <w:pPr>
        <w:autoSpaceDE w:val="0"/>
        <w:autoSpaceDN w:val="0"/>
        <w:adjustRightInd w:val="0"/>
        <w:ind w:left="198" w:firstLine="640" w:firstLineChars="200"/>
        <w:jc w:val="left"/>
        <w:rPr>
          <w:rFonts w:eastAsia="仿宋"/>
          <w:sz w:val="32"/>
          <w:szCs w:val="32"/>
        </w:rPr>
      </w:pPr>
      <w:r>
        <w:rPr>
          <w:rFonts w:hint="eastAsia" w:eastAsia="仿宋"/>
          <w:sz w:val="32"/>
          <w:szCs w:val="32"/>
        </w:rPr>
        <w:t>完善制度建设。完善预算绩效管理制度、资金管理办法、项目管理办法、工作保障制度等。</w:t>
      </w:r>
    </w:p>
    <w:p>
      <w:pPr>
        <w:autoSpaceDE w:val="0"/>
        <w:autoSpaceDN w:val="0"/>
        <w:adjustRightInd w:val="0"/>
        <w:ind w:left="198" w:firstLine="640" w:firstLineChars="200"/>
        <w:jc w:val="left"/>
        <w:rPr>
          <w:rFonts w:eastAsia="仿宋"/>
          <w:sz w:val="32"/>
          <w:szCs w:val="32"/>
        </w:rPr>
      </w:pPr>
      <w:r>
        <w:rPr>
          <w:rFonts w:hint="eastAsia" w:eastAsia="仿宋"/>
          <w:sz w:val="32"/>
          <w:szCs w:val="32"/>
        </w:rPr>
        <w:t>加强支出管理。编细编实预算、发改系统备案进行公开招标、及时支付资金。</w:t>
      </w:r>
    </w:p>
    <w:p>
      <w:pPr>
        <w:autoSpaceDE w:val="0"/>
        <w:autoSpaceDN w:val="0"/>
        <w:adjustRightInd w:val="0"/>
        <w:ind w:left="198" w:firstLine="640" w:firstLineChars="200"/>
        <w:jc w:val="left"/>
        <w:rPr>
          <w:rFonts w:eastAsia="仿宋"/>
          <w:sz w:val="32"/>
          <w:szCs w:val="32"/>
        </w:rPr>
      </w:pPr>
      <w:r>
        <w:rPr>
          <w:rFonts w:hint="eastAsia" w:eastAsia="仿宋"/>
          <w:sz w:val="32"/>
          <w:szCs w:val="32"/>
        </w:rPr>
        <w:t>加强绩效运行监控。按要求开展运行监控、发现问题及时采取措施确保绩效目标如期保质实现。</w:t>
      </w:r>
    </w:p>
    <w:p>
      <w:pPr>
        <w:autoSpaceDE w:val="0"/>
        <w:autoSpaceDN w:val="0"/>
        <w:adjustRightInd w:val="0"/>
        <w:ind w:left="198" w:firstLine="640" w:firstLineChars="200"/>
        <w:jc w:val="left"/>
        <w:rPr>
          <w:rFonts w:eastAsia="仿宋"/>
          <w:sz w:val="32"/>
          <w:szCs w:val="32"/>
        </w:rPr>
      </w:pPr>
      <w:r>
        <w:rPr>
          <w:rFonts w:hint="eastAsia" w:eastAsia="仿宋"/>
          <w:sz w:val="32"/>
          <w:szCs w:val="32"/>
        </w:rPr>
        <w:t>做好绩效自评，对评价中发现的问题及时整改，提高财政资金使用效益。</w:t>
      </w:r>
    </w:p>
    <w:p>
      <w:pPr>
        <w:autoSpaceDE w:val="0"/>
        <w:autoSpaceDN w:val="0"/>
        <w:adjustRightInd w:val="0"/>
        <w:ind w:left="198" w:firstLine="640" w:firstLineChars="200"/>
        <w:jc w:val="left"/>
        <w:rPr>
          <w:rFonts w:eastAsia="仿宋"/>
          <w:sz w:val="32"/>
          <w:szCs w:val="32"/>
        </w:rPr>
      </w:pPr>
      <w:r>
        <w:rPr>
          <w:rFonts w:hint="eastAsia" w:eastAsia="仿宋"/>
          <w:sz w:val="32"/>
          <w:szCs w:val="32"/>
        </w:rPr>
        <w:t>规范财务资产管理。完善财务管理制度，严格审批程序，做到支出合理。</w:t>
      </w:r>
    </w:p>
    <w:p>
      <w:pPr>
        <w:autoSpaceDE w:val="0"/>
        <w:autoSpaceDN w:val="0"/>
        <w:adjustRightInd w:val="0"/>
        <w:ind w:left="198" w:firstLine="640" w:firstLineChars="200"/>
        <w:jc w:val="left"/>
        <w:rPr>
          <w:rFonts w:eastAsia="仿宋"/>
          <w:sz w:val="32"/>
          <w:szCs w:val="32"/>
        </w:rPr>
      </w:pPr>
      <w:r>
        <w:rPr>
          <w:rFonts w:hint="eastAsia" w:eastAsia="仿宋"/>
          <w:sz w:val="32"/>
          <w:szCs w:val="32"/>
        </w:rPr>
        <w:t>加强内部监督。加强内部监督制度建设，对绩效运行情况重大支出决策进行督导，对会计资料进行内部审计并配合审计、财政监督等外部监督工作，确保财政资金安全有效。</w:t>
      </w:r>
    </w:p>
    <w:p>
      <w:pPr>
        <w:autoSpaceDE w:val="0"/>
        <w:autoSpaceDN w:val="0"/>
        <w:adjustRightInd w:val="0"/>
        <w:ind w:left="198" w:firstLine="640" w:firstLineChars="200"/>
        <w:jc w:val="left"/>
        <w:rPr>
          <w:rFonts w:eastAsia="仿宋"/>
          <w:sz w:val="32"/>
          <w:szCs w:val="32"/>
        </w:rPr>
      </w:pPr>
      <w:r>
        <w:rPr>
          <w:rFonts w:hint="eastAsia" w:eastAsia="仿宋"/>
          <w:sz w:val="32"/>
          <w:szCs w:val="32"/>
        </w:rPr>
        <w:t>加强宣传培训调研，加强人员培训，加强调研，提高资金使用效益的意见，加大宣传力度，促进预算绩效管理水平，进一步提升</w:t>
      </w:r>
      <w:r>
        <w:rPr>
          <w:rFonts w:eastAsia="方正仿宋_GBK"/>
          <w:sz w:val="28"/>
        </w:rPr>
        <w:t>。</w:t>
      </w: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 w:hAnsi="仿宋" w:eastAsia="仿宋"/>
          <w:sz w:val="32"/>
          <w:szCs w:val="32"/>
        </w:rPr>
      </w:pPr>
      <w:r>
        <w:rPr>
          <w:rFonts w:hint="eastAsia" w:ascii="仿宋" w:hAnsi="仿宋" w:eastAsia="仿宋"/>
          <w:sz w:val="32"/>
          <w:szCs w:val="32"/>
        </w:rPr>
        <w:t>2019年，安排政府采购预算0万元，具体内容见下表。</w:t>
      </w:r>
    </w:p>
    <w:p>
      <w:pPr>
        <w:ind w:firstLine="688" w:firstLineChars="215"/>
        <w:jc w:val="center"/>
        <w:rPr>
          <w:rFonts w:ascii="仿宋" w:hAnsi="仿宋" w:eastAsia="仿宋"/>
          <w:sz w:val="32"/>
          <w:szCs w:val="32"/>
        </w:rPr>
      </w:pPr>
      <w:r>
        <w:rPr>
          <w:rFonts w:hint="eastAsia" w:ascii="仿宋" w:hAnsi="仿宋" w:eastAsia="仿宋"/>
          <w:sz w:val="32"/>
          <w:szCs w:val="32"/>
        </w:rPr>
        <w:t>部门政府采购预算</w:t>
      </w:r>
    </w:p>
    <w:tbl>
      <w:tblPr>
        <w:tblStyle w:val="4"/>
        <w:tblW w:w="13755" w:type="dxa"/>
        <w:tblInd w:w="93" w:type="dxa"/>
        <w:tblLayout w:type="autofit"/>
        <w:tblCellMar>
          <w:top w:w="0" w:type="dxa"/>
          <w:left w:w="108" w:type="dxa"/>
          <w:bottom w:w="0" w:type="dxa"/>
          <w:right w:w="108" w:type="dxa"/>
        </w:tblCellMar>
      </w:tblPr>
      <w:tblGrid>
        <w:gridCol w:w="1080"/>
        <w:gridCol w:w="1080"/>
        <w:gridCol w:w="1080"/>
        <w:gridCol w:w="1080"/>
        <w:gridCol w:w="795"/>
        <w:gridCol w:w="735"/>
        <w:gridCol w:w="795"/>
        <w:gridCol w:w="945"/>
        <w:gridCol w:w="765"/>
        <w:gridCol w:w="1080"/>
        <w:gridCol w:w="1080"/>
        <w:gridCol w:w="1080"/>
        <w:gridCol w:w="1080"/>
        <w:gridCol w:w="1080"/>
      </w:tblGrid>
      <w:tr>
        <w:tblPrEx>
          <w:tblCellMar>
            <w:top w:w="0" w:type="dxa"/>
            <w:left w:w="108" w:type="dxa"/>
            <w:bottom w:w="0" w:type="dxa"/>
            <w:right w:w="108" w:type="dxa"/>
          </w:tblCellMar>
        </w:tblPrEx>
        <w:trPr>
          <w:trHeight w:val="600" w:hRule="atLeast"/>
        </w:trPr>
        <w:tc>
          <w:tcPr>
            <w:tcW w:w="6645" w:type="dxa"/>
            <w:gridSpan w:val="7"/>
            <w:tcBorders>
              <w:top w:val="single" w:color="FFFFFF" w:sz="8" w:space="0"/>
              <w:left w:val="single" w:color="FFFFFF" w:sz="8" w:space="0"/>
              <w:bottom w:val="single" w:color="000000" w:sz="8" w:space="0"/>
              <w:right w:val="single" w:color="FFFFFF" w:sz="8" w:space="0"/>
            </w:tcBorders>
            <w:shd w:val="clear" w:color="auto" w:fill="auto"/>
            <w:vAlign w:val="center"/>
          </w:tcPr>
          <w:p>
            <w:pPr>
              <w:widowControl/>
              <w:jc w:val="left"/>
              <w:textAlignment w:val="center"/>
              <w:rPr>
                <w:rFonts w:ascii="方正小标宋_GBK" w:hAnsi="方正小标宋_GBK" w:eastAsia="方正小标宋_GBK" w:cs="方正小标宋_GBK"/>
                <w:color w:val="000000"/>
                <w:sz w:val="24"/>
              </w:rPr>
            </w:pPr>
            <w:r>
              <w:rPr>
                <w:rFonts w:ascii="方正小标宋_GBK" w:hAnsi="方正小标宋_GBK" w:eastAsia="方正小标宋_GBK" w:cs="方正小标宋_GBK"/>
                <w:color w:val="000000"/>
                <w:kern w:val="0"/>
                <w:sz w:val="24"/>
                <w:lang w:bidi="ar"/>
              </w:rPr>
              <w:t>441001无极县农业综合开发服务中心本级</w:t>
            </w:r>
          </w:p>
        </w:tc>
        <w:tc>
          <w:tcPr>
            <w:tcW w:w="7110" w:type="dxa"/>
            <w:gridSpan w:val="7"/>
            <w:tcBorders>
              <w:top w:val="single" w:color="FFFFFF" w:sz="8" w:space="0"/>
              <w:left w:val="nil"/>
              <w:bottom w:val="single" w:color="000000" w:sz="8" w:space="0"/>
              <w:right w:val="single" w:color="FFFFFF" w:sz="8" w:space="0"/>
            </w:tcBorders>
            <w:shd w:val="clear" w:color="auto" w:fill="auto"/>
            <w:vAlign w:val="center"/>
          </w:tcPr>
          <w:p>
            <w:pPr>
              <w:widowControl/>
              <w:jc w:val="center"/>
              <w:textAlignment w:val="center"/>
              <w:rPr>
                <w:rFonts w:ascii="方正小标宋_GBK" w:hAnsi="方正小标宋_GBK" w:eastAsia="方正小标宋_GBK" w:cs="方正小标宋_GBK"/>
                <w:color w:val="000000"/>
                <w:sz w:val="24"/>
              </w:rPr>
            </w:pPr>
            <w:r>
              <w:rPr>
                <w:rFonts w:ascii="方正小标宋_GBK" w:hAnsi="方正小标宋_GBK" w:eastAsia="方正小标宋_GBK" w:cs="方正小标宋_GBK"/>
                <w:color w:val="000000"/>
                <w:kern w:val="0"/>
                <w:sz w:val="24"/>
                <w:lang w:bidi="ar"/>
              </w:rPr>
              <w:t>单位：万元</w:t>
            </w:r>
          </w:p>
        </w:tc>
      </w:tr>
      <w:tr>
        <w:tblPrEx>
          <w:tblCellMar>
            <w:top w:w="0" w:type="dxa"/>
            <w:left w:w="108" w:type="dxa"/>
            <w:bottom w:w="0" w:type="dxa"/>
            <w:right w:w="108" w:type="dxa"/>
          </w:tblCellMar>
        </w:tblPrEx>
        <w:trPr>
          <w:trHeight w:val="780" w:hRule="atLeast"/>
        </w:trPr>
        <w:tc>
          <w:tcPr>
            <w:tcW w:w="2160" w:type="dxa"/>
            <w:gridSpan w:val="2"/>
            <w:tcBorders>
              <w:top w:val="nil"/>
              <w:left w:val="single" w:color="auto" w:sz="4" w:space="0"/>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政府采购项目来源</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采购物品名称</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政府采购目录序号</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计量  单位</w:t>
            </w:r>
          </w:p>
        </w:tc>
        <w:tc>
          <w:tcPr>
            <w:tcW w:w="73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数量</w:t>
            </w:r>
          </w:p>
        </w:tc>
        <w:tc>
          <w:tcPr>
            <w:tcW w:w="795" w:type="dxa"/>
            <w:vMerge w:val="restart"/>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单价</w:t>
            </w:r>
          </w:p>
        </w:tc>
        <w:tc>
          <w:tcPr>
            <w:tcW w:w="7110" w:type="dxa"/>
            <w:gridSpan w:val="7"/>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政府采购金额</w:t>
            </w:r>
          </w:p>
        </w:tc>
      </w:tr>
      <w:tr>
        <w:tblPrEx>
          <w:tblCellMar>
            <w:top w:w="0" w:type="dxa"/>
            <w:left w:w="108" w:type="dxa"/>
            <w:bottom w:w="0" w:type="dxa"/>
            <w:right w:w="108" w:type="dxa"/>
          </w:tblCellMar>
        </w:tblPrEx>
        <w:trPr>
          <w:trHeight w:val="540" w:hRule="atLeast"/>
        </w:trPr>
        <w:tc>
          <w:tcPr>
            <w:tcW w:w="1080" w:type="dxa"/>
            <w:vMerge w:val="restart"/>
            <w:tcBorders>
              <w:top w:val="nil"/>
              <w:left w:val="single" w:color="auto" w:sz="4" w:space="0"/>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项目名称</w:t>
            </w:r>
          </w:p>
        </w:tc>
        <w:tc>
          <w:tcPr>
            <w:tcW w:w="1080"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预算资金</w:t>
            </w: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945" w:type="dxa"/>
            <w:vMerge w:val="restart"/>
            <w:tcBorders>
              <w:top w:val="nil"/>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总计</w:t>
            </w:r>
          </w:p>
        </w:tc>
        <w:tc>
          <w:tcPr>
            <w:tcW w:w="6165" w:type="dxa"/>
            <w:gridSpan w:val="6"/>
            <w:tcBorders>
              <w:top w:val="nil"/>
              <w:left w:val="nil"/>
              <w:bottom w:val="nil"/>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当年部门预算安排资金</w:t>
            </w:r>
          </w:p>
        </w:tc>
      </w:tr>
      <w:tr>
        <w:tblPrEx>
          <w:tblCellMar>
            <w:top w:w="0" w:type="dxa"/>
            <w:left w:w="108" w:type="dxa"/>
            <w:bottom w:w="0" w:type="dxa"/>
            <w:right w:w="108" w:type="dxa"/>
          </w:tblCellMar>
        </w:tblPrEx>
        <w:trPr>
          <w:trHeight w:val="780" w:hRule="atLeast"/>
        </w:trPr>
        <w:tc>
          <w:tcPr>
            <w:tcW w:w="1080" w:type="dxa"/>
            <w:vMerge w:val="continue"/>
            <w:tcBorders>
              <w:top w:val="nil"/>
              <w:left w:val="single" w:color="auto" w:sz="4" w:space="0"/>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95" w:type="dxa"/>
            <w:vMerge w:val="continue"/>
            <w:tcBorders>
              <w:top w:val="single" w:color="000000" w:sz="8" w:space="0"/>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945" w:type="dxa"/>
            <w:vMerge w:val="continue"/>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65"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合计</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一般公共预算拨款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基金预算拨款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国有资本经营预算拨款</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财政专户核拨</w:t>
            </w:r>
          </w:p>
        </w:tc>
        <w:tc>
          <w:tcPr>
            <w:tcW w:w="1080" w:type="dxa"/>
            <w:tcBorders>
              <w:top w:val="single" w:color="000000" w:sz="8" w:space="0"/>
              <w:left w:val="nil"/>
              <w:bottom w:val="single" w:color="000000" w:sz="8" w:space="0"/>
              <w:right w:val="single" w:color="000000" w:sz="8" w:space="0"/>
            </w:tcBorders>
            <w:shd w:val="clear" w:color="auto" w:fill="auto"/>
            <w:vAlign w:val="center"/>
          </w:tcPr>
          <w:p>
            <w:pPr>
              <w:widowControl/>
              <w:jc w:val="center"/>
              <w:textAlignment w:val="center"/>
              <w:rPr>
                <w:rFonts w:ascii="仿宋_GB2312" w:hAnsi="仿宋_GB2312" w:eastAsia="仿宋_GB2312" w:cs="仿宋_GB2312"/>
                <w:b/>
                <w:bCs/>
                <w:color w:val="000000"/>
                <w:szCs w:val="21"/>
              </w:rPr>
            </w:pPr>
            <w:r>
              <w:rPr>
                <w:rFonts w:hint="eastAsia" w:ascii="仿宋_GB2312" w:hAnsi="仿宋_GB2312" w:eastAsia="仿宋_GB2312" w:cs="仿宋_GB2312"/>
                <w:b/>
                <w:bCs/>
                <w:color w:val="000000"/>
                <w:kern w:val="0"/>
                <w:szCs w:val="21"/>
                <w:lang w:bidi="ar"/>
              </w:rPr>
              <w:t>单位资金</w:t>
            </w:r>
          </w:p>
        </w:tc>
      </w:tr>
      <w:tr>
        <w:tblPrEx>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ascii="仿宋_GB2312" w:hAnsi="仿宋_GB2312" w:eastAsia="仿宋_GB2312" w:cs="仿宋_GB2312"/>
                <w:b/>
                <w:bCs/>
                <w:color w:val="000000"/>
                <w:szCs w:val="21"/>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仿宋_GB2312" w:hAnsi="仿宋_GB2312" w:eastAsia="仿宋_GB2312" w:cs="仿宋_GB2312"/>
                <w:b/>
                <w:bCs/>
                <w:color w:val="000000"/>
                <w:szCs w:val="21"/>
              </w:rPr>
            </w:pPr>
          </w:p>
        </w:tc>
      </w:tr>
      <w:tr>
        <w:tblPrEx>
          <w:tblCellMar>
            <w:top w:w="0" w:type="dxa"/>
            <w:left w:w="108" w:type="dxa"/>
            <w:bottom w:w="0" w:type="dxa"/>
            <w:right w:w="108" w:type="dxa"/>
          </w:tblCellMar>
        </w:tblPrEx>
        <w:trPr>
          <w:trHeight w:val="30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left"/>
              <w:rPr>
                <w:rFonts w:ascii="方正书宋_GBK" w:hAnsi="方正书宋_GBK" w:eastAsia="方正书宋_GBK" w:cs="方正书宋_GBK"/>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jc w:val="center"/>
              <w:rPr>
                <w:rFonts w:ascii="方正书宋_GBK" w:hAnsi="方正书宋_GBK" w:eastAsia="方正书宋_GBK" w:cs="方正书宋_GBK"/>
                <w:color w:val="000000"/>
                <w:szCs w:val="21"/>
              </w:rPr>
            </w:pPr>
          </w:p>
        </w:tc>
        <w:tc>
          <w:tcPr>
            <w:tcW w:w="73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795" w:type="dxa"/>
            <w:tcBorders>
              <w:top w:val="nil"/>
              <w:left w:val="nil"/>
              <w:bottom w:val="single" w:color="000000" w:sz="8" w:space="0"/>
              <w:right w:val="single" w:color="000000" w:sz="8" w:space="0"/>
            </w:tcBorders>
            <w:shd w:val="clear" w:color="auto" w:fill="auto"/>
            <w:vAlign w:val="center"/>
          </w:tcPr>
          <w:p>
            <w:pPr>
              <w:rPr>
                <w:rFonts w:ascii="方正书宋_GBK" w:hAnsi="方正书宋_GBK" w:eastAsia="方正书宋_GBK" w:cs="方正书宋_GBK"/>
                <w:color w:val="000000"/>
                <w:szCs w:val="21"/>
              </w:rPr>
            </w:pPr>
          </w:p>
        </w:tc>
        <w:tc>
          <w:tcPr>
            <w:tcW w:w="94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765"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c>
          <w:tcPr>
            <w:tcW w:w="1080" w:type="dxa"/>
            <w:tcBorders>
              <w:top w:val="nil"/>
              <w:left w:val="nil"/>
              <w:bottom w:val="single" w:color="000000" w:sz="8" w:space="0"/>
              <w:right w:val="single" w:color="000000" w:sz="8" w:space="0"/>
            </w:tcBorders>
            <w:shd w:val="clear" w:color="auto" w:fill="auto"/>
            <w:vAlign w:val="center"/>
          </w:tcPr>
          <w:p>
            <w:pPr>
              <w:jc w:val="right"/>
              <w:rPr>
                <w:rFonts w:ascii="方正书宋_GBK" w:hAnsi="方正书宋_GBK" w:eastAsia="方正书宋_GBK" w:cs="方正书宋_GBK"/>
                <w:color w:val="000000"/>
                <w:szCs w:val="21"/>
              </w:rPr>
            </w:pPr>
          </w:p>
        </w:tc>
      </w:tr>
    </w:tbl>
    <w:p>
      <w:pPr>
        <w:ind w:firstLine="688" w:firstLineChars="215"/>
        <w:rPr>
          <w:rFonts w:ascii="仿宋" w:hAnsi="仿宋" w:eastAsia="仿宋"/>
          <w:sz w:val="32"/>
          <w:szCs w:val="32"/>
        </w:rPr>
      </w:pPr>
      <w:r>
        <w:rPr>
          <w:rFonts w:hint="eastAsia" w:ascii="仿宋" w:hAnsi="仿宋" w:eastAsia="仿宋"/>
          <w:sz w:val="32"/>
          <w:szCs w:val="32"/>
        </w:rPr>
        <w:t>注：我单位无政府采购，空表列示。</w:t>
      </w: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无极县农业综合开发办公室上年末固定资产金额为49.116万元（详见下表）。本年度拟购置固定资产金额为0万元。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固定资产占用情况表</w:t>
      </w:r>
    </w:p>
    <w:tbl>
      <w:tblPr>
        <w:tblStyle w:val="4"/>
        <w:tblW w:w="9275" w:type="dxa"/>
        <w:jc w:val="center"/>
        <w:tblLayout w:type="fixed"/>
        <w:tblCellMar>
          <w:top w:w="0" w:type="dxa"/>
          <w:left w:w="108" w:type="dxa"/>
          <w:bottom w:w="0" w:type="dxa"/>
          <w:right w:w="108" w:type="dxa"/>
        </w:tblCellMar>
      </w:tblPr>
      <w:tblGrid>
        <w:gridCol w:w="4126"/>
        <w:gridCol w:w="1843"/>
        <w:gridCol w:w="3306"/>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编制部门：无极县农业综合开发办公室</w:t>
            </w:r>
            <w:r>
              <w:rPr>
                <w:rFonts w:ascii="宋体" w:hAnsi="宋体" w:cs="宋体"/>
                <w:kern w:val="0"/>
                <w:sz w:val="22"/>
              </w:rPr>
              <w:t xml:space="preserve"> </w:t>
            </w:r>
          </w:p>
        </w:tc>
        <w:tc>
          <w:tcPr>
            <w:tcW w:w="3306"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截止时间：2018年12月31日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30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49.116</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13.5</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306"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35.616</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 w:hAnsi="楷体" w:eastAsia="楷体"/>
          <w:sz w:val="32"/>
          <w:szCs w:val="32"/>
        </w:rPr>
      </w:pPr>
      <w:r>
        <w:rPr>
          <w:rFonts w:hint="eastAsia" w:ascii="楷体" w:hAnsi="楷体" w:eastAsia="楷体"/>
          <w:sz w:val="32"/>
          <w:szCs w:val="32"/>
        </w:rPr>
        <w:t>（一）财政拨款收入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楷体" w:hAnsi="楷体" w:eastAsia="楷体"/>
          <w:sz w:val="32"/>
          <w:szCs w:val="32"/>
        </w:rPr>
      </w:pPr>
      <w:r>
        <w:rPr>
          <w:rFonts w:hint="eastAsia" w:ascii="楷体" w:hAnsi="楷体" w:eastAsia="楷体"/>
          <w:sz w:val="32"/>
          <w:szCs w:val="32"/>
        </w:rPr>
        <w:t>（二）基本支出、项目支出</w:t>
      </w:r>
    </w:p>
    <w:p>
      <w:pPr>
        <w:ind w:firstLine="720"/>
        <w:rPr>
          <w:rFonts w:ascii="仿宋" w:hAnsi="仿宋" w:eastAsia="仿宋"/>
          <w:sz w:val="32"/>
          <w:szCs w:val="32"/>
        </w:rPr>
      </w:pPr>
      <w:r>
        <w:rPr>
          <w:rFonts w:hint="eastAsia" w:ascii="仿宋" w:hAnsi="仿宋" w:eastAsia="仿宋"/>
          <w:sz w:val="32"/>
          <w:szCs w:val="32"/>
        </w:rPr>
        <w:t>1.基本支出是指预算单位为保障机构正常运转和完成日常工作而发生的各项支出，包括人员经费和日常公用经费。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2.项目支出是指在基本支出之外完成特定行政任务和事业发展目标所发生的支出。</w:t>
      </w:r>
    </w:p>
    <w:p>
      <w:pPr>
        <w:ind w:firstLine="720"/>
        <w:rPr>
          <w:rFonts w:ascii="楷体" w:hAnsi="楷体" w:eastAsia="楷体"/>
          <w:sz w:val="32"/>
          <w:szCs w:val="32"/>
        </w:rPr>
      </w:pPr>
      <w:r>
        <w:rPr>
          <w:rFonts w:hint="eastAsia" w:ascii="楷体" w:hAnsi="楷体" w:eastAsia="楷体"/>
          <w:sz w:val="32"/>
          <w:szCs w:val="32"/>
        </w:rPr>
        <w:t>（三）一般公共服务支出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楷体" w:hAnsi="楷体" w:eastAsia="楷体"/>
          <w:sz w:val="32"/>
          <w:szCs w:val="32"/>
        </w:rPr>
      </w:pPr>
      <w:r>
        <w:rPr>
          <w:rFonts w:hint="eastAsia" w:ascii="楷体" w:hAnsi="楷体" w:eastAsia="楷体"/>
          <w:sz w:val="32"/>
          <w:szCs w:val="32"/>
        </w:rPr>
        <w:t>（四）文化体育与传媒支出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楷体" w:hAnsi="楷体" w:eastAsia="楷体"/>
          <w:sz w:val="32"/>
          <w:szCs w:val="32"/>
        </w:rPr>
      </w:pPr>
      <w:r>
        <w:rPr>
          <w:rFonts w:hint="eastAsia" w:ascii="楷体" w:hAnsi="楷体" w:eastAsia="楷体"/>
          <w:sz w:val="32"/>
          <w:szCs w:val="32"/>
        </w:rPr>
        <w:t>（五）社会保障和就业支出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楷体" w:hAnsi="楷体" w:eastAsia="楷体"/>
          <w:sz w:val="32"/>
          <w:szCs w:val="32"/>
        </w:rPr>
      </w:pPr>
      <w:r>
        <w:rPr>
          <w:rFonts w:hint="eastAsia" w:ascii="楷体" w:hAnsi="楷体" w:eastAsia="楷体"/>
          <w:sz w:val="32"/>
          <w:szCs w:val="32"/>
        </w:rPr>
        <w:t>（六）机关运行经费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 w:hAnsi="楷体" w:eastAsia="楷体"/>
          <w:sz w:val="32"/>
          <w:szCs w:val="32"/>
        </w:rPr>
      </w:pPr>
      <w:r>
        <w:rPr>
          <w:rFonts w:hint="eastAsia" w:ascii="楷体" w:hAnsi="楷体" w:eastAsia="楷体"/>
          <w:sz w:val="32"/>
          <w:szCs w:val="32"/>
        </w:rPr>
        <w:t>（七）“三公”经费</w:t>
      </w:r>
    </w:p>
    <w:p>
      <w:pPr>
        <w:ind w:firstLine="640" w:firstLineChars="200"/>
        <w:rPr>
          <w:rFonts w:ascii="仿宋" w:hAnsi="仿宋" w:eastAsia="仿宋"/>
          <w:sz w:val="32"/>
          <w:szCs w:val="32"/>
        </w:rPr>
      </w:pPr>
      <w:r>
        <w:rPr>
          <w:rFonts w:hint="eastAsia" w:ascii="仿宋" w:hAnsi="仿宋" w:eastAsia="仿宋"/>
          <w:sz w:val="32"/>
          <w:szCs w:val="32"/>
        </w:rPr>
        <w:t>1.“三公”经费是指因公出国（境）费、公务用车购置及运行维护费和公务接待费。</w:t>
      </w:r>
    </w:p>
    <w:p>
      <w:pPr>
        <w:ind w:firstLine="640" w:firstLineChars="200"/>
        <w:rPr>
          <w:rFonts w:ascii="仿宋" w:hAnsi="仿宋" w:eastAsia="仿宋"/>
          <w:sz w:val="32"/>
          <w:szCs w:val="32"/>
        </w:rPr>
      </w:pPr>
      <w:r>
        <w:rPr>
          <w:rFonts w:hint="eastAsia" w:ascii="仿宋" w:hAnsi="仿宋" w:eastAsia="仿宋"/>
          <w:sz w:val="32"/>
          <w:szCs w:val="32"/>
        </w:rPr>
        <w:t>2.因公出国（境）费是指单位公务出国（境）的国际旅费、国外城市间交通费、住宿费、伙食费、培训费、公杂费等支出。</w:t>
      </w:r>
    </w:p>
    <w:p>
      <w:pPr>
        <w:ind w:firstLine="640" w:firstLineChars="200"/>
        <w:rPr>
          <w:rFonts w:ascii="仿宋" w:hAnsi="仿宋" w:eastAsia="仿宋"/>
          <w:sz w:val="32"/>
          <w:szCs w:val="32"/>
        </w:rPr>
      </w:pPr>
      <w:r>
        <w:rPr>
          <w:rFonts w:hint="eastAsia" w:ascii="仿宋" w:hAnsi="仿宋" w:eastAsia="仿宋"/>
          <w:sz w:val="32"/>
          <w:szCs w:val="32"/>
        </w:rPr>
        <w:t>3.公务用车购置及运行维护费是指单位购置公务用车及公务用车租用费、燃料费、维修费、路桥费、保险费等支出。</w:t>
      </w:r>
    </w:p>
    <w:p>
      <w:pPr>
        <w:ind w:firstLine="640" w:firstLineChars="200"/>
        <w:rPr>
          <w:rFonts w:ascii="仿宋" w:hAnsi="仿宋" w:eastAsia="仿宋"/>
          <w:sz w:val="32"/>
          <w:szCs w:val="32"/>
        </w:rPr>
      </w:pPr>
      <w:r>
        <w:rPr>
          <w:rFonts w:hint="eastAsia" w:ascii="仿宋" w:hAnsi="仿宋" w:eastAsia="仿宋"/>
          <w:sz w:val="32"/>
          <w:szCs w:val="32"/>
        </w:rPr>
        <w:t>4.公务接待费是指单位按规定开支的各类公务接待（含外宾接待）费用。</w:t>
      </w: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40" w:firstLineChars="200"/>
        <w:rPr>
          <w:rFonts w:eastAsia="仿宋"/>
          <w:sz w:val="32"/>
          <w:szCs w:val="32"/>
        </w:rPr>
      </w:pPr>
      <w:r>
        <w:rPr>
          <w:rFonts w:hint="eastAsia" w:eastAsia="仿宋"/>
          <w:sz w:val="32"/>
          <w:szCs w:val="32"/>
        </w:rPr>
        <w:t>我部门无其他需要说明的事项。</w:t>
      </w:r>
    </w:p>
    <w:p>
      <w:pPr>
        <w:ind w:firstLine="688" w:firstLineChars="215"/>
        <w:rPr>
          <w:rFonts w:ascii="仿宋" w:hAnsi="仿宋" w:eastAsia="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576F4"/>
    <w:rsid w:val="00063BE3"/>
    <w:rsid w:val="0007469A"/>
    <w:rsid w:val="000B3C55"/>
    <w:rsid w:val="000C7CF0"/>
    <w:rsid w:val="00151917"/>
    <w:rsid w:val="00185B96"/>
    <w:rsid w:val="0020286B"/>
    <w:rsid w:val="002044F8"/>
    <w:rsid w:val="00235D6E"/>
    <w:rsid w:val="002536F6"/>
    <w:rsid w:val="0028343E"/>
    <w:rsid w:val="00292C06"/>
    <w:rsid w:val="002F6307"/>
    <w:rsid w:val="00312F09"/>
    <w:rsid w:val="00345A4D"/>
    <w:rsid w:val="00350C82"/>
    <w:rsid w:val="003576F4"/>
    <w:rsid w:val="00380E3C"/>
    <w:rsid w:val="00381CB2"/>
    <w:rsid w:val="003A1261"/>
    <w:rsid w:val="003B4E40"/>
    <w:rsid w:val="003C3382"/>
    <w:rsid w:val="003C6144"/>
    <w:rsid w:val="00420994"/>
    <w:rsid w:val="00423F4A"/>
    <w:rsid w:val="00440A47"/>
    <w:rsid w:val="00456FB9"/>
    <w:rsid w:val="0046000C"/>
    <w:rsid w:val="00480A0E"/>
    <w:rsid w:val="004A55F5"/>
    <w:rsid w:val="004A7C5E"/>
    <w:rsid w:val="004C4CE1"/>
    <w:rsid w:val="00531784"/>
    <w:rsid w:val="0054281F"/>
    <w:rsid w:val="005453EF"/>
    <w:rsid w:val="005A25C5"/>
    <w:rsid w:val="005A2E6E"/>
    <w:rsid w:val="005A3288"/>
    <w:rsid w:val="005A344B"/>
    <w:rsid w:val="005D6DF3"/>
    <w:rsid w:val="005E48A3"/>
    <w:rsid w:val="00605A11"/>
    <w:rsid w:val="0060625F"/>
    <w:rsid w:val="0063034A"/>
    <w:rsid w:val="006B4381"/>
    <w:rsid w:val="006C5298"/>
    <w:rsid w:val="006D4641"/>
    <w:rsid w:val="006E3A01"/>
    <w:rsid w:val="007134C1"/>
    <w:rsid w:val="007235D8"/>
    <w:rsid w:val="00742C61"/>
    <w:rsid w:val="0076464D"/>
    <w:rsid w:val="00766A5F"/>
    <w:rsid w:val="00792B59"/>
    <w:rsid w:val="007A2F6C"/>
    <w:rsid w:val="007A52B8"/>
    <w:rsid w:val="007C14E2"/>
    <w:rsid w:val="007C31BA"/>
    <w:rsid w:val="007D622B"/>
    <w:rsid w:val="008364FA"/>
    <w:rsid w:val="00836B4F"/>
    <w:rsid w:val="00882043"/>
    <w:rsid w:val="008B69BC"/>
    <w:rsid w:val="008F7CA7"/>
    <w:rsid w:val="00941434"/>
    <w:rsid w:val="0095258C"/>
    <w:rsid w:val="00971D04"/>
    <w:rsid w:val="00981459"/>
    <w:rsid w:val="00983349"/>
    <w:rsid w:val="009A7F42"/>
    <w:rsid w:val="00A0350C"/>
    <w:rsid w:val="00A165F1"/>
    <w:rsid w:val="00A170EE"/>
    <w:rsid w:val="00A23A45"/>
    <w:rsid w:val="00A5297D"/>
    <w:rsid w:val="00A57A0D"/>
    <w:rsid w:val="00A62089"/>
    <w:rsid w:val="00A74252"/>
    <w:rsid w:val="00AD035B"/>
    <w:rsid w:val="00AD2559"/>
    <w:rsid w:val="00AE3937"/>
    <w:rsid w:val="00B024AA"/>
    <w:rsid w:val="00B45F5B"/>
    <w:rsid w:val="00C04407"/>
    <w:rsid w:val="00C26AB0"/>
    <w:rsid w:val="00C42BCB"/>
    <w:rsid w:val="00CB1FFE"/>
    <w:rsid w:val="00CF196E"/>
    <w:rsid w:val="00D0309E"/>
    <w:rsid w:val="00D265A2"/>
    <w:rsid w:val="00D77FCE"/>
    <w:rsid w:val="00D85F0E"/>
    <w:rsid w:val="00DE0AF1"/>
    <w:rsid w:val="00E06A42"/>
    <w:rsid w:val="00E17B67"/>
    <w:rsid w:val="00E2658B"/>
    <w:rsid w:val="00E43271"/>
    <w:rsid w:val="00E73FED"/>
    <w:rsid w:val="00E908CB"/>
    <w:rsid w:val="00EB2E1A"/>
    <w:rsid w:val="00F0024C"/>
    <w:rsid w:val="00F01AE7"/>
    <w:rsid w:val="00F10202"/>
    <w:rsid w:val="00F1517C"/>
    <w:rsid w:val="00F16CEA"/>
    <w:rsid w:val="00F175E6"/>
    <w:rsid w:val="00F43A4F"/>
    <w:rsid w:val="00F469E4"/>
    <w:rsid w:val="00FA155A"/>
    <w:rsid w:val="0B7B69E2"/>
    <w:rsid w:val="10AD1B5F"/>
    <w:rsid w:val="18695C36"/>
    <w:rsid w:val="206868D9"/>
    <w:rsid w:val="2F305477"/>
    <w:rsid w:val="30904B98"/>
    <w:rsid w:val="38E01476"/>
    <w:rsid w:val="41461B68"/>
    <w:rsid w:val="47145917"/>
    <w:rsid w:val="4D7E19BE"/>
    <w:rsid w:val="51E54834"/>
    <w:rsid w:val="5EF1790D"/>
    <w:rsid w:val="5FF35EDF"/>
    <w:rsid w:val="66A77C46"/>
    <w:rsid w:val="6C0270A8"/>
    <w:rsid w:val="6EF0397B"/>
    <w:rsid w:val="7EA6080C"/>
    <w:rsid w:val="7F4D43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列出段落1"/>
    <w:basedOn w:val="1"/>
    <w:qFormat/>
    <w:uiPriority w:val="34"/>
    <w:pPr>
      <w:ind w:firstLine="420" w:firstLineChars="200"/>
    </w:pPr>
    <w:rPr>
      <w:rFonts w:asciiTheme="minorHAnsi" w:hAnsiTheme="minorHAnsi" w:eastAsiaTheme="minorEastAsia" w:cstheme="minorBidi"/>
      <w:szCs w:val="22"/>
    </w:rPr>
  </w:style>
  <w:style w:type="character" w:customStyle="1" w:styleId="10">
    <w:name w:val="页码1"/>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11</Pages>
  <Words>565</Words>
  <Characters>3223</Characters>
  <Lines>26</Lines>
  <Paragraphs>7</Paragraphs>
  <TotalTime>1</TotalTime>
  <ScaleCrop>false</ScaleCrop>
  <LinksUpToDate>false</LinksUpToDate>
  <CharactersWithSpaces>3781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2024-01-16T05:26:44Z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28B07A3B367D4D67A705D32638D5604B</vt:lpwstr>
  </property>
</Properties>
</file>