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bookmarkStart w:id="1" w:name="_GoBack"/>
      <w:bookmarkEnd w:id="1"/>
    </w:p>
    <w:p>
      <w:pPr>
        <w:ind w:firstLine="4996" w:firstLineChars="1131"/>
        <w:rPr>
          <w:rFonts w:ascii="宋体"/>
          <w:b/>
          <w:bCs/>
          <w:sz w:val="44"/>
          <w:szCs w:val="44"/>
        </w:rPr>
      </w:pPr>
      <w:r>
        <w:rPr>
          <w:rFonts w:hint="eastAsia" w:ascii="宋体" w:hAnsi="宋体" w:cs="宋体"/>
          <w:b/>
          <w:bCs/>
          <w:sz w:val="44"/>
          <w:szCs w:val="44"/>
        </w:rPr>
        <w:t>无极县政府办公室</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w:t>
      </w:r>
      <w:r>
        <w:rPr>
          <w:rFonts w:hint="eastAsia" w:ascii="仿宋_GB2312" w:hAnsi="仿宋" w:eastAsia="仿宋_GB2312" w:cs="仿宋_GB2312"/>
          <w:sz w:val="32"/>
          <w:szCs w:val="32"/>
          <w:lang w:eastAsia="zh-CN"/>
        </w:rPr>
        <w:t>《中华人民共和国预算法》</w:t>
      </w:r>
      <w:r>
        <w:rPr>
          <w:rFonts w:hint="eastAsia" w:ascii="仿宋_GB2312" w:hAnsi="仿宋" w:eastAsia="仿宋_GB2312" w:cs="仿宋_GB2312"/>
          <w:sz w:val="32"/>
          <w:szCs w:val="32"/>
        </w:rPr>
        <w:t>、《地方预决算公开操作规程》和《河北省省级预算公开办法》规定，现将无极县政府办公室</w:t>
      </w:r>
      <w:r>
        <w:rPr>
          <w:rFonts w:ascii="仿宋_GB2312" w:hAnsi="仿宋" w:eastAsia="仿宋_GB2312" w:cs="仿宋_GB2312"/>
          <w:sz w:val="32"/>
          <w:szCs w:val="32"/>
        </w:rPr>
        <w:t>201</w:t>
      </w:r>
      <w:r>
        <w:rPr>
          <w:rFonts w:hint="eastAsia" w:ascii="仿宋_GB2312" w:hAnsi="仿宋" w:eastAsia="仿宋_GB2312" w:cs="仿宋_GB2312"/>
          <w:sz w:val="32"/>
          <w:szCs w:val="32"/>
        </w:rPr>
        <w:t>8年部门预算公开如下：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spacing w:line="560" w:lineRule="exact"/>
        <w:ind w:firstLine="639"/>
        <w:textAlignment w:val="bottom"/>
        <w:rPr>
          <w:rFonts w:ascii="仿宋_GB2312" w:hAnsi="仿宋_GB2312" w:eastAsia="仿宋_GB2312"/>
          <w:sz w:val="32"/>
          <w:szCs w:val="32"/>
        </w:rPr>
      </w:pPr>
      <w:r>
        <w:rPr>
          <w:rFonts w:ascii="仿宋_GB2312" w:hAnsi="仿宋_GB2312" w:eastAsia="仿宋_GB2312" w:cs="仿宋_GB2312"/>
          <w:sz w:val="32"/>
          <w:szCs w:val="32"/>
        </w:rPr>
        <w:t>(</w:t>
      </w:r>
      <w:r>
        <w:rPr>
          <w:rFonts w:hint="eastAsia" w:ascii="仿宋_GB2312" w:hAnsi="仿宋_GB2312" w:eastAsia="仿宋_GB2312" w:cs="仿宋_GB2312"/>
          <w:sz w:val="32"/>
          <w:szCs w:val="32"/>
        </w:rPr>
        <w:t>一</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围绕县政府的中心工作和重点工作，加强调查研究，及时了解情况，提出建议，为县领导进行科学决策、部署和指导工作，发挥参谋助手作用。</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（二）负责县政府会议的准备和服务工作；负责组织县政府工作报告、工作总结、领导重要讲话及其他重要材料的起草、修改工作。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（三）负责县政府和政府办文电的起草、审核把关和政府机关的公文处理工作；负责县政府机关的档案管理、印信管理和保密工作。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（四）督促检查县政府各部门和各乡镇政府对县政府重要文件、县政府重要会议议定事项及县领导和上级领导重要批示的执行、落实情况。</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（五）负责县政府机关值班工作，及时向县政府领导报告重要情况，协助领导组织处理需由县政府直接处理的突发事件、重大灾情和重大事故。</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（六）负责信息收集、选择、提供、反馈工作；负责县政府网站的信息发布工作；负责政府办所属事业单位的管理工作。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（七）负责人民防空法律、法规的组织实施和监督检查，负责人防工程行政执法、行政监督、行政复议和行政诉讼工作。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（八）根据全县国民经济和社会发展计划及国防建设需要，拟定人民防空建设的中长期发展计划，编制人民防空工作年度计划，经批准后组织实施。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九）组织开展防空防灾宣传教育，负责人民防空组织指挥；加强人民防空系统防灾功能，建立健全防空防灾相结合的工作机制，承担相应的防灾救灾职责任务；加强防空地下室建设审批和竣工验收认可审批等项工作的组织和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（十）主管全县档案事业，制定全县档案事业发展综合规划和专项计划，并依法实行宏观管理与监督指导。</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（十一）承办县政府领导交办的其他事项。</w:t>
      </w:r>
    </w:p>
    <w:p>
      <w:pPr>
        <w:ind w:firstLine="645"/>
        <w:rPr>
          <w:rFonts w:ascii="仿宋" w:hAnsi="仿宋" w:eastAsia="仿宋"/>
          <w:sz w:val="32"/>
          <w:szCs w:val="32"/>
        </w:rPr>
      </w:pPr>
    </w:p>
    <w:p>
      <w:pPr>
        <w:ind w:firstLine="645"/>
        <w:rPr>
          <w:rFonts w:ascii="楷体" w:hAnsi="楷体" w:eastAsia="楷体"/>
          <w:sz w:val="32"/>
          <w:szCs w:val="32"/>
        </w:rPr>
      </w:pPr>
      <w:r>
        <w:rPr>
          <w:rFonts w:hint="eastAsia" w:ascii="楷体" w:hAnsi="楷体" w:eastAsia="楷体" w:cs="楷体"/>
          <w:sz w:val="32"/>
          <w:szCs w:val="32"/>
        </w:rPr>
        <w:t>（二）机构设置</w:t>
      </w:r>
    </w:p>
    <w:p>
      <w:pPr>
        <w:jc w:val="center"/>
        <w:rPr>
          <w:rFonts w:ascii="仿宋" w:hAnsi="仿宋" w:eastAsia="仿宋"/>
          <w:b/>
          <w:bCs/>
          <w:sz w:val="32"/>
          <w:szCs w:val="32"/>
        </w:rPr>
      </w:pPr>
      <w:r>
        <w:rPr>
          <w:rFonts w:hint="eastAsia" w:ascii="仿宋" w:hAnsi="仿宋" w:eastAsia="仿宋" w:cs="仿宋"/>
          <w:sz w:val="32"/>
          <w:szCs w:val="32"/>
        </w:rPr>
        <w:t>部门机构设置情况</w:t>
      </w:r>
    </w:p>
    <w:tbl>
      <w:tblPr>
        <w:tblStyle w:val="4"/>
        <w:tblW w:w="110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1"/>
        <w:gridCol w:w="1877"/>
        <w:gridCol w:w="1625"/>
        <w:gridCol w:w="31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tblHeader/>
          <w:jc w:val="center"/>
        </w:trPr>
        <w:tc>
          <w:tcPr>
            <w:tcW w:w="4411" w:type="dxa"/>
            <w:vAlign w:val="center"/>
          </w:tcPr>
          <w:p>
            <w:pPr>
              <w:tabs>
                <w:tab w:val="left" w:pos="1035"/>
                <w:tab w:val="center" w:pos="2173"/>
              </w:tabs>
              <w:spacing w:line="300" w:lineRule="exact"/>
              <w:jc w:val="left"/>
            </w:pPr>
            <w:r>
              <w:rPr>
                <w:rFonts w:ascii="仿宋" w:hAnsi="仿宋" w:eastAsia="仿宋"/>
                <w:b/>
                <w:bCs/>
                <w:sz w:val="28"/>
                <w:szCs w:val="28"/>
              </w:rPr>
              <w:tab/>
            </w:r>
            <w:r>
              <w:rPr>
                <w:rFonts w:ascii="仿宋" w:hAnsi="仿宋" w:eastAsia="仿宋"/>
                <w:b/>
                <w:bCs/>
                <w:sz w:val="28"/>
                <w:szCs w:val="28"/>
              </w:rPr>
              <w:tab/>
            </w:r>
            <w:r>
              <w:rPr>
                <w:rFonts w:hint="eastAsia" w:ascii="仿宋" w:hAnsi="仿宋" w:eastAsia="仿宋" w:cs="仿宋"/>
                <w:b/>
                <w:bCs/>
                <w:sz w:val="28"/>
                <w:szCs w:val="28"/>
              </w:rPr>
              <w:t>单位名称</w:t>
            </w:r>
          </w:p>
        </w:tc>
        <w:tc>
          <w:tcPr>
            <w:tcW w:w="1877"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单位性质</w:t>
            </w:r>
          </w:p>
        </w:tc>
        <w:tc>
          <w:tcPr>
            <w:tcW w:w="1625"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单位规格</w:t>
            </w:r>
          </w:p>
        </w:tc>
        <w:tc>
          <w:tcPr>
            <w:tcW w:w="3118"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4" w:hRule="atLeast"/>
          <w:jc w:val="center"/>
        </w:trPr>
        <w:tc>
          <w:tcPr>
            <w:tcW w:w="4411" w:type="dxa"/>
            <w:vAlign w:val="center"/>
          </w:tcPr>
          <w:p>
            <w:pPr>
              <w:spacing w:line="300" w:lineRule="exact"/>
              <w:jc w:val="left"/>
              <w:rPr>
                <w:sz w:val="28"/>
                <w:szCs w:val="28"/>
              </w:rPr>
            </w:pPr>
            <w:r>
              <w:rPr>
                <w:rFonts w:hint="eastAsia" w:ascii="仿宋" w:hAnsi="仿宋" w:eastAsia="仿宋" w:cs="仿宋"/>
                <w:sz w:val="28"/>
                <w:szCs w:val="28"/>
              </w:rPr>
              <w:t>无极县人民政府办公室</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行政</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正科级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4411" w:type="dxa"/>
            <w:vAlign w:val="center"/>
          </w:tcPr>
          <w:p>
            <w:pPr>
              <w:spacing w:line="300" w:lineRule="exact"/>
              <w:jc w:val="left"/>
              <w:rPr>
                <w:sz w:val="28"/>
                <w:szCs w:val="28"/>
              </w:rPr>
            </w:pPr>
            <w:r>
              <w:rPr>
                <w:rFonts w:hint="eastAsia" w:ascii="仿宋" w:hAnsi="仿宋" w:eastAsia="仿宋" w:cs="仿宋"/>
                <w:sz w:val="28"/>
                <w:szCs w:val="28"/>
              </w:rPr>
              <w:t>无极县地方志编纂委员会办公室</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事业</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股级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0" w:hRule="atLeast"/>
          <w:jc w:val="center"/>
        </w:trPr>
        <w:tc>
          <w:tcPr>
            <w:tcW w:w="4411"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无极县人民政府信息中心</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事业</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副科级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财政性资金基本保证</w:t>
            </w:r>
          </w:p>
        </w:tc>
      </w:tr>
    </w:tbl>
    <w:p/>
    <w:p>
      <w:pPr>
        <w:jc w:val="center"/>
        <w:rPr>
          <w:rFonts w:ascii="仿宋" w:hAnsi="仿宋" w:eastAsia="仿宋"/>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黑体"/>
          <w:sz w:val="30"/>
          <w:szCs w:val="30"/>
        </w:rPr>
        <w:t>。</w:t>
      </w:r>
    </w:p>
    <w:p>
      <w:pPr>
        <w:numPr>
          <w:ilvl w:val="0"/>
          <w:numId w:val="1"/>
        </w:numPr>
        <w:rPr>
          <w:rFonts w:ascii="仿宋_GB2312" w:eastAsia="仿宋_GB2312"/>
          <w:sz w:val="32"/>
          <w:szCs w:val="32"/>
        </w:rPr>
      </w:pPr>
      <w:r>
        <w:rPr>
          <w:rFonts w:hint="eastAsia" w:ascii="楷体" w:hAnsi="楷体" w:eastAsia="楷体" w:cs="楷体"/>
          <w:sz w:val="30"/>
          <w:szCs w:val="30"/>
        </w:rPr>
        <w:t>收入说明</w:t>
      </w:r>
    </w:p>
    <w:p>
      <w:pPr>
        <w:adjustRightInd w:val="0"/>
        <w:snapToGrid w:val="0"/>
        <w:spacing w:line="600" w:lineRule="exact"/>
        <w:ind w:firstLine="640" w:firstLineChars="200"/>
        <w:jc w:val="left"/>
        <w:rPr>
          <w:rFonts w:ascii="仿宋_GB2312" w:eastAsia="仿宋_GB2312"/>
          <w:sz w:val="32"/>
          <w:szCs w:val="32"/>
        </w:rPr>
      </w:pPr>
      <w:r>
        <w:rPr>
          <w:rFonts w:hint="eastAsia" w:ascii="仿宋_GB2312" w:eastAsia="仿宋_GB2312" w:cs="仿宋_GB2312"/>
          <w:sz w:val="32"/>
          <w:szCs w:val="32"/>
        </w:rPr>
        <w:t>无极县政府办</w:t>
      </w:r>
      <w:r>
        <w:rPr>
          <w:rFonts w:ascii="仿宋_GB2312" w:eastAsia="仿宋_GB2312" w:cs="仿宋_GB2312"/>
          <w:sz w:val="32"/>
          <w:szCs w:val="32"/>
        </w:rPr>
        <w:t>201</w:t>
      </w:r>
      <w:r>
        <w:rPr>
          <w:rFonts w:hint="eastAsia" w:ascii="仿宋_GB2312" w:eastAsia="仿宋_GB2312" w:cs="仿宋_GB2312"/>
          <w:sz w:val="32"/>
          <w:szCs w:val="32"/>
        </w:rPr>
        <w:t>8年预算收入总计647</w:t>
      </w:r>
      <w:r>
        <w:rPr>
          <w:rFonts w:ascii="仿宋_GB2312" w:eastAsia="仿宋_GB2312" w:cs="仿宋_GB2312"/>
          <w:sz w:val="32"/>
          <w:szCs w:val="32"/>
        </w:rPr>
        <w:t>.</w:t>
      </w:r>
      <w:r>
        <w:rPr>
          <w:rFonts w:hint="eastAsia" w:ascii="仿宋_GB2312" w:eastAsia="仿宋_GB2312" w:cs="仿宋_GB2312"/>
          <w:sz w:val="32"/>
          <w:szCs w:val="32"/>
        </w:rPr>
        <w:t>32万元。其中：一般公共预算收入647.32万元、政府性基金收入</w:t>
      </w:r>
      <w:r>
        <w:rPr>
          <w:rFonts w:ascii="仿宋_GB2312" w:eastAsia="仿宋_GB2312" w:cs="仿宋_GB2312"/>
          <w:sz w:val="32"/>
          <w:szCs w:val="32"/>
        </w:rPr>
        <w:t>0</w:t>
      </w:r>
      <w:r>
        <w:rPr>
          <w:rFonts w:hint="eastAsia" w:ascii="仿宋_GB2312" w:eastAsia="仿宋_GB2312" w:cs="仿宋_GB2312"/>
          <w:sz w:val="32"/>
          <w:szCs w:val="32"/>
        </w:rPr>
        <w:t>万元、财政专户核拨收入</w:t>
      </w:r>
      <w:r>
        <w:rPr>
          <w:rFonts w:ascii="仿宋_GB2312" w:eastAsia="仿宋_GB2312" w:cs="仿宋_GB2312"/>
          <w:sz w:val="32"/>
          <w:szCs w:val="32"/>
        </w:rPr>
        <w:t>0</w:t>
      </w:r>
      <w:r>
        <w:rPr>
          <w:rFonts w:hint="eastAsia" w:ascii="仿宋_GB2312" w:eastAsia="仿宋_GB2312" w:cs="仿宋_GB2312"/>
          <w:sz w:val="32"/>
          <w:szCs w:val="32"/>
        </w:rPr>
        <w:t>万元，其他来源收入</w:t>
      </w:r>
      <w:r>
        <w:rPr>
          <w:rFonts w:ascii="仿宋_GB2312" w:eastAsia="仿宋_GB2312" w:cs="仿宋_GB2312"/>
          <w:sz w:val="32"/>
          <w:szCs w:val="32"/>
        </w:rPr>
        <w:t>0</w:t>
      </w:r>
      <w:r>
        <w:rPr>
          <w:rFonts w:hint="eastAsia" w:ascii="仿宋_GB2312" w:eastAsia="仿宋_GB2312" w:cs="仿宋_GB2312"/>
          <w:sz w:val="32"/>
          <w:szCs w:val="32"/>
        </w:rPr>
        <w:t>万元。</w:t>
      </w:r>
    </w:p>
    <w:p>
      <w:pPr>
        <w:rPr>
          <w:rFonts w:ascii="楷体" w:hAnsi="楷体" w:eastAsia="楷体"/>
          <w:sz w:val="32"/>
          <w:szCs w:val="32"/>
        </w:rPr>
      </w:pPr>
      <w:r>
        <w:rPr>
          <w:rFonts w:hint="eastAsia" w:ascii="楷体" w:hAnsi="楷体" w:eastAsia="楷体" w:cs="楷体"/>
          <w:sz w:val="32"/>
          <w:szCs w:val="32"/>
        </w:rPr>
        <w:t xml:space="preserve">    </w:t>
      </w:r>
      <w:r>
        <w:rPr>
          <w:rFonts w:ascii="楷体" w:hAnsi="楷体" w:eastAsia="楷体" w:cs="楷体"/>
          <w:sz w:val="32"/>
          <w:szCs w:val="32"/>
        </w:rPr>
        <w:t>(</w:t>
      </w:r>
      <w:r>
        <w:rPr>
          <w:rFonts w:hint="eastAsia" w:ascii="楷体" w:hAnsi="楷体" w:eastAsia="楷体" w:cs="楷体"/>
          <w:sz w:val="32"/>
          <w:szCs w:val="32"/>
        </w:rPr>
        <w:t>二</w:t>
      </w:r>
      <w:r>
        <w:rPr>
          <w:rFonts w:ascii="楷体" w:hAnsi="楷体" w:eastAsia="楷体" w:cs="楷体"/>
          <w:sz w:val="32"/>
          <w:szCs w:val="32"/>
        </w:rPr>
        <w:t>)</w:t>
      </w:r>
      <w:r>
        <w:rPr>
          <w:rFonts w:hint="eastAsia" w:ascii="楷体" w:hAnsi="楷体" w:eastAsia="楷体" w:cs="楷体"/>
          <w:sz w:val="32"/>
          <w:szCs w:val="32"/>
        </w:rPr>
        <w:t>支出说明</w:t>
      </w:r>
    </w:p>
    <w:p>
      <w:pPr>
        <w:adjustRightInd w:val="0"/>
        <w:snapToGrid w:val="0"/>
        <w:spacing w:line="600" w:lineRule="exact"/>
        <w:ind w:firstLine="640" w:firstLineChars="200"/>
        <w:jc w:val="left"/>
        <w:rPr>
          <w:rFonts w:ascii="仿宋_GB2312" w:eastAsia="仿宋_GB2312"/>
          <w:sz w:val="32"/>
          <w:szCs w:val="32"/>
        </w:rPr>
      </w:pPr>
      <w:r>
        <w:rPr>
          <w:rFonts w:ascii="仿宋_GB2312" w:eastAsia="仿宋_GB2312" w:cs="仿宋_GB2312"/>
          <w:sz w:val="32"/>
          <w:szCs w:val="32"/>
        </w:rPr>
        <w:t>201</w:t>
      </w:r>
      <w:r>
        <w:rPr>
          <w:rFonts w:hint="eastAsia" w:ascii="仿宋_GB2312" w:eastAsia="仿宋_GB2312" w:cs="仿宋_GB2312"/>
          <w:sz w:val="32"/>
          <w:szCs w:val="32"/>
        </w:rPr>
        <w:t>8年预算支出647.32万元。其中，人员经费支出428.52万元，正常公用经费149.5万元，项目支出69.3万元。</w:t>
      </w:r>
    </w:p>
    <w:p>
      <w:pPr>
        <w:rPr>
          <w:rFonts w:ascii="楷体" w:hAnsi="楷体" w:eastAsia="楷体"/>
          <w:sz w:val="32"/>
          <w:szCs w:val="32"/>
        </w:rPr>
      </w:pPr>
      <w:r>
        <w:rPr>
          <w:rFonts w:hint="eastAsia" w:ascii="楷体" w:hAnsi="楷体" w:eastAsia="楷体" w:cs="楷体"/>
          <w:sz w:val="32"/>
          <w:szCs w:val="32"/>
        </w:rPr>
        <w:t xml:space="preserve">    （三）比上年增减情况</w:t>
      </w:r>
    </w:p>
    <w:p>
      <w:pPr>
        <w:adjustRightInd w:val="0"/>
        <w:snapToGrid w:val="0"/>
        <w:spacing w:line="600" w:lineRule="exact"/>
        <w:ind w:firstLine="640" w:firstLineChars="200"/>
        <w:jc w:val="left"/>
        <w:rPr>
          <w:rFonts w:ascii="仿宋_GB2312" w:eastAsia="仿宋_GB2312"/>
          <w:sz w:val="32"/>
          <w:szCs w:val="32"/>
          <w:highlight w:val="yellow"/>
        </w:rPr>
      </w:pPr>
      <w:r>
        <w:rPr>
          <w:rFonts w:ascii="仿宋_GB2312" w:eastAsia="仿宋_GB2312" w:cs="仿宋_GB2312"/>
          <w:sz w:val="32"/>
          <w:szCs w:val="32"/>
        </w:rPr>
        <w:t>201</w:t>
      </w:r>
      <w:r>
        <w:rPr>
          <w:rFonts w:hint="eastAsia" w:ascii="仿宋_GB2312" w:eastAsia="仿宋_GB2312" w:cs="仿宋_GB2312"/>
          <w:sz w:val="32"/>
          <w:szCs w:val="32"/>
        </w:rPr>
        <w:t>8年预算收入总计647.32万元，与</w:t>
      </w:r>
      <w:r>
        <w:rPr>
          <w:rFonts w:ascii="仿宋_GB2312" w:eastAsia="仿宋_GB2312" w:cs="仿宋_GB2312"/>
          <w:sz w:val="32"/>
          <w:szCs w:val="32"/>
        </w:rPr>
        <w:t>201</w:t>
      </w:r>
      <w:r>
        <w:rPr>
          <w:rFonts w:hint="eastAsia" w:ascii="仿宋_GB2312" w:eastAsia="仿宋_GB2312" w:cs="仿宋_GB2312"/>
          <w:sz w:val="32"/>
          <w:szCs w:val="32"/>
        </w:rPr>
        <w:t>7年相比增加112.28万元，增加原因为正常公用经费及项目支出增加。</w:t>
      </w:r>
    </w:p>
    <w:p>
      <w:pPr>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三、机关运行经费安排情况</w:t>
      </w:r>
    </w:p>
    <w:p>
      <w:pPr>
        <w:ind w:firstLine="640" w:firstLineChars="200"/>
        <w:rPr>
          <w:rFonts w:ascii="仿宋" w:hAnsi="仿宋" w:eastAsia="仿宋"/>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149.5</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numPr>
          <w:ilvl w:val="0"/>
          <w:numId w:val="2"/>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财政拨款“三公”经费预算情况及增减变化原因</w:t>
      </w:r>
    </w:p>
    <w:p>
      <w:pPr>
        <w:ind w:firstLine="640" w:firstLineChars="200"/>
        <w:outlineLvl w:val="0"/>
        <w:rPr>
          <w:rFonts w:ascii="仿宋" w:hAnsi="仿宋" w:eastAsia="仿宋"/>
          <w:sz w:val="32"/>
          <w:szCs w:val="32"/>
        </w:rPr>
      </w:pPr>
      <w:r>
        <w:rPr>
          <w:rFonts w:ascii="仿宋" w:hAnsi="仿宋" w:eastAsia="仿宋" w:cs="仿宋"/>
          <w:sz w:val="32"/>
          <w:szCs w:val="32"/>
        </w:rPr>
        <w:t xml:space="preserve"> 201</w:t>
      </w:r>
      <w:r>
        <w:rPr>
          <w:rFonts w:hint="eastAsia" w:ascii="仿宋" w:hAnsi="仿宋" w:eastAsia="仿宋" w:cs="仿宋"/>
          <w:sz w:val="32"/>
          <w:szCs w:val="32"/>
        </w:rPr>
        <w:t>8年本部门安排“三公”经费42.1万元，比上年减少43万，减少原因为出国费、公务用车运行费和接待费减少。其中：</w:t>
      </w:r>
    </w:p>
    <w:p>
      <w:pPr>
        <w:ind w:firstLine="640" w:firstLineChars="200"/>
        <w:outlineLvl w:val="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、因公出国（境）费0万元，比上年减少6万,原因是经费列入预留。</w:t>
      </w:r>
    </w:p>
    <w:p>
      <w:pPr>
        <w:ind w:firstLine="640" w:firstLineChars="200"/>
        <w:outlineLvl w:val="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、公务用车购置</w:t>
      </w:r>
      <w:r>
        <w:rPr>
          <w:rFonts w:ascii="仿宋" w:hAnsi="仿宋" w:eastAsia="仿宋" w:cs="仿宋"/>
          <w:sz w:val="32"/>
          <w:szCs w:val="32"/>
        </w:rPr>
        <w:t>0</w:t>
      </w:r>
      <w:r>
        <w:rPr>
          <w:rFonts w:hint="eastAsia" w:ascii="仿宋" w:hAnsi="仿宋" w:eastAsia="仿宋" w:cs="仿宋"/>
          <w:sz w:val="32"/>
          <w:szCs w:val="32"/>
        </w:rPr>
        <w:t>万元及运行维护费40万元，比上年减少32万，原因是无公务用车购置、更新计划。</w:t>
      </w:r>
    </w:p>
    <w:p>
      <w:pPr>
        <w:ind w:firstLine="640" w:firstLineChars="200"/>
        <w:outlineLvl w:val="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、公务接待费2</w:t>
      </w:r>
      <w:r>
        <w:rPr>
          <w:rFonts w:ascii="仿宋" w:hAnsi="仿宋" w:eastAsia="仿宋" w:cs="仿宋"/>
          <w:sz w:val="32"/>
          <w:szCs w:val="32"/>
        </w:rPr>
        <w:t>.1</w:t>
      </w:r>
      <w:r>
        <w:rPr>
          <w:rFonts w:hint="eastAsia" w:ascii="仿宋" w:hAnsi="仿宋" w:eastAsia="仿宋" w:cs="仿宋"/>
          <w:sz w:val="32"/>
          <w:szCs w:val="32"/>
        </w:rPr>
        <w:t>万元，比上年减少5万，原因是压缩办公经费。</w:t>
      </w:r>
    </w:p>
    <w:p>
      <w:pPr>
        <w:autoSpaceDE w:val="0"/>
        <w:autoSpaceDN w:val="0"/>
        <w:adjustRightInd w:val="0"/>
        <w:jc w:val="left"/>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五、绩效预算信息</w:t>
      </w:r>
    </w:p>
    <w:p>
      <w:pPr>
        <w:ind w:firstLine="560"/>
        <w:rPr>
          <w:rFonts w:ascii="楷体" w:hAnsi="楷体" w:eastAsia="楷体"/>
          <w:sz w:val="32"/>
          <w:szCs w:val="32"/>
        </w:rPr>
      </w:pPr>
      <w:r>
        <w:rPr>
          <w:rFonts w:hint="eastAsia" w:ascii="楷体" w:hAnsi="楷体" w:eastAsia="楷体" w:cs="楷体"/>
          <w:sz w:val="32"/>
          <w:szCs w:val="32"/>
        </w:rPr>
        <w:t>（一）总体绩效目标</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、围绕县政府的中心工作和重点工作，加强调查研究，及时了解情况，提出建议，为县领导进行科学决策、部署和指导工作，发挥参谋助手作用。</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、负责县政府会议的准备和服务工作；负责组织县政府工作报告、工作总结、领导重要讲话及其他重要材料的起草、修改工作。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、负责县政府和政府办稳点的起草、审核把关和政府机关的公文处理工作；负责县政府机关的档案管理、印信管理和保密工作。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、督促检查县政府各部门和各乡镇政府对县政府重要文件、县政府重要会议议定事项及县领导和上级领导重要批示的执行、落实情况。</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、负责县政府机关值班工作，及时向县政府领导报告重要情况，协助领导组织处理需由县政府直接处理的突发事件、重大灾情和重大事故。</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、负责信息收集、选择、提供、反馈工作；负责县政府网站的信息发布工作；负责政府办所属事业单位的管理工作。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、负责人民防空法律、法规的组织实施和监督检查，负责人防工程行政执法、行政监督、行政复议和行政诉讼工作。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、根据全县国民经济和社会发展计划及国防建设需要，拟定人民防空建设的中长期发展计划，编制人民你防空工作年度计划，经批准后组织实施。</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9</w:t>
      </w:r>
      <w:r>
        <w:rPr>
          <w:rFonts w:hint="eastAsia" w:ascii="仿宋_GB2312" w:hAnsi="仿宋_GB2312" w:eastAsia="仿宋_GB2312" w:cs="仿宋_GB2312"/>
          <w:sz w:val="32"/>
          <w:szCs w:val="32"/>
        </w:rPr>
        <w:t>、组织开展防空防灾宣传教育，负责人民防空组织指挥；加强人民防空系统防砸功能，建立健全防空防灾相结合的工作机制，承担相应的防灾救灾职责任务；加强防空地下室建设审批和竣工验收认可审批等项工作的组织和实施。</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、主管全县档案事业，制定全县档案事业发展综合规划和专项计划，并依法实行宏观管理与监督指导。</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、协助县长、副县长处理日常工作，为县政府领导提供后勤服务保障。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12</w:t>
      </w:r>
      <w:r>
        <w:rPr>
          <w:rFonts w:hint="eastAsia" w:ascii="仿宋_GB2312" w:hAnsi="仿宋_GB2312" w:eastAsia="仿宋_GB2312" w:cs="仿宋_GB2312"/>
          <w:sz w:val="32"/>
          <w:szCs w:val="32"/>
        </w:rPr>
        <w:t>、承办县政府领导交办的其他事项</w:t>
      </w:r>
    </w:p>
    <w:p>
      <w:pPr>
        <w:ind w:firstLine="640" w:firstLineChars="200"/>
        <w:rPr>
          <w:rFonts w:ascii="楷体" w:hAnsi="楷体" w:eastAsia="楷体"/>
          <w:sz w:val="32"/>
          <w:szCs w:val="32"/>
        </w:rPr>
      </w:pPr>
      <w:r>
        <w:rPr>
          <w:rFonts w:hint="eastAsia" w:ascii="楷体" w:hAnsi="楷体" w:eastAsia="楷体" w:cs="楷体"/>
          <w:sz w:val="32"/>
          <w:szCs w:val="32"/>
        </w:rPr>
        <w:t>（二）职责分类绩效目标</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、做好县政府各种会议的会务工作日常工作活动的组织安排</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；做好县政府会议保障和服务。</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、机要收发安全、保密、快捷、准确无误，不出现收发错误及失泄密现象。请示、报告件随来随办，随批随取，审核严格、登记清楚、填报准确，批示后当日处理。公文复核严格把关，急件立即办理。</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、研究决策时提出督促检查要求，部署工作时明确督促检查事项，决策实施后检查落实情况。</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维护好市政府应急平台，确保全县应急工作顺利完成；各类突发事件得到及时妥善处置。切实做好值守应急工作，及时报告重要情况，传达和督促落实市政府领导指示。应急值班室依法依规解决职工群众的合理诉求，有效预防和减少进京赴省集体上访、非正常上访和重复信访。</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、信息真实完整，领导满意并在省政府信息考核工作中确保先进位次。</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高质量审核公文，让县领导满意；围绕领导关注、群众关心的热点、难点深入调查研究；高质量起草的县领导重要讲话及重要文稿。为领导进行科学决策、部署和指导工作，发挥参谋助手作用。通过积极参与突发事件的应急救援处置。</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、以机关干部作风量化指标为依据，增强工作综合服务实力，确保机关各项工作正常运转。</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、会议、文件无延误、无差错；行政审批效率提升明显；评议考核工作严肃公正、公开；宣传教育深入扎实。</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人防工程结构、设施设备完好，防护设备安装到位、符合质量规范。提高整体应战应急防灾保障能力。保障人防通信畅通，提高人防预警报知、指挥控制、防护救援、综合保障能力；确保设施设备正常运转。软硬件更新及时，完善信息数据。人防干部职工队伍政治、业务素质进一步提升，机关“准军事化”水平不断提高。</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、承担县政务公开暨行政权力公开透明运行工作领导小组的日常工作，指导和协调全县政务公开及政务服务中心建设、推进行政服务体系标准化建设工作。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协助领导组织处理突发事件承担县政务公开暨行政权力公开透明运行工作领导小组的日常工作，指导和协调全县政务公开及政务服务中心建设；负责县政府会议的准备和服务工作；推进、指导、协调、监督县政府信息公开工作。</w:t>
      </w:r>
      <w:r>
        <w:rPr>
          <w:rFonts w:ascii="仿宋_GB2312" w:hAnsi="仿宋_GB2312" w:eastAsia="仿宋_GB2312"/>
          <w:sz w:val="32"/>
          <w:szCs w:val="32"/>
        </w:rPr>
        <w:tab/>
      </w:r>
      <w:r>
        <w:rPr>
          <w:rFonts w:hint="eastAsia" w:ascii="仿宋_GB2312" w:hAnsi="仿宋_GB2312" w:eastAsia="仿宋_GB2312" w:cs="仿宋_GB2312"/>
          <w:sz w:val="32"/>
          <w:szCs w:val="32"/>
        </w:rPr>
        <w:t>通过完成县政务信息公开工作的指导监督工作，使全县政府信息公开业务队伍素质不断提高，业务水平进一步提升；政府政务信息公开范围不断扩大，公开内容得到进一步细化。实现阳光公开透明的一站式、一网式办事大厅，真正做到便民快捷高效。</w:t>
      </w:r>
    </w:p>
    <w:p>
      <w:pPr>
        <w:ind w:firstLine="645"/>
        <w:rPr>
          <w:rFonts w:ascii="楷体" w:hAnsi="楷体" w:eastAsia="楷体"/>
          <w:sz w:val="32"/>
          <w:szCs w:val="32"/>
        </w:rPr>
      </w:pPr>
      <w:r>
        <w:rPr>
          <w:rFonts w:hint="eastAsia" w:ascii="楷体" w:hAnsi="楷体" w:eastAsia="楷体" w:cs="楷体"/>
          <w:sz w:val="32"/>
          <w:szCs w:val="32"/>
        </w:rPr>
        <w:t>（三）部门职责</w:t>
      </w:r>
      <w:r>
        <w:rPr>
          <w:rFonts w:ascii="楷体" w:hAnsi="楷体" w:eastAsia="楷体" w:cs="楷体"/>
          <w:sz w:val="32"/>
          <w:szCs w:val="32"/>
        </w:rPr>
        <w:t>-</w:t>
      </w:r>
      <w:r>
        <w:rPr>
          <w:rFonts w:hint="eastAsia" w:ascii="楷体" w:hAnsi="楷体" w:eastAsia="楷体" w:cs="楷体"/>
          <w:sz w:val="32"/>
          <w:szCs w:val="32"/>
        </w:rPr>
        <w:t>工作活动绩效目标</w:t>
      </w:r>
    </w:p>
    <w:p>
      <w:pPr>
        <w:jc w:val="center"/>
        <w:outlineLvl w:val="0"/>
        <w:rPr>
          <w:rFonts w:ascii="方正小标宋_GBK" w:eastAsia="方正小标宋_GBK"/>
          <w:sz w:val="32"/>
          <w:szCs w:val="32"/>
        </w:rPr>
      </w:pPr>
      <w:bookmarkStart w:id="0" w:name="_Toc480375664"/>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434</w:t>
            </w:r>
            <w:r>
              <w:rPr>
                <w:rFonts w:hint="eastAsia" w:ascii="方正小标宋_GBK" w:eastAsia="方正小标宋_GBK" w:cs="方正小标宋_GBK"/>
                <w:sz w:val="24"/>
                <w:szCs w:val="24"/>
              </w:rPr>
              <w:t>无极县政府</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政务服务与政务管理</w:t>
            </w:r>
          </w:p>
        </w:tc>
        <w:tc>
          <w:tcPr>
            <w:tcW w:w="1276"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95.1</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政务公开、县政府大型会议管理、政务督查督办、打击走私事务、政务联络工作。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突出政务、加强事务管理，力求重点工作出精品。难点工作求突破、基础工作有创新、常规工作见特色。以机关干部工作作风为依据，增强工作综合服务实力。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政务公开、会议管理、督查督办、打私事务、政务联络。</w:t>
            </w:r>
          </w:p>
        </w:tc>
        <w:tc>
          <w:tcPr>
            <w:tcW w:w="1276" w:type="dxa"/>
            <w:vMerge w:val="restart"/>
            <w:vAlign w:val="center"/>
          </w:tcPr>
          <w:p>
            <w:pPr>
              <w:spacing w:line="300" w:lineRule="exact"/>
              <w:jc w:val="left"/>
              <w:rPr>
                <w:rFonts w:ascii="方正书宋_GBK" w:eastAsia="方正书宋_GBK" w:cs="方正书宋_GBK"/>
              </w:rPr>
            </w:pPr>
            <w:r>
              <w:rPr>
                <w:rFonts w:hint="eastAsia" w:ascii="方正书宋_GBK" w:eastAsia="方正书宋_GBK" w:cs="方正书宋_GBK"/>
              </w:rPr>
              <w:t>95.1</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不断提高信息公开工作业务水平；协助县领导组织会议决定事项的落实；督办重大决策落实；协调组织打私事务，增大打私力度；做好县际间政务往来与经济交流工作，负责县级领导公务活动的接待安排。</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提升政务公开服务水平。承办大型会议，有效推动全县经济发展，保障重大决策落实，积极贯彻</w:t>
            </w:r>
            <w:r>
              <w:rPr>
                <w:rFonts w:hint="eastAsia" w:ascii="方正书宋_GBK" w:eastAsia="方正书宋_GBK" w:cs="方正书宋_GBK"/>
                <w:lang w:eastAsia="zh-CN"/>
              </w:rPr>
              <w:t>工作部署</w:t>
            </w:r>
            <w:r>
              <w:rPr>
                <w:rFonts w:hint="eastAsia" w:ascii="方正书宋_GBK" w:eastAsia="方正书宋_GBK" w:cs="方正书宋_GBK"/>
              </w:rPr>
              <w:t>，创新工作机制，提升服务水平。围绕我县中心工作，有效促进对外经贸协作和外地高科技项目合作。</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事项督查反馈率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60%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组织对外联络（次）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对外联络服务满意度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离退领导满意程度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督查督办落实任务完成率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检查信息公开履行职责（次）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[3,5)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政务信息公开培训任务完成率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打私专项联合执法行动</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圆满完成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部分完成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没完成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承办大型会议次数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负责县政府值班工作，及时报告重大情况，协助县领导组织处理突发事件。</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保障应急平台安全运行，有效保证应急突发事件应对处置，完善应急体系，有效组织应急演练，进一步提升应急工作水平。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应急管理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县政府值班工作，及时报告重要情况，传达和落实县领导重要指示，协助县领导完成组织处理突发事件应急处置工作。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建设运行维护平台数据，为有效保障全县突发事件提供技术保障，确保快速、有效处置突发事件，提高事件应对实效。</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应急事件处置情况</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98%</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系统全年累计故障时长（小时）</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48</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96</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192</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政府电子政务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政务信息工作和机关电子政务工作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确保各类会议顺利进行，保障政府网络系统安全运行，严格保障服务流程和视频会议管理制度，切实提高技术保障能力和服务水平。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政府电子政务管理与服务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政务信息工作和机关电子政务工作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确保各类会议顺利进行，保障政府网络安全运行，严格保障服务流程和视频会议管理制度，切实提高技术保障能力和服务水平。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会议保障率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网络系统升级</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视频会议系统断点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信号优良</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信号正常</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偶有断点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不正常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地方志事务管理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全县地方志事务管理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弘扬传统文化，充分发挥志书</w:t>
            </w:r>
            <w:r>
              <w:t>“</w:t>
            </w:r>
            <w:r>
              <w:rPr>
                <w:rFonts w:hint="eastAsia" w:ascii="方正书宋_GBK" w:eastAsia="方正书宋_GBK" w:cs="方正书宋_GBK"/>
              </w:rPr>
              <w:t>资政、存史、教化</w:t>
            </w:r>
            <w:r>
              <w:t>”</w:t>
            </w:r>
            <w:r>
              <w:rPr>
                <w:rFonts w:hint="eastAsia" w:ascii="方正书宋_GBK" w:eastAsia="方正书宋_GBK" w:cs="方正书宋_GBK"/>
              </w:rPr>
              <w:t>的综合功能，为社会各界提供方便快捷提供</w:t>
            </w:r>
            <w:r>
              <w:rPr>
                <w:rFonts w:ascii="方正书宋_GBK" w:eastAsia="方正书宋_GBK" w:cs="方正书宋_GBK"/>
              </w:rPr>
              <w:t>XX</w:t>
            </w:r>
            <w:r>
              <w:rPr>
                <w:rFonts w:hint="eastAsia" w:ascii="方正书宋_GBK" w:eastAsia="方正书宋_GBK" w:cs="方正书宋_GBK"/>
              </w:rPr>
              <w:t>县情。</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地方志事务管理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拟订全县地方志工作规划并实施；组织整理旧书，搜集、保存、管理地方文献和资料；组织推动地方志理论研究和学术交流；承办县政府和上级业务部门交办的其他工作。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传承优秀文化传统，充分发挥志书</w:t>
            </w:r>
            <w:r>
              <w:t>“</w:t>
            </w:r>
            <w:r>
              <w:rPr>
                <w:rFonts w:hint="eastAsia" w:ascii="方正书宋_GBK" w:eastAsia="方正书宋_GBK" w:cs="方正书宋_GBK"/>
              </w:rPr>
              <w:t>资政、存史、教化</w:t>
            </w:r>
            <w:r>
              <w:t>”</w:t>
            </w:r>
            <w:r>
              <w:rPr>
                <w:rFonts w:hint="eastAsia" w:ascii="方正书宋_GBK" w:eastAsia="方正书宋_GBK" w:cs="方正书宋_GBK"/>
              </w:rPr>
              <w:t>的综合功能，为社会各界方便快捷提供</w:t>
            </w:r>
            <w:r>
              <w:rPr>
                <w:rFonts w:ascii="方正书宋_GBK" w:eastAsia="方正书宋_GBK" w:cs="方正书宋_GBK"/>
              </w:rPr>
              <w:t>XX</w:t>
            </w:r>
            <w:r>
              <w:rPr>
                <w:rFonts w:hint="eastAsia" w:ascii="方正书宋_GBK" w:eastAsia="方正书宋_GBK" w:cs="方正书宋_GBK"/>
              </w:rPr>
              <w:t>县情，为县域经济社会建设服务，为地方志工作者提供资料和工具。</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内容、编校、设计、印刷差错率</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0.1</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0.2</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0.5</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1</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培训修志队伍</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县级志书编纂任务完成率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综合业务、事务管理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紧紧围绕县政府中心工作，积极协调县领导谋大事，解难事，不断提高参政水平，努力为领导提供服务层次和优质服务。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以服务领导和机关保障有力为目标，增强优质后勤管理水平，通过加强公车管理，降低运行成本，为创建节约型机关打下了良好的基础。采取保障县政府领导和机关工作办公环境的措施，提升服务管理水平，保障县领导和机关工作的正常运转。及时了解国内外形势、党和国家的方针政策以及上级重要部署和要求，及时为老干部提供优质高效服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协助县政府领导组织起草或审核以县政府、县政府办公室名义发布的公文；办理县政府各部门和乡镇报送的文电；对县政府部门间出现的争议问题提出处理意见；组织起草县政府领导重要讲话及其他重要文稿；组织专题调研；承办县政府领导交办的其他事项。</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采取保障县政府领导和机关工作办公环境的措施，提升了服务管理水平，保障了县领导和机关工作的正常运转。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各项综合事务管理工作完成率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各项综合业务管理工作完成率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法制办事务管理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组织推进依法行政推进法治政府建设　执法培训监督行政复议应诉建立健全政府法律顾问制度　政府法制宣传教育</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组织推进依法行政推进法治政府建设　执法培训监督行政复议应诉健全政府法律顾问制度政府法制宣传教育</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法制办事务管理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组织加强对行政执法人员培训及证件管理、执法行为监督检查，办理行政复议案件，依法受理行政复议申请；受县政府委托，作好行政应诉工作，建立健全政府法律顾问制度。做好依法行政考核工作，全面推进依法行政。</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组织加强对行政执法人员培训及证件管理、执法行为监督检查，办理行政复议案件，依法受理行政复议申请；受县政府委托，作好行政应诉工作，建立健全政府法律顾问制度。做好依法行政考核工作，全面推进依法行政。</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案件调解率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专家参与立法、提供服务情况</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应诉胜诉率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复议决定提起诉讼率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3-4%</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5%</w:t>
            </w:r>
            <w:r>
              <w:rPr>
                <w:rFonts w:hint="eastAsia" w:ascii="方正书宋_GBK" w:eastAsia="方正书宋_GBK" w:cs="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人防办事务管理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规划、指导、管理全县人防工程建设，组织实施防空训练演练和人防专业队整租训练，依法审批防空地下室修建，负责人防信息化建设、运行及维护管理。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工程总量不断增加。质量不断提高。结构、设备完好。确保设施设备正常运转，信息畅通，软硬件更新及时。</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人防事务管理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规划、指导、管理全县人防工程建设，组织实施防空训练演练和人防专业队整租训练，依法审批防空地下室修建，负责人防信息化建设、运行及维护管理。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工程总量不断增加。质量不断提高。结构、设备完好。确保设施设备正常运转，信息畅通，软硬件更新及时。</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工程验收合格率、质量监督覆盖率、警报音响覆盖率、通信手段完好率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金融生态环境建设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整顿和规范金融市场秩序，协调非法集资、非法证券、非法保险等案件的查处、善后处置和维护金融稳定，指导全县金融生态环境和社会信用体系建设，组织开展金融生态环境、金融贡献奖考核评比工作。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严守不发生系统性、区域性金融风险的底线，净化金融市场，维护社会稳定。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防范和化解地方金融风险</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积极利用科技手段进行风险提示和监测预警，启动涉嫌非法集资监测预警信息系统，加强社会信用体系建设，严厉打击逃废金融债务行为。</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突出宣传教育、风险排查两条主线，建立健全监测预警体系，探索地方立法建设长效机制，实现监管关口源头前移、立体发展，治理非法集资工作进一步法治化、规范化、常态化、科学化。</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非法集资综合治理工作开展</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完成并上报</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未开展</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45" w:firstLineChars="215"/>
        <w:rPr>
          <w:rFonts w:ascii="仿宋_GB2312" w:eastAsia="仿宋_GB2312"/>
          <w:sz w:val="30"/>
          <w:szCs w:val="30"/>
        </w:rPr>
      </w:pPr>
      <w:r>
        <w:rPr>
          <w:rFonts w:ascii="仿宋_GB2312" w:eastAsia="仿宋_GB2312" w:cs="仿宋_GB2312"/>
          <w:sz w:val="30"/>
          <w:szCs w:val="30"/>
        </w:rPr>
        <w:t>201</w:t>
      </w:r>
      <w:r>
        <w:rPr>
          <w:rFonts w:hint="eastAsia" w:ascii="仿宋_GB2312" w:eastAsia="仿宋_GB2312" w:cs="仿宋_GB2312"/>
          <w:sz w:val="30"/>
          <w:szCs w:val="30"/>
        </w:rPr>
        <w:t>8年我部门安排政府采购预算</w:t>
      </w:r>
      <w:r>
        <w:rPr>
          <w:rFonts w:ascii="仿宋_GB2312" w:eastAsia="仿宋_GB2312" w:cs="仿宋_GB2312"/>
          <w:sz w:val="30"/>
          <w:szCs w:val="30"/>
        </w:rPr>
        <w:t>0</w:t>
      </w:r>
      <w:r>
        <w:rPr>
          <w:rFonts w:hint="eastAsia" w:ascii="仿宋_GB2312" w:eastAsia="仿宋_GB2312" w:cs="仿宋_GB2312"/>
          <w:sz w:val="30"/>
          <w:szCs w:val="30"/>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无极县政府办上年末固定资产金额为 435.353586万元（详见下表）。本年度拟购置固定资产金额为12.3万元。</w:t>
      </w:r>
    </w:p>
    <w:p>
      <w:pPr>
        <w:pStyle w:val="10"/>
        <w:ind w:firstLine="640" w:firstLineChars="200"/>
        <w:rPr>
          <w:rFonts w:ascii="仿宋" w:hAnsi="仿宋" w:eastAsia="仿宋" w:cs="Times New Roman"/>
          <w:sz w:val="32"/>
          <w:szCs w:val="32"/>
          <w:lang w:eastAsia="zh-CN"/>
        </w:rPr>
      </w:pPr>
    </w:p>
    <w:p>
      <w:pPr>
        <w:pStyle w:val="10"/>
        <w:ind w:firstLine="640" w:firstLineChars="200"/>
        <w:rPr>
          <w:rFonts w:ascii="仿宋" w:hAnsi="仿宋" w:eastAsia="仿宋" w:cs="Times New Roman"/>
          <w:sz w:val="32"/>
          <w:szCs w:val="32"/>
          <w:lang w:eastAsia="zh-CN"/>
        </w:rPr>
      </w:pPr>
    </w:p>
    <w:tbl>
      <w:tblPr>
        <w:tblStyle w:val="4"/>
        <w:tblW w:w="10185" w:type="dxa"/>
        <w:tblInd w:w="1997" w:type="dxa"/>
        <w:tblLayout w:type="fixed"/>
        <w:tblCellMar>
          <w:top w:w="0" w:type="dxa"/>
          <w:left w:w="108" w:type="dxa"/>
          <w:bottom w:w="0" w:type="dxa"/>
          <w:right w:w="108" w:type="dxa"/>
        </w:tblCellMar>
      </w:tblPr>
      <w:tblGrid>
        <w:gridCol w:w="3990"/>
        <w:gridCol w:w="2100"/>
        <w:gridCol w:w="4095"/>
      </w:tblGrid>
      <w:tr>
        <w:tblPrEx>
          <w:tblCellMar>
            <w:top w:w="0" w:type="dxa"/>
            <w:left w:w="108" w:type="dxa"/>
            <w:bottom w:w="0" w:type="dxa"/>
            <w:right w:w="108" w:type="dxa"/>
          </w:tblCellMar>
        </w:tblPrEx>
        <w:trPr>
          <w:trHeight w:val="705" w:hRule="atLeast"/>
        </w:trPr>
        <w:tc>
          <w:tcPr>
            <w:tcW w:w="10185" w:type="dxa"/>
            <w:gridSpan w:val="3"/>
            <w:tcBorders>
              <w:top w:val="nil"/>
              <w:left w:val="nil"/>
              <w:bottom w:val="nil"/>
              <w:right w:val="nil"/>
            </w:tcBorders>
            <w:vAlign w:val="center"/>
          </w:tcPr>
          <w:p>
            <w:pPr>
              <w:widowControl/>
              <w:jc w:val="center"/>
              <w:rPr>
                <w:rFonts w:ascii="宋体"/>
                <w:b/>
                <w:bCs/>
                <w:kern w:val="0"/>
                <w:sz w:val="32"/>
                <w:szCs w:val="32"/>
              </w:rPr>
            </w:pPr>
            <w:r>
              <w:rPr>
                <w:rFonts w:hint="eastAsia" w:ascii="宋体" w:hAnsi="宋体" w:cs="宋体"/>
                <w:b/>
                <w:bCs/>
                <w:kern w:val="0"/>
                <w:sz w:val="32"/>
                <w:szCs w:val="32"/>
              </w:rPr>
              <w:t>无极县政府办固定资产占用情况表</w:t>
            </w:r>
          </w:p>
        </w:tc>
      </w:tr>
      <w:tr>
        <w:tblPrEx>
          <w:tblCellMar>
            <w:top w:w="0" w:type="dxa"/>
            <w:left w:w="108" w:type="dxa"/>
            <w:bottom w:w="0" w:type="dxa"/>
            <w:right w:w="108" w:type="dxa"/>
          </w:tblCellMar>
        </w:tblPrEx>
        <w:trPr>
          <w:trHeight w:val="510" w:hRule="atLeast"/>
        </w:trPr>
        <w:tc>
          <w:tcPr>
            <w:tcW w:w="6090"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无极县政府办</w:t>
            </w:r>
          </w:p>
        </w:tc>
        <w:tc>
          <w:tcPr>
            <w:tcW w:w="4095" w:type="dxa"/>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w:t>
            </w:r>
            <w:r>
              <w:rPr>
                <w:rFonts w:hint="eastAsia" w:ascii="宋体" w:hAnsi="宋体" w:cs="宋体"/>
                <w:kern w:val="0"/>
                <w:sz w:val="22"/>
                <w:szCs w:val="22"/>
              </w:rPr>
              <w:t>7年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99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210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409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435.353586</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0</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0</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0</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0</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9</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hint="eastAsia" w:ascii="宋体" w:cs="宋体"/>
                <w:kern w:val="0"/>
                <w:sz w:val="22"/>
                <w:szCs w:val="22"/>
              </w:rPr>
              <w:t>232.197286</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hint="eastAsia" w:ascii="宋体" w:cs="宋体"/>
                <w:kern w:val="0"/>
                <w:sz w:val="22"/>
                <w:szCs w:val="22"/>
              </w:rPr>
              <w:t>203.1563</w:t>
            </w:r>
          </w:p>
        </w:tc>
      </w:tr>
    </w:tbl>
    <w:p>
      <w:pPr>
        <w:ind w:firstLine="688" w:firstLineChars="215"/>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仿宋" w:hAnsi="仿宋" w:eastAsia="仿宋"/>
          <w:sz w:val="32"/>
          <w:szCs w:val="32"/>
        </w:rPr>
      </w:pPr>
      <w:r>
        <w:rPr>
          <w:rFonts w:hint="eastAsia" w:ascii="仿宋" w:hAnsi="仿宋" w:eastAsia="仿宋" w:cs="仿宋"/>
          <w:sz w:val="32"/>
          <w:szCs w:val="32"/>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singleLevel"/>
    <w:tmpl w:val="0000000B"/>
    <w:lvl w:ilvl="0" w:tentative="0">
      <w:start w:val="4"/>
      <w:numFmt w:val="chineseCounting"/>
      <w:suff w:val="nothing"/>
      <w:lvlText w:val="%1、"/>
      <w:lvlJc w:val="left"/>
    </w:lvl>
  </w:abstractNum>
  <w:abstractNum w:abstractNumId="1">
    <w:nsid w:val="0053208E"/>
    <w:multiLevelType w:val="multilevel"/>
    <w:tmpl w:val="0053208E"/>
    <w:lvl w:ilvl="0" w:tentative="0">
      <w:start w:val="1"/>
      <w:numFmt w:val="japaneseCounting"/>
      <w:lvlText w:val="（%1）"/>
      <w:lvlJc w:val="left"/>
      <w:pPr>
        <w:tabs>
          <w:tab w:val="left" w:pos="1680"/>
        </w:tabs>
        <w:ind w:left="1680" w:hanging="1080"/>
      </w:pPr>
      <w:rPr>
        <w:rFonts w:hint="default" w:ascii="楷体" w:hAnsi="楷体" w:eastAsia="楷体"/>
        <w:sz w:val="30"/>
        <w:szCs w:val="30"/>
      </w:rPr>
    </w:lvl>
    <w:lvl w:ilvl="1" w:tentative="0">
      <w:start w:val="1"/>
      <w:numFmt w:val="lowerLetter"/>
      <w:lvlText w:val="%2)"/>
      <w:lvlJc w:val="left"/>
      <w:pPr>
        <w:tabs>
          <w:tab w:val="left" w:pos="1440"/>
        </w:tabs>
        <w:ind w:left="1440" w:hanging="420"/>
      </w:pPr>
    </w:lvl>
    <w:lvl w:ilvl="2" w:tentative="0">
      <w:start w:val="1"/>
      <w:numFmt w:val="lowerRoman"/>
      <w:lvlText w:val="%3."/>
      <w:lvlJc w:val="right"/>
      <w:pPr>
        <w:tabs>
          <w:tab w:val="left" w:pos="1860"/>
        </w:tabs>
        <w:ind w:left="1860" w:hanging="420"/>
      </w:pPr>
    </w:lvl>
    <w:lvl w:ilvl="3" w:tentative="0">
      <w:start w:val="1"/>
      <w:numFmt w:val="decimal"/>
      <w:lvlText w:val="%4."/>
      <w:lvlJc w:val="left"/>
      <w:pPr>
        <w:tabs>
          <w:tab w:val="left" w:pos="2280"/>
        </w:tabs>
        <w:ind w:left="2280" w:hanging="420"/>
      </w:pPr>
    </w:lvl>
    <w:lvl w:ilvl="4" w:tentative="0">
      <w:start w:val="1"/>
      <w:numFmt w:val="lowerLetter"/>
      <w:lvlText w:val="%5)"/>
      <w:lvlJc w:val="left"/>
      <w:pPr>
        <w:tabs>
          <w:tab w:val="left" w:pos="2700"/>
        </w:tabs>
        <w:ind w:left="2700" w:hanging="420"/>
      </w:pPr>
    </w:lvl>
    <w:lvl w:ilvl="5" w:tentative="0">
      <w:start w:val="1"/>
      <w:numFmt w:val="lowerRoman"/>
      <w:lvlText w:val="%6."/>
      <w:lvlJc w:val="right"/>
      <w:pPr>
        <w:tabs>
          <w:tab w:val="left" w:pos="3120"/>
        </w:tabs>
        <w:ind w:left="3120" w:hanging="420"/>
      </w:pPr>
    </w:lvl>
    <w:lvl w:ilvl="6" w:tentative="0">
      <w:start w:val="1"/>
      <w:numFmt w:val="decimal"/>
      <w:lvlText w:val="%7."/>
      <w:lvlJc w:val="left"/>
      <w:pPr>
        <w:tabs>
          <w:tab w:val="left" w:pos="3540"/>
        </w:tabs>
        <w:ind w:left="3540" w:hanging="420"/>
      </w:pPr>
    </w:lvl>
    <w:lvl w:ilvl="7" w:tentative="0">
      <w:start w:val="1"/>
      <w:numFmt w:val="lowerLetter"/>
      <w:lvlText w:val="%8)"/>
      <w:lvlJc w:val="left"/>
      <w:pPr>
        <w:tabs>
          <w:tab w:val="left" w:pos="3960"/>
        </w:tabs>
        <w:ind w:left="3960" w:hanging="420"/>
      </w:pPr>
    </w:lvl>
    <w:lvl w:ilvl="8" w:tentative="0">
      <w:start w:val="1"/>
      <w:numFmt w:val="lowerRoman"/>
      <w:lvlText w:val="%9."/>
      <w:lvlJc w:val="right"/>
      <w:pPr>
        <w:tabs>
          <w:tab w:val="left" w:pos="4380"/>
        </w:tabs>
        <w:ind w:left="43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5FE4"/>
    <w:rsid w:val="00955FE4"/>
    <w:rsid w:val="00BA76BB"/>
    <w:rsid w:val="00C82E94"/>
    <w:rsid w:val="554E7332"/>
    <w:rsid w:val="7C820D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uiPriority w:val="0"/>
    <w:rPr>
      <w:rFonts w:ascii="Times New Roman" w:hAnsi="Times New Roman" w:eastAsia="宋体" w:cs="Times New Roman"/>
      <w:sz w:val="18"/>
      <w:szCs w:val="18"/>
    </w:rPr>
  </w:style>
  <w:style w:type="character" w:customStyle="1" w:styleId="7">
    <w:name w:val="页眉 字符"/>
    <w:link w:val="3"/>
    <w:semiHidden/>
    <w:qFormat/>
    <w:uiPriority w:val="0"/>
    <w:rPr>
      <w:rFonts w:ascii="Times New Roman" w:hAnsi="Times New Roman" w:eastAsia="宋体" w:cs="Times New Roman"/>
      <w:sz w:val="18"/>
      <w:szCs w:val="18"/>
    </w:rPr>
  </w:style>
  <w:style w:type="paragraph" w:customStyle="1" w:styleId="8">
    <w:name w:val="HTML 地址1"/>
    <w:basedOn w:val="1"/>
    <w:link w:val="11"/>
    <w:uiPriority w:val="0"/>
    <w:pPr>
      <w:widowControl/>
      <w:spacing w:before="100" w:beforeAutospacing="1" w:after="100" w:afterAutospacing="1"/>
      <w:jc w:val="left"/>
    </w:pPr>
    <w:rPr>
      <w:i/>
      <w:iCs/>
    </w:rPr>
  </w:style>
  <w:style w:type="paragraph" w:customStyle="1" w:styleId="9">
    <w:name w:val="List Paragraph1"/>
    <w:basedOn w:val="1"/>
    <w:uiPriority w:val="0"/>
    <w:pPr>
      <w:ind w:firstLine="420" w:firstLineChars="200"/>
    </w:pPr>
  </w:style>
  <w:style w:type="paragraph" w:customStyle="1" w:styleId="10">
    <w:name w:val="[Normal]"/>
    <w:uiPriority w:val="0"/>
    <w:rPr>
      <w:rFonts w:ascii="宋体" w:hAnsi="Times New Roman" w:eastAsia="宋体" w:cs="宋体"/>
      <w:sz w:val="24"/>
      <w:szCs w:val="24"/>
      <w:lang w:val="en-US" w:eastAsia="en-US" w:bidi="ar-SA"/>
    </w:rPr>
  </w:style>
  <w:style w:type="character" w:customStyle="1" w:styleId="11">
    <w:name w:val="HTML Address Char Char"/>
    <w:link w:val="8"/>
    <w:semiHidden/>
    <w:qFormat/>
    <w:uiPriority w:val="0"/>
    <w:rPr>
      <w:rFonts w:ascii="Times New Roman" w:hAnsi="Times New Roman" w:cs="Times New Roman"/>
      <w:i/>
      <w:iCs/>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18</Pages>
  <Words>1109</Words>
  <Characters>6325</Characters>
  <Lines>52</Lines>
  <Paragraphs>14</Paragraphs>
  <TotalTime>0</TotalTime>
  <ScaleCrop>false</ScaleCrop>
  <LinksUpToDate>false</LinksUpToDate>
  <CharactersWithSpaces>7420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2024-04-10T07:52:28Z</dcterms:modified>
  <dc:title>lt</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D7547929E22B4AB9BC49F3030DB0A5A7</vt:lpwstr>
  </property>
</Properties>
</file>