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bCs/>
          <w:sz w:val="44"/>
          <w:szCs w:val="44"/>
        </w:rPr>
      </w:pPr>
      <w:bookmarkStart w:id="1" w:name="_GoBack"/>
      <w:bookmarkEnd w:id="1"/>
    </w:p>
    <w:p>
      <w:pPr>
        <w:ind w:firstLine="4996" w:firstLineChars="1131"/>
        <w:rPr>
          <w:rFonts w:ascii="宋体"/>
          <w:b/>
          <w:bCs/>
          <w:sz w:val="44"/>
          <w:szCs w:val="44"/>
        </w:rPr>
      </w:pPr>
      <w:r>
        <w:rPr>
          <w:rFonts w:hint="eastAsia" w:ascii="宋体" w:hAnsi="宋体" w:cs="宋体"/>
          <w:b/>
          <w:bCs/>
          <w:sz w:val="44"/>
          <w:szCs w:val="44"/>
        </w:rPr>
        <w:t>无极县政府办公室</w:t>
      </w:r>
      <w:r>
        <w:rPr>
          <w:rFonts w:ascii="宋体" w:hAnsi="宋体" w:cs="宋体"/>
          <w:b/>
          <w:bCs/>
          <w:sz w:val="44"/>
          <w:szCs w:val="44"/>
        </w:rPr>
        <w:t xml:space="preserve">    </w:t>
      </w:r>
    </w:p>
    <w:p>
      <w:pPr>
        <w:jc w:val="center"/>
        <w:rPr>
          <w:rFonts w:ascii="宋体"/>
          <w:b/>
          <w:bCs/>
          <w:sz w:val="44"/>
          <w:szCs w:val="44"/>
        </w:rPr>
      </w:pPr>
      <w:r>
        <w:rPr>
          <w:rFonts w:ascii="宋体" w:hAnsi="宋体" w:cs="宋体"/>
          <w:b/>
          <w:bCs/>
          <w:sz w:val="44"/>
          <w:szCs w:val="44"/>
        </w:rPr>
        <w:t>2017</w:t>
      </w:r>
      <w:r>
        <w:rPr>
          <w:rFonts w:hint="eastAsia" w:ascii="宋体" w:hAnsi="宋体" w:cs="宋体"/>
          <w:b/>
          <w:bCs/>
          <w:sz w:val="44"/>
          <w:szCs w:val="44"/>
        </w:rPr>
        <w:t>年部门预算信息公开说明目录</w:t>
      </w:r>
    </w:p>
    <w:p/>
    <w:p/>
    <w:p>
      <w:pPr>
        <w:ind w:firstLine="640" w:firstLineChars="200"/>
        <w:rPr>
          <w:rFonts w:ascii="宋体"/>
          <w:sz w:val="32"/>
          <w:szCs w:val="32"/>
        </w:rPr>
      </w:pPr>
      <w:r>
        <w:rPr>
          <w:rFonts w:hint="eastAsia" w:ascii="宋体" w:hAnsi="宋体" w:cs="宋体"/>
          <w:sz w:val="32"/>
          <w:szCs w:val="32"/>
        </w:rPr>
        <w:t>一、部门职责及机构设置情况</w:t>
      </w:r>
    </w:p>
    <w:p>
      <w:pPr>
        <w:ind w:firstLine="640" w:firstLineChars="200"/>
        <w:rPr>
          <w:rFonts w:ascii="宋体"/>
          <w:sz w:val="32"/>
          <w:szCs w:val="32"/>
        </w:rPr>
      </w:pPr>
      <w:r>
        <w:rPr>
          <w:rFonts w:hint="eastAsia" w:ascii="宋体" w:hAnsi="宋体" w:cs="宋体"/>
          <w:sz w:val="32"/>
          <w:szCs w:val="32"/>
        </w:rPr>
        <w:t>二、部门预算安排的总体情况</w:t>
      </w:r>
    </w:p>
    <w:p>
      <w:pPr>
        <w:ind w:firstLine="640" w:firstLineChars="200"/>
        <w:rPr>
          <w:rFonts w:ascii="宋体"/>
          <w:sz w:val="32"/>
          <w:szCs w:val="32"/>
        </w:rPr>
      </w:pPr>
      <w:r>
        <w:rPr>
          <w:rFonts w:hint="eastAsia" w:ascii="宋体" w:hAnsi="宋体" w:cs="宋体"/>
          <w:sz w:val="32"/>
          <w:szCs w:val="32"/>
        </w:rPr>
        <w:t>三、机关运行经费安排情况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四、财政拨款“三公”经费预算情况及增减变化原因</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五、绩效预算信息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六、政府采购预算情况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七、国有资产信息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九、其他需要说明的事项</w:t>
      </w:r>
    </w:p>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按照</w:t>
      </w:r>
      <w:r>
        <w:rPr>
          <w:rFonts w:hint="eastAsia" w:ascii="仿宋_GB2312" w:hAnsi="仿宋" w:eastAsia="仿宋_GB2312" w:cs="仿宋_GB2312"/>
          <w:sz w:val="32"/>
          <w:szCs w:val="32"/>
          <w:lang w:eastAsia="zh-CN"/>
        </w:rPr>
        <w:t>《中华人民共和国预算法》</w:t>
      </w:r>
      <w:r>
        <w:rPr>
          <w:rFonts w:hint="eastAsia" w:ascii="仿宋_GB2312" w:hAnsi="仿宋" w:eastAsia="仿宋_GB2312" w:cs="仿宋_GB2312"/>
          <w:sz w:val="32"/>
          <w:szCs w:val="32"/>
        </w:rPr>
        <w:t>、《地方预决算公开操作规程》和《河北省省级预算公开办法》规定，现将无极县政府办公室</w:t>
      </w:r>
      <w:r>
        <w:rPr>
          <w:rFonts w:ascii="仿宋_GB2312" w:hAnsi="仿宋" w:eastAsia="仿宋_GB2312" w:cs="仿宋_GB2312"/>
          <w:sz w:val="32"/>
          <w:szCs w:val="32"/>
        </w:rPr>
        <w:t>2017</w:t>
      </w:r>
      <w:r>
        <w:rPr>
          <w:rFonts w:hint="eastAsia" w:ascii="仿宋_GB2312" w:hAnsi="仿宋" w:eastAsia="仿宋_GB2312" w:cs="仿宋_GB2312"/>
          <w:sz w:val="32"/>
          <w:szCs w:val="32"/>
        </w:rPr>
        <w:t>年部门预算公开如下：</w:t>
      </w:r>
    </w:p>
    <w:p>
      <w:pPr>
        <w:ind w:left="800"/>
        <w:rPr>
          <w:rFonts w:ascii="黑体" w:hAnsi="黑体" w:eastAsia="黑体"/>
          <w:sz w:val="32"/>
          <w:szCs w:val="32"/>
        </w:rPr>
      </w:pPr>
      <w:r>
        <w:rPr>
          <w:rFonts w:hint="eastAsia" w:ascii="黑体" w:hAnsi="黑体" w:eastAsia="黑体" w:cs="黑体"/>
          <w:sz w:val="32"/>
          <w:szCs w:val="32"/>
        </w:rPr>
        <w:t>一、部门职责及机构设置情况</w:t>
      </w:r>
    </w:p>
    <w:p>
      <w:pPr>
        <w:ind w:firstLine="645"/>
        <w:rPr>
          <w:rFonts w:ascii="楷体" w:hAnsi="楷体" w:eastAsia="楷体"/>
          <w:sz w:val="32"/>
          <w:szCs w:val="32"/>
        </w:rPr>
      </w:pPr>
      <w:r>
        <w:rPr>
          <w:rFonts w:hint="eastAsia" w:ascii="楷体" w:hAnsi="楷体" w:eastAsia="楷体" w:cs="楷体"/>
          <w:sz w:val="32"/>
          <w:szCs w:val="32"/>
        </w:rPr>
        <w:t>（一）部门职责</w:t>
      </w:r>
    </w:p>
    <w:p>
      <w:pPr>
        <w:spacing w:line="560" w:lineRule="exact"/>
        <w:ind w:firstLine="639"/>
        <w:textAlignment w:val="bottom"/>
        <w:rPr>
          <w:rFonts w:ascii="仿宋_GB2312" w:hAnsi="仿宋_GB2312" w:eastAsia="仿宋_GB2312"/>
          <w:sz w:val="32"/>
          <w:szCs w:val="32"/>
        </w:rPr>
      </w:pPr>
      <w:r>
        <w:rPr>
          <w:rFonts w:ascii="仿宋_GB2312" w:hAnsi="仿宋_GB2312" w:eastAsia="仿宋_GB2312" w:cs="仿宋_GB2312"/>
          <w:sz w:val="32"/>
          <w:szCs w:val="32"/>
        </w:rPr>
        <w:t>(</w:t>
      </w:r>
      <w:r>
        <w:rPr>
          <w:rFonts w:hint="eastAsia" w:ascii="仿宋_GB2312" w:hAnsi="仿宋_GB2312" w:eastAsia="仿宋_GB2312" w:cs="仿宋_GB2312"/>
          <w:sz w:val="32"/>
          <w:szCs w:val="32"/>
        </w:rPr>
        <w:t>一</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围绕县政府的中心工作和重点工作，加强调查研究，及时了解情况，提出建议，为县领导进行科学决策、部署和指导工作，发挥参谋助手作用。</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（二）负责县政府会议的准备和服务工作；负责组织县政府工作报告、工作总结、领导重要讲话及其他重要材料的起草、修改工作。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（三）负责县政府和政府办文电的起草、审核把关和政府机关的公文处理工作；负责县政府机关的档案管理、印信管理和保密工作。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（四）督促检查县政府各部门和各乡镇政府对县政府重要文件、县政府重要会议议定事项及县领导和上级领导重要批示的执行、落实情况。</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（五）负责县政府机关值班工作，及时向县政府领导报告重要情况，协助领导组织处理需由县政府直接处理的突发事件、重大灾情和重大事故。</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（六）负责信息收集、选择、提供、反馈工作；负责县政府网站的信息发布工作；负责政府办所属事业单位的管理工作。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（七）负责人民防空法律、法规的组织实施和监督检查，负责人防工程行政执法、行政监督、行政复议和行政诉讼工作。</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（八）根据全县国民经济和社会发展计划及国防建设需要，拟定人民防空建设的中长期发展计划，编制人民防空工作年度计划，经批准后组织实施。</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九）组织开展防空防灾宣传教育，负责人民防空组织指挥；加强人民防空系统防灾功能，建立健全防空防灾相结合的工作机制，承担相应的防灾救灾职责任务；加强防空地下室建设审批和竣工验收认可审批等项工作的组织和实施。</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（十）主管全县档案事业，制定全县档案事业发展综合规划和专项计划，并依法实行宏观管理与监督指导。</w:t>
      </w:r>
    </w:p>
    <w:p>
      <w:pPr>
        <w:spacing w:line="560" w:lineRule="exact"/>
        <w:ind w:firstLine="639"/>
        <w:textAlignment w:val="bottom"/>
        <w:rPr>
          <w:rFonts w:ascii="仿宋_GB2312" w:hAnsi="仿宋_GB2312" w:eastAsia="仿宋_GB2312"/>
          <w:sz w:val="32"/>
          <w:szCs w:val="32"/>
        </w:rPr>
      </w:pPr>
      <w:r>
        <w:rPr>
          <w:rFonts w:hint="eastAsia" w:ascii="仿宋_GB2312" w:hAnsi="仿宋_GB2312" w:eastAsia="仿宋_GB2312" w:cs="仿宋_GB2312"/>
          <w:sz w:val="32"/>
          <w:szCs w:val="32"/>
        </w:rPr>
        <w:t>（十一）承办县政府领导交办的其他事项。</w:t>
      </w:r>
    </w:p>
    <w:p>
      <w:pPr>
        <w:ind w:firstLine="645"/>
        <w:rPr>
          <w:rFonts w:ascii="仿宋" w:hAnsi="仿宋" w:eastAsia="仿宋"/>
          <w:sz w:val="32"/>
          <w:szCs w:val="32"/>
        </w:rPr>
      </w:pPr>
    </w:p>
    <w:p>
      <w:pPr>
        <w:ind w:firstLine="645"/>
        <w:rPr>
          <w:rFonts w:ascii="楷体" w:hAnsi="楷体" w:eastAsia="楷体"/>
          <w:sz w:val="32"/>
          <w:szCs w:val="32"/>
        </w:rPr>
      </w:pPr>
      <w:r>
        <w:rPr>
          <w:rFonts w:hint="eastAsia" w:ascii="楷体" w:hAnsi="楷体" w:eastAsia="楷体" w:cs="楷体"/>
          <w:sz w:val="32"/>
          <w:szCs w:val="32"/>
        </w:rPr>
        <w:t>（二）机构设置</w:t>
      </w:r>
    </w:p>
    <w:p>
      <w:pPr>
        <w:jc w:val="center"/>
        <w:rPr>
          <w:rFonts w:ascii="仿宋" w:hAnsi="仿宋" w:eastAsia="仿宋"/>
          <w:b/>
          <w:bCs/>
          <w:sz w:val="32"/>
          <w:szCs w:val="32"/>
        </w:rPr>
      </w:pPr>
      <w:r>
        <w:rPr>
          <w:rFonts w:hint="eastAsia" w:ascii="仿宋" w:hAnsi="仿宋" w:eastAsia="仿宋" w:cs="仿宋"/>
          <w:sz w:val="32"/>
          <w:szCs w:val="32"/>
        </w:rPr>
        <w:t>部门机构设置情况</w:t>
      </w:r>
    </w:p>
    <w:tbl>
      <w:tblPr>
        <w:tblStyle w:val="4"/>
        <w:tblW w:w="110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1"/>
        <w:gridCol w:w="1877"/>
        <w:gridCol w:w="1625"/>
        <w:gridCol w:w="311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2" w:hRule="atLeast"/>
          <w:tblHeader/>
          <w:jc w:val="center"/>
        </w:trPr>
        <w:tc>
          <w:tcPr>
            <w:tcW w:w="4411" w:type="dxa"/>
            <w:vAlign w:val="center"/>
          </w:tcPr>
          <w:p>
            <w:pPr>
              <w:tabs>
                <w:tab w:val="left" w:pos="1035"/>
                <w:tab w:val="center" w:pos="2173"/>
              </w:tabs>
              <w:spacing w:line="300" w:lineRule="exact"/>
              <w:jc w:val="left"/>
            </w:pPr>
            <w:r>
              <w:rPr>
                <w:rFonts w:ascii="仿宋" w:hAnsi="仿宋" w:eastAsia="仿宋"/>
                <w:b/>
                <w:bCs/>
                <w:sz w:val="28"/>
                <w:szCs w:val="28"/>
              </w:rPr>
              <w:tab/>
            </w:r>
            <w:r>
              <w:rPr>
                <w:rFonts w:ascii="仿宋" w:hAnsi="仿宋" w:eastAsia="仿宋"/>
                <w:b/>
                <w:bCs/>
                <w:sz w:val="28"/>
                <w:szCs w:val="28"/>
              </w:rPr>
              <w:tab/>
            </w:r>
            <w:r>
              <w:rPr>
                <w:rFonts w:hint="eastAsia" w:ascii="仿宋" w:hAnsi="仿宋" w:eastAsia="仿宋" w:cs="仿宋"/>
                <w:b/>
                <w:bCs/>
                <w:sz w:val="28"/>
                <w:szCs w:val="28"/>
              </w:rPr>
              <w:t>单位名称</w:t>
            </w:r>
          </w:p>
        </w:tc>
        <w:tc>
          <w:tcPr>
            <w:tcW w:w="1877"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单位性质</w:t>
            </w:r>
          </w:p>
        </w:tc>
        <w:tc>
          <w:tcPr>
            <w:tcW w:w="1625"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单位规格</w:t>
            </w:r>
          </w:p>
        </w:tc>
        <w:tc>
          <w:tcPr>
            <w:tcW w:w="3118"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4" w:hRule="atLeast"/>
          <w:jc w:val="center"/>
        </w:trPr>
        <w:tc>
          <w:tcPr>
            <w:tcW w:w="4411" w:type="dxa"/>
            <w:vAlign w:val="center"/>
          </w:tcPr>
          <w:p>
            <w:pPr>
              <w:spacing w:line="300" w:lineRule="exact"/>
              <w:jc w:val="left"/>
              <w:rPr>
                <w:sz w:val="28"/>
                <w:szCs w:val="28"/>
              </w:rPr>
            </w:pPr>
            <w:r>
              <w:rPr>
                <w:rFonts w:hint="eastAsia" w:ascii="仿宋" w:hAnsi="仿宋" w:eastAsia="仿宋" w:cs="仿宋"/>
                <w:sz w:val="28"/>
                <w:szCs w:val="28"/>
              </w:rPr>
              <w:t>无极县人民政府办公室</w:t>
            </w:r>
          </w:p>
        </w:tc>
        <w:tc>
          <w:tcPr>
            <w:tcW w:w="1877"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行政</w:t>
            </w:r>
          </w:p>
        </w:tc>
        <w:tc>
          <w:tcPr>
            <w:tcW w:w="1625"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正科级</w:t>
            </w:r>
          </w:p>
        </w:tc>
        <w:tc>
          <w:tcPr>
            <w:tcW w:w="3118" w:type="dxa"/>
            <w:vAlign w:val="center"/>
          </w:tcPr>
          <w:p>
            <w:pPr>
              <w:spacing w:line="300" w:lineRule="exact"/>
              <w:jc w:val="left"/>
              <w:rPr>
                <w:rFonts w:ascii="仿宋" w:hAnsi="仿宋" w:eastAsia="仿宋"/>
                <w:sz w:val="28"/>
                <w:szCs w:val="28"/>
              </w:rPr>
            </w:pPr>
            <w:r>
              <w:rPr>
                <w:rFonts w:hint="eastAsia" w:ascii="仿宋" w:hAnsi="仿宋" w:eastAsia="仿宋" w:cs="仿宋"/>
                <w:sz w:val="28"/>
                <w:szCs w:val="2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4411" w:type="dxa"/>
            <w:vAlign w:val="center"/>
          </w:tcPr>
          <w:p>
            <w:pPr>
              <w:spacing w:line="300" w:lineRule="exact"/>
              <w:jc w:val="left"/>
              <w:rPr>
                <w:sz w:val="28"/>
                <w:szCs w:val="28"/>
              </w:rPr>
            </w:pPr>
            <w:r>
              <w:rPr>
                <w:rFonts w:hint="eastAsia" w:ascii="仿宋" w:hAnsi="仿宋" w:eastAsia="仿宋" w:cs="仿宋"/>
                <w:sz w:val="28"/>
                <w:szCs w:val="28"/>
              </w:rPr>
              <w:t>无极县地方志编纂委员会办公室</w:t>
            </w:r>
          </w:p>
        </w:tc>
        <w:tc>
          <w:tcPr>
            <w:tcW w:w="1877"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事业单位</w:t>
            </w:r>
          </w:p>
        </w:tc>
        <w:tc>
          <w:tcPr>
            <w:tcW w:w="1625"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股级</w:t>
            </w:r>
          </w:p>
        </w:tc>
        <w:tc>
          <w:tcPr>
            <w:tcW w:w="3118" w:type="dxa"/>
            <w:vAlign w:val="center"/>
          </w:tcPr>
          <w:p>
            <w:pPr>
              <w:spacing w:line="300" w:lineRule="exact"/>
              <w:jc w:val="left"/>
              <w:rPr>
                <w:rFonts w:ascii="仿宋" w:hAnsi="仿宋" w:eastAsia="仿宋"/>
                <w:sz w:val="28"/>
                <w:szCs w:val="28"/>
              </w:rPr>
            </w:pPr>
            <w:r>
              <w:rPr>
                <w:rFonts w:hint="eastAsia" w:ascii="仿宋" w:hAnsi="仿宋" w:eastAsia="仿宋"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0" w:hRule="atLeast"/>
          <w:jc w:val="center"/>
        </w:trPr>
        <w:tc>
          <w:tcPr>
            <w:tcW w:w="4411" w:type="dxa"/>
            <w:vAlign w:val="center"/>
          </w:tcPr>
          <w:p>
            <w:pPr>
              <w:spacing w:line="300" w:lineRule="exact"/>
              <w:jc w:val="left"/>
              <w:rPr>
                <w:rFonts w:ascii="仿宋" w:hAnsi="仿宋" w:eastAsia="仿宋"/>
                <w:sz w:val="28"/>
                <w:szCs w:val="28"/>
              </w:rPr>
            </w:pPr>
            <w:r>
              <w:rPr>
                <w:rFonts w:hint="eastAsia" w:ascii="仿宋" w:hAnsi="仿宋" w:eastAsia="仿宋" w:cs="仿宋"/>
                <w:sz w:val="28"/>
                <w:szCs w:val="28"/>
              </w:rPr>
              <w:t>无极县人民政府信息中心</w:t>
            </w:r>
          </w:p>
        </w:tc>
        <w:tc>
          <w:tcPr>
            <w:tcW w:w="1877"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事业单位</w:t>
            </w:r>
          </w:p>
        </w:tc>
        <w:tc>
          <w:tcPr>
            <w:tcW w:w="1625" w:type="dxa"/>
            <w:vAlign w:val="center"/>
          </w:tcPr>
          <w:p>
            <w:pPr>
              <w:spacing w:line="300" w:lineRule="exact"/>
              <w:jc w:val="center"/>
              <w:rPr>
                <w:rFonts w:ascii="仿宋" w:hAnsi="仿宋" w:eastAsia="仿宋"/>
                <w:sz w:val="28"/>
                <w:szCs w:val="28"/>
              </w:rPr>
            </w:pPr>
            <w:r>
              <w:rPr>
                <w:rFonts w:hint="eastAsia" w:ascii="仿宋" w:hAnsi="仿宋" w:eastAsia="仿宋" w:cs="仿宋"/>
                <w:sz w:val="28"/>
                <w:szCs w:val="28"/>
              </w:rPr>
              <w:t>副科级</w:t>
            </w:r>
          </w:p>
        </w:tc>
        <w:tc>
          <w:tcPr>
            <w:tcW w:w="3118" w:type="dxa"/>
            <w:vAlign w:val="center"/>
          </w:tcPr>
          <w:p>
            <w:pPr>
              <w:spacing w:line="300" w:lineRule="exact"/>
              <w:jc w:val="left"/>
              <w:rPr>
                <w:rFonts w:ascii="仿宋" w:hAnsi="仿宋" w:eastAsia="仿宋"/>
                <w:sz w:val="28"/>
                <w:szCs w:val="28"/>
              </w:rPr>
            </w:pPr>
            <w:r>
              <w:rPr>
                <w:rFonts w:hint="eastAsia" w:ascii="仿宋" w:hAnsi="仿宋" w:eastAsia="仿宋" w:cs="仿宋"/>
                <w:sz w:val="28"/>
                <w:szCs w:val="28"/>
              </w:rPr>
              <w:t>财政性资金基本保证</w:t>
            </w:r>
          </w:p>
        </w:tc>
      </w:tr>
    </w:tbl>
    <w:p/>
    <w:p>
      <w:pPr>
        <w:jc w:val="center"/>
        <w:rPr>
          <w:rFonts w:ascii="仿宋" w:hAnsi="仿宋" w:eastAsia="仿宋"/>
          <w:sz w:val="32"/>
          <w:szCs w:val="32"/>
        </w:rPr>
      </w:pPr>
    </w:p>
    <w:p>
      <w:pPr>
        <w:ind w:firstLine="640" w:firstLineChars="200"/>
        <w:rPr>
          <w:rFonts w:ascii="黑体" w:hAnsi="黑体" w:eastAsia="黑体"/>
          <w:sz w:val="32"/>
          <w:szCs w:val="32"/>
        </w:rPr>
      </w:pPr>
      <w:r>
        <w:rPr>
          <w:rFonts w:hint="eastAsia" w:ascii="黑体" w:hAnsi="黑体" w:eastAsia="黑体" w:cs="黑体"/>
          <w:sz w:val="32"/>
          <w:szCs w:val="32"/>
        </w:rPr>
        <w:t>二、部门预算安排的总体情况</w:t>
      </w:r>
    </w:p>
    <w:p>
      <w:pPr>
        <w:ind w:firstLine="640" w:firstLineChars="200"/>
        <w:rPr>
          <w:rFonts w:ascii="黑体" w:hAnsi="仿宋_GB2312" w:eastAsia="黑体"/>
          <w:sz w:val="30"/>
          <w:szCs w:val="30"/>
        </w:rPr>
      </w:pPr>
      <w:r>
        <w:rPr>
          <w:rFonts w:hint="eastAsia" w:ascii="仿宋" w:hAnsi="仿宋" w:eastAsia="仿宋" w:cs="仿宋"/>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黑体"/>
          <w:sz w:val="30"/>
          <w:szCs w:val="30"/>
        </w:rPr>
        <w:t>。</w:t>
      </w:r>
    </w:p>
    <w:p>
      <w:pPr>
        <w:numPr>
          <w:ilvl w:val="0"/>
          <w:numId w:val="1"/>
        </w:numPr>
        <w:rPr>
          <w:rFonts w:ascii="仿宋_GB2312" w:eastAsia="仿宋_GB2312"/>
          <w:sz w:val="32"/>
          <w:szCs w:val="32"/>
        </w:rPr>
      </w:pPr>
      <w:r>
        <w:rPr>
          <w:rFonts w:hint="eastAsia" w:ascii="楷体" w:hAnsi="楷体" w:eastAsia="楷体" w:cs="楷体"/>
          <w:sz w:val="30"/>
          <w:szCs w:val="30"/>
        </w:rPr>
        <w:t>收入说明</w:t>
      </w:r>
    </w:p>
    <w:p>
      <w:pPr>
        <w:adjustRightInd w:val="0"/>
        <w:snapToGrid w:val="0"/>
        <w:spacing w:line="600" w:lineRule="exact"/>
        <w:ind w:firstLine="640" w:firstLineChars="200"/>
        <w:jc w:val="left"/>
        <w:rPr>
          <w:rFonts w:ascii="仿宋_GB2312" w:eastAsia="仿宋_GB2312"/>
          <w:sz w:val="32"/>
          <w:szCs w:val="32"/>
        </w:rPr>
      </w:pPr>
      <w:r>
        <w:rPr>
          <w:rFonts w:hint="eastAsia" w:ascii="仿宋_GB2312" w:eastAsia="仿宋_GB2312" w:cs="仿宋_GB2312"/>
          <w:sz w:val="32"/>
          <w:szCs w:val="32"/>
        </w:rPr>
        <w:t>无极县政府办</w:t>
      </w:r>
      <w:r>
        <w:rPr>
          <w:rFonts w:ascii="仿宋_GB2312" w:eastAsia="仿宋_GB2312" w:cs="仿宋_GB2312"/>
          <w:sz w:val="32"/>
          <w:szCs w:val="32"/>
        </w:rPr>
        <w:t>2017</w:t>
      </w:r>
      <w:r>
        <w:rPr>
          <w:rFonts w:hint="eastAsia" w:ascii="仿宋_GB2312" w:eastAsia="仿宋_GB2312" w:cs="仿宋_GB2312"/>
          <w:sz w:val="32"/>
          <w:szCs w:val="32"/>
        </w:rPr>
        <w:t>年预算收入总计</w:t>
      </w:r>
      <w:r>
        <w:rPr>
          <w:rFonts w:ascii="仿宋_GB2312" w:eastAsia="仿宋_GB2312" w:cs="仿宋_GB2312"/>
          <w:sz w:val="32"/>
          <w:szCs w:val="32"/>
        </w:rPr>
        <w:t>535.04</w:t>
      </w:r>
      <w:r>
        <w:rPr>
          <w:rFonts w:hint="eastAsia" w:ascii="仿宋_GB2312" w:eastAsia="仿宋_GB2312" w:cs="仿宋_GB2312"/>
          <w:sz w:val="32"/>
          <w:szCs w:val="32"/>
        </w:rPr>
        <w:t>万元。其中：一般公共预算收入</w:t>
      </w:r>
      <w:r>
        <w:rPr>
          <w:rFonts w:ascii="仿宋_GB2312" w:eastAsia="仿宋_GB2312" w:cs="仿宋_GB2312"/>
          <w:sz w:val="32"/>
          <w:szCs w:val="32"/>
        </w:rPr>
        <w:t>535.04</w:t>
      </w:r>
      <w:r>
        <w:rPr>
          <w:rFonts w:hint="eastAsia" w:ascii="仿宋_GB2312" w:eastAsia="仿宋_GB2312" w:cs="仿宋_GB2312"/>
          <w:sz w:val="32"/>
          <w:szCs w:val="32"/>
        </w:rPr>
        <w:t>万元、政府性基金收入</w:t>
      </w:r>
      <w:r>
        <w:rPr>
          <w:rFonts w:ascii="仿宋_GB2312" w:eastAsia="仿宋_GB2312" w:cs="仿宋_GB2312"/>
          <w:sz w:val="32"/>
          <w:szCs w:val="32"/>
        </w:rPr>
        <w:t>0</w:t>
      </w:r>
      <w:r>
        <w:rPr>
          <w:rFonts w:hint="eastAsia" w:ascii="仿宋_GB2312" w:eastAsia="仿宋_GB2312" w:cs="仿宋_GB2312"/>
          <w:sz w:val="32"/>
          <w:szCs w:val="32"/>
        </w:rPr>
        <w:t>万元、财政专户核拨收入</w:t>
      </w:r>
      <w:r>
        <w:rPr>
          <w:rFonts w:ascii="仿宋_GB2312" w:eastAsia="仿宋_GB2312" w:cs="仿宋_GB2312"/>
          <w:sz w:val="32"/>
          <w:szCs w:val="32"/>
        </w:rPr>
        <w:t>0</w:t>
      </w:r>
      <w:r>
        <w:rPr>
          <w:rFonts w:hint="eastAsia" w:ascii="仿宋_GB2312" w:eastAsia="仿宋_GB2312" w:cs="仿宋_GB2312"/>
          <w:sz w:val="32"/>
          <w:szCs w:val="32"/>
        </w:rPr>
        <w:t>万元，其他来源收入</w:t>
      </w:r>
      <w:r>
        <w:rPr>
          <w:rFonts w:ascii="仿宋_GB2312" w:eastAsia="仿宋_GB2312" w:cs="仿宋_GB2312"/>
          <w:sz w:val="32"/>
          <w:szCs w:val="32"/>
        </w:rPr>
        <w:t>0</w:t>
      </w:r>
      <w:r>
        <w:rPr>
          <w:rFonts w:hint="eastAsia" w:ascii="仿宋_GB2312" w:eastAsia="仿宋_GB2312" w:cs="仿宋_GB2312"/>
          <w:sz w:val="32"/>
          <w:szCs w:val="32"/>
        </w:rPr>
        <w:t>万元。</w:t>
      </w:r>
    </w:p>
    <w:p>
      <w:pPr>
        <w:rPr>
          <w:rFonts w:ascii="楷体" w:hAnsi="楷体" w:eastAsia="楷体"/>
          <w:sz w:val="32"/>
          <w:szCs w:val="32"/>
        </w:rPr>
      </w:pPr>
      <w:r>
        <w:rPr>
          <w:rFonts w:hint="eastAsia" w:ascii="楷体" w:hAnsi="楷体" w:eastAsia="楷体" w:cs="楷体"/>
          <w:sz w:val="32"/>
          <w:szCs w:val="32"/>
        </w:rPr>
        <w:t xml:space="preserve">    </w:t>
      </w:r>
      <w:r>
        <w:rPr>
          <w:rFonts w:ascii="楷体" w:hAnsi="楷体" w:eastAsia="楷体" w:cs="楷体"/>
          <w:sz w:val="32"/>
          <w:szCs w:val="32"/>
        </w:rPr>
        <w:t>(</w:t>
      </w:r>
      <w:r>
        <w:rPr>
          <w:rFonts w:hint="eastAsia" w:ascii="楷体" w:hAnsi="楷体" w:eastAsia="楷体" w:cs="楷体"/>
          <w:sz w:val="32"/>
          <w:szCs w:val="32"/>
        </w:rPr>
        <w:t>二</w:t>
      </w:r>
      <w:r>
        <w:rPr>
          <w:rFonts w:ascii="楷体" w:hAnsi="楷体" w:eastAsia="楷体" w:cs="楷体"/>
          <w:sz w:val="32"/>
          <w:szCs w:val="32"/>
        </w:rPr>
        <w:t>)</w:t>
      </w:r>
      <w:r>
        <w:rPr>
          <w:rFonts w:hint="eastAsia" w:ascii="楷体" w:hAnsi="楷体" w:eastAsia="楷体" w:cs="楷体"/>
          <w:sz w:val="32"/>
          <w:szCs w:val="32"/>
        </w:rPr>
        <w:t>支出说明</w:t>
      </w:r>
    </w:p>
    <w:p>
      <w:pPr>
        <w:adjustRightInd w:val="0"/>
        <w:snapToGrid w:val="0"/>
        <w:spacing w:line="600" w:lineRule="exact"/>
        <w:ind w:firstLine="640" w:firstLineChars="200"/>
        <w:jc w:val="left"/>
        <w:rPr>
          <w:rFonts w:ascii="仿宋_GB2312" w:eastAsia="仿宋_GB2312"/>
          <w:sz w:val="32"/>
          <w:szCs w:val="32"/>
        </w:rPr>
      </w:pPr>
      <w:r>
        <w:rPr>
          <w:rFonts w:ascii="仿宋_GB2312" w:eastAsia="仿宋_GB2312" w:cs="仿宋_GB2312"/>
          <w:sz w:val="32"/>
          <w:szCs w:val="32"/>
        </w:rPr>
        <w:t>2017</w:t>
      </w:r>
      <w:r>
        <w:rPr>
          <w:rFonts w:hint="eastAsia" w:ascii="仿宋_GB2312" w:eastAsia="仿宋_GB2312" w:cs="仿宋_GB2312"/>
          <w:sz w:val="32"/>
          <w:szCs w:val="32"/>
        </w:rPr>
        <w:t>年预算支出</w:t>
      </w:r>
      <w:r>
        <w:rPr>
          <w:rFonts w:ascii="仿宋_GB2312" w:eastAsia="仿宋_GB2312" w:cs="仿宋_GB2312"/>
          <w:sz w:val="32"/>
          <w:szCs w:val="32"/>
        </w:rPr>
        <w:t>535.04</w:t>
      </w:r>
      <w:r>
        <w:rPr>
          <w:rFonts w:hint="eastAsia" w:ascii="仿宋_GB2312" w:eastAsia="仿宋_GB2312" w:cs="仿宋_GB2312"/>
          <w:sz w:val="32"/>
          <w:szCs w:val="32"/>
        </w:rPr>
        <w:t>万元。其中，人员经费支出</w:t>
      </w:r>
      <w:r>
        <w:rPr>
          <w:rFonts w:ascii="仿宋_GB2312" w:eastAsia="仿宋_GB2312" w:cs="仿宋_GB2312"/>
          <w:sz w:val="32"/>
          <w:szCs w:val="32"/>
        </w:rPr>
        <w:t>395.54</w:t>
      </w:r>
      <w:r>
        <w:rPr>
          <w:rFonts w:hint="eastAsia" w:ascii="仿宋_GB2312" w:eastAsia="仿宋_GB2312" w:cs="仿宋_GB2312"/>
          <w:sz w:val="32"/>
          <w:szCs w:val="32"/>
        </w:rPr>
        <w:t>万元，正常公用经费</w:t>
      </w:r>
      <w:r>
        <w:rPr>
          <w:rFonts w:ascii="仿宋_GB2312" w:eastAsia="仿宋_GB2312" w:cs="仿宋_GB2312"/>
          <w:sz w:val="32"/>
          <w:szCs w:val="32"/>
        </w:rPr>
        <w:t>128</w:t>
      </w:r>
      <w:r>
        <w:rPr>
          <w:rFonts w:hint="eastAsia" w:ascii="仿宋_GB2312" w:eastAsia="仿宋_GB2312" w:cs="仿宋_GB2312"/>
          <w:sz w:val="32"/>
          <w:szCs w:val="32"/>
        </w:rPr>
        <w:t>万元，项目支出</w:t>
      </w:r>
      <w:r>
        <w:rPr>
          <w:rFonts w:ascii="仿宋_GB2312" w:eastAsia="仿宋_GB2312" w:cs="仿宋_GB2312"/>
          <w:sz w:val="32"/>
          <w:szCs w:val="32"/>
        </w:rPr>
        <w:t>11.5</w:t>
      </w:r>
      <w:r>
        <w:rPr>
          <w:rFonts w:hint="eastAsia" w:ascii="仿宋_GB2312" w:eastAsia="仿宋_GB2312" w:cs="仿宋_GB2312"/>
          <w:sz w:val="32"/>
          <w:szCs w:val="32"/>
        </w:rPr>
        <w:t>万元。</w:t>
      </w:r>
    </w:p>
    <w:p>
      <w:pPr>
        <w:rPr>
          <w:rFonts w:ascii="楷体" w:hAnsi="楷体" w:eastAsia="楷体"/>
          <w:sz w:val="32"/>
          <w:szCs w:val="32"/>
        </w:rPr>
      </w:pPr>
      <w:r>
        <w:rPr>
          <w:rFonts w:hint="eastAsia" w:ascii="楷体" w:hAnsi="楷体" w:eastAsia="楷体" w:cs="楷体"/>
          <w:sz w:val="32"/>
          <w:szCs w:val="32"/>
        </w:rPr>
        <w:t xml:space="preserve">    （三）比上年增减情况</w:t>
      </w:r>
    </w:p>
    <w:p>
      <w:pPr>
        <w:adjustRightInd w:val="0"/>
        <w:snapToGrid w:val="0"/>
        <w:spacing w:line="600" w:lineRule="exact"/>
        <w:ind w:firstLine="640" w:firstLineChars="200"/>
        <w:jc w:val="left"/>
        <w:rPr>
          <w:rFonts w:ascii="仿宋_GB2312" w:eastAsia="仿宋_GB2312"/>
          <w:sz w:val="32"/>
          <w:szCs w:val="32"/>
          <w:highlight w:val="yellow"/>
        </w:rPr>
      </w:pPr>
      <w:r>
        <w:rPr>
          <w:rFonts w:ascii="仿宋_GB2312" w:eastAsia="仿宋_GB2312" w:cs="仿宋_GB2312"/>
          <w:sz w:val="32"/>
          <w:szCs w:val="32"/>
        </w:rPr>
        <w:t>2017</w:t>
      </w:r>
      <w:r>
        <w:rPr>
          <w:rFonts w:hint="eastAsia" w:ascii="仿宋_GB2312" w:eastAsia="仿宋_GB2312" w:cs="仿宋_GB2312"/>
          <w:sz w:val="32"/>
          <w:szCs w:val="32"/>
        </w:rPr>
        <w:t>年预算收入总计</w:t>
      </w:r>
      <w:r>
        <w:rPr>
          <w:rFonts w:ascii="仿宋_GB2312" w:eastAsia="仿宋_GB2312" w:cs="仿宋_GB2312"/>
          <w:sz w:val="32"/>
          <w:szCs w:val="32"/>
        </w:rPr>
        <w:t>535.04</w:t>
      </w:r>
      <w:r>
        <w:rPr>
          <w:rFonts w:hint="eastAsia" w:ascii="仿宋_GB2312" w:eastAsia="仿宋_GB2312" w:cs="仿宋_GB2312"/>
          <w:sz w:val="32"/>
          <w:szCs w:val="32"/>
        </w:rPr>
        <w:t>万元，与</w:t>
      </w:r>
      <w:r>
        <w:rPr>
          <w:rFonts w:ascii="仿宋_GB2312" w:eastAsia="仿宋_GB2312" w:cs="仿宋_GB2312"/>
          <w:sz w:val="32"/>
          <w:szCs w:val="32"/>
        </w:rPr>
        <w:t>2016</w:t>
      </w:r>
      <w:r>
        <w:rPr>
          <w:rFonts w:hint="eastAsia" w:ascii="仿宋_GB2312" w:eastAsia="仿宋_GB2312" w:cs="仿宋_GB2312"/>
          <w:sz w:val="32"/>
          <w:szCs w:val="32"/>
        </w:rPr>
        <w:t>年相比减少</w:t>
      </w:r>
      <w:r>
        <w:rPr>
          <w:rFonts w:ascii="仿宋_GB2312" w:eastAsia="仿宋_GB2312" w:cs="仿宋_GB2312"/>
          <w:sz w:val="32"/>
          <w:szCs w:val="32"/>
        </w:rPr>
        <w:t>299.97</w:t>
      </w:r>
      <w:r>
        <w:rPr>
          <w:rFonts w:hint="eastAsia" w:ascii="仿宋_GB2312" w:eastAsia="仿宋_GB2312" w:cs="仿宋_GB2312"/>
          <w:sz w:val="32"/>
          <w:szCs w:val="32"/>
        </w:rPr>
        <w:t>万元，减少原因为正常公用经费及项目支出减少。</w:t>
      </w:r>
    </w:p>
    <w:p>
      <w:pPr>
        <w:rPr>
          <w:rFonts w:ascii="黑体" w:hAnsi="黑体" w:eastAsia="黑体"/>
          <w:sz w:val="32"/>
          <w:szCs w:val="32"/>
        </w:rPr>
      </w:pPr>
      <w:r>
        <w:rPr>
          <w:rFonts w:ascii="黑体" w:hAnsi="黑体" w:eastAsia="黑体" w:cs="黑体"/>
          <w:sz w:val="32"/>
          <w:szCs w:val="32"/>
        </w:rPr>
        <w:t xml:space="preserve">    </w:t>
      </w:r>
      <w:r>
        <w:rPr>
          <w:rFonts w:hint="eastAsia" w:ascii="黑体" w:hAnsi="黑体" w:eastAsia="黑体" w:cs="黑体"/>
          <w:sz w:val="32"/>
          <w:szCs w:val="32"/>
        </w:rPr>
        <w:t>三、机关运行经费安排情况</w:t>
      </w:r>
    </w:p>
    <w:p>
      <w:pPr>
        <w:ind w:firstLine="640" w:firstLineChars="200"/>
        <w:rPr>
          <w:rFonts w:ascii="仿宋" w:hAnsi="仿宋" w:eastAsia="仿宋"/>
          <w:color w:val="FF0000"/>
          <w:sz w:val="32"/>
          <w:szCs w:val="32"/>
        </w:rPr>
      </w:pP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年机关运行经费共计安排</w:t>
      </w:r>
      <w:r>
        <w:rPr>
          <w:rFonts w:ascii="仿宋_GB2312" w:hAnsi="仿宋_GB2312" w:eastAsia="仿宋_GB2312" w:cs="仿宋_GB2312"/>
          <w:sz w:val="32"/>
          <w:szCs w:val="32"/>
        </w:rPr>
        <w:t xml:space="preserve"> 128 </w:t>
      </w:r>
      <w:r>
        <w:rPr>
          <w:rFonts w:hint="eastAsia" w:ascii="仿宋_GB2312" w:hAnsi="仿宋_GB2312" w:eastAsia="仿宋_GB2312" w:cs="仿宋_GB2312"/>
          <w:sz w:val="32"/>
          <w:szCs w:val="32"/>
        </w:rPr>
        <w:t>万元，主要用于我部门日常办公，办公区水电费、日常维修，办公用房取暖费，办公用房物业管理费等日常运行支出。</w:t>
      </w:r>
    </w:p>
    <w:p>
      <w:pPr>
        <w:numPr>
          <w:ilvl w:val="0"/>
          <w:numId w:val="2"/>
        </w:num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财政拨款“三公”经费预算情况及增减变化原因</w:t>
      </w:r>
    </w:p>
    <w:p>
      <w:pPr>
        <w:ind w:firstLine="640" w:firstLineChars="200"/>
        <w:outlineLvl w:val="0"/>
        <w:rPr>
          <w:rFonts w:ascii="仿宋" w:hAnsi="仿宋" w:eastAsia="仿宋"/>
          <w:sz w:val="32"/>
          <w:szCs w:val="32"/>
        </w:rPr>
      </w:pPr>
      <w:r>
        <w:rPr>
          <w:rFonts w:ascii="仿宋" w:hAnsi="仿宋" w:eastAsia="仿宋" w:cs="仿宋"/>
          <w:sz w:val="32"/>
          <w:szCs w:val="32"/>
        </w:rPr>
        <w:t xml:space="preserve"> 2017</w:t>
      </w:r>
      <w:r>
        <w:rPr>
          <w:rFonts w:hint="eastAsia" w:ascii="仿宋" w:hAnsi="仿宋" w:eastAsia="仿宋" w:cs="仿宋"/>
          <w:sz w:val="32"/>
          <w:szCs w:val="32"/>
        </w:rPr>
        <w:t>年本部门安排“三公”经费</w:t>
      </w:r>
      <w:r>
        <w:rPr>
          <w:rFonts w:ascii="仿宋" w:hAnsi="仿宋" w:eastAsia="仿宋" w:cs="仿宋"/>
          <w:sz w:val="32"/>
          <w:szCs w:val="32"/>
        </w:rPr>
        <w:t>85.1</w:t>
      </w:r>
      <w:r>
        <w:rPr>
          <w:rFonts w:hint="eastAsia" w:ascii="仿宋" w:hAnsi="仿宋" w:eastAsia="仿宋" w:cs="仿宋"/>
          <w:sz w:val="32"/>
          <w:szCs w:val="32"/>
        </w:rPr>
        <w:t>万元，与上年持平，无增减变化说明。其中：</w:t>
      </w:r>
    </w:p>
    <w:p>
      <w:pPr>
        <w:ind w:firstLine="640" w:firstLineChars="200"/>
        <w:outlineLvl w:val="0"/>
        <w:rPr>
          <w:rFonts w:ascii="仿宋" w:hAnsi="仿宋" w:eastAsia="仿宋"/>
          <w:sz w:val="32"/>
          <w:szCs w:val="32"/>
        </w:rPr>
      </w:pPr>
      <w:r>
        <w:rPr>
          <w:rFonts w:ascii="仿宋" w:hAnsi="仿宋" w:eastAsia="仿宋" w:cs="仿宋"/>
          <w:sz w:val="32"/>
          <w:szCs w:val="32"/>
        </w:rPr>
        <w:t>1</w:t>
      </w:r>
      <w:r>
        <w:rPr>
          <w:rFonts w:hint="eastAsia" w:ascii="仿宋" w:hAnsi="仿宋" w:eastAsia="仿宋" w:cs="仿宋"/>
          <w:sz w:val="32"/>
          <w:szCs w:val="32"/>
        </w:rPr>
        <w:t>、因公出国（境）费</w:t>
      </w:r>
      <w:r>
        <w:rPr>
          <w:rFonts w:ascii="仿宋" w:hAnsi="仿宋" w:eastAsia="仿宋" w:cs="仿宋"/>
          <w:sz w:val="32"/>
          <w:szCs w:val="32"/>
        </w:rPr>
        <w:t>6</w:t>
      </w:r>
      <w:r>
        <w:rPr>
          <w:rFonts w:hint="eastAsia" w:ascii="仿宋" w:hAnsi="仿宋" w:eastAsia="仿宋" w:cs="仿宋"/>
          <w:sz w:val="32"/>
          <w:szCs w:val="32"/>
        </w:rPr>
        <w:t>万元，与上年持平</w:t>
      </w:r>
      <w:r>
        <w:rPr>
          <w:rFonts w:ascii="仿宋" w:hAnsi="仿宋" w:eastAsia="仿宋" w:cs="仿宋"/>
          <w:sz w:val="32"/>
          <w:szCs w:val="32"/>
        </w:rPr>
        <w:t>,</w:t>
      </w:r>
      <w:r>
        <w:rPr>
          <w:rFonts w:hint="eastAsia" w:ascii="仿宋" w:hAnsi="仿宋" w:eastAsia="仿宋" w:cs="仿宋"/>
          <w:sz w:val="32"/>
          <w:szCs w:val="32"/>
        </w:rPr>
        <w:t>无增减变化。</w:t>
      </w:r>
    </w:p>
    <w:p>
      <w:pPr>
        <w:ind w:firstLine="640" w:firstLineChars="200"/>
        <w:outlineLvl w:val="0"/>
        <w:rPr>
          <w:rFonts w:ascii="仿宋" w:hAnsi="仿宋" w:eastAsia="仿宋"/>
          <w:sz w:val="32"/>
          <w:szCs w:val="32"/>
        </w:rPr>
      </w:pPr>
      <w:r>
        <w:rPr>
          <w:rFonts w:ascii="仿宋" w:hAnsi="仿宋" w:eastAsia="仿宋" w:cs="仿宋"/>
          <w:sz w:val="32"/>
          <w:szCs w:val="32"/>
        </w:rPr>
        <w:t>2</w:t>
      </w:r>
      <w:r>
        <w:rPr>
          <w:rFonts w:hint="eastAsia" w:ascii="仿宋" w:hAnsi="仿宋" w:eastAsia="仿宋" w:cs="仿宋"/>
          <w:sz w:val="32"/>
          <w:szCs w:val="32"/>
        </w:rPr>
        <w:t>、公务用车购置</w:t>
      </w:r>
      <w:r>
        <w:rPr>
          <w:rFonts w:ascii="仿宋" w:hAnsi="仿宋" w:eastAsia="仿宋" w:cs="仿宋"/>
          <w:sz w:val="32"/>
          <w:szCs w:val="32"/>
        </w:rPr>
        <w:t>0</w:t>
      </w:r>
      <w:r>
        <w:rPr>
          <w:rFonts w:hint="eastAsia" w:ascii="仿宋" w:hAnsi="仿宋" w:eastAsia="仿宋" w:cs="仿宋"/>
          <w:sz w:val="32"/>
          <w:szCs w:val="32"/>
        </w:rPr>
        <w:t>万元及运行维护费</w:t>
      </w:r>
      <w:r>
        <w:rPr>
          <w:rFonts w:ascii="仿宋" w:hAnsi="仿宋" w:eastAsia="仿宋" w:cs="仿宋"/>
          <w:sz w:val="32"/>
          <w:szCs w:val="32"/>
        </w:rPr>
        <w:t>72</w:t>
      </w:r>
      <w:r>
        <w:rPr>
          <w:rFonts w:hint="eastAsia" w:ascii="仿宋" w:hAnsi="仿宋" w:eastAsia="仿宋" w:cs="仿宋"/>
          <w:sz w:val="32"/>
          <w:szCs w:val="32"/>
        </w:rPr>
        <w:t>万元，与上年持平</w:t>
      </w:r>
      <w:r>
        <w:rPr>
          <w:rFonts w:ascii="仿宋" w:hAnsi="仿宋" w:eastAsia="仿宋" w:cs="仿宋"/>
          <w:sz w:val="32"/>
          <w:szCs w:val="32"/>
        </w:rPr>
        <w:t>,</w:t>
      </w:r>
      <w:r>
        <w:rPr>
          <w:rFonts w:hint="eastAsia" w:ascii="仿宋" w:hAnsi="仿宋" w:eastAsia="仿宋" w:cs="仿宋"/>
          <w:sz w:val="32"/>
          <w:szCs w:val="32"/>
        </w:rPr>
        <w:t>无增减变化。</w:t>
      </w:r>
    </w:p>
    <w:p>
      <w:pPr>
        <w:ind w:firstLine="640" w:firstLineChars="200"/>
        <w:outlineLvl w:val="0"/>
        <w:rPr>
          <w:rFonts w:ascii="仿宋" w:hAnsi="仿宋" w:eastAsia="仿宋"/>
          <w:sz w:val="32"/>
          <w:szCs w:val="32"/>
        </w:rPr>
      </w:pPr>
      <w:r>
        <w:rPr>
          <w:rFonts w:ascii="仿宋" w:hAnsi="仿宋" w:eastAsia="仿宋" w:cs="仿宋"/>
          <w:sz w:val="32"/>
          <w:szCs w:val="32"/>
        </w:rPr>
        <w:t>3</w:t>
      </w:r>
      <w:r>
        <w:rPr>
          <w:rFonts w:hint="eastAsia" w:ascii="仿宋" w:hAnsi="仿宋" w:eastAsia="仿宋" w:cs="仿宋"/>
          <w:sz w:val="32"/>
          <w:szCs w:val="32"/>
        </w:rPr>
        <w:t>、公务接待费</w:t>
      </w:r>
      <w:r>
        <w:rPr>
          <w:rFonts w:ascii="仿宋" w:hAnsi="仿宋" w:eastAsia="仿宋" w:cs="仿宋"/>
          <w:sz w:val="32"/>
          <w:szCs w:val="32"/>
        </w:rPr>
        <w:t>7.1</w:t>
      </w:r>
      <w:r>
        <w:rPr>
          <w:rFonts w:hint="eastAsia" w:ascii="仿宋" w:hAnsi="仿宋" w:eastAsia="仿宋" w:cs="仿宋"/>
          <w:sz w:val="32"/>
          <w:szCs w:val="32"/>
        </w:rPr>
        <w:t>万元，与上年持平</w:t>
      </w:r>
      <w:r>
        <w:rPr>
          <w:rFonts w:ascii="仿宋" w:hAnsi="仿宋" w:eastAsia="仿宋" w:cs="仿宋"/>
          <w:sz w:val="32"/>
          <w:szCs w:val="32"/>
        </w:rPr>
        <w:t>,</w:t>
      </w:r>
      <w:r>
        <w:rPr>
          <w:rFonts w:hint="eastAsia" w:ascii="仿宋" w:hAnsi="仿宋" w:eastAsia="仿宋" w:cs="仿宋"/>
          <w:sz w:val="32"/>
          <w:szCs w:val="32"/>
        </w:rPr>
        <w:t>无增减变化。</w:t>
      </w:r>
    </w:p>
    <w:p>
      <w:pPr>
        <w:autoSpaceDE w:val="0"/>
        <w:autoSpaceDN w:val="0"/>
        <w:adjustRightInd w:val="0"/>
        <w:jc w:val="left"/>
        <w:rPr>
          <w:rFonts w:ascii="黑体" w:hAnsi="黑体" w:eastAsia="黑体"/>
          <w:sz w:val="32"/>
          <w:szCs w:val="32"/>
        </w:rPr>
      </w:pPr>
      <w:r>
        <w:rPr>
          <w:rFonts w:ascii="黑体" w:hAnsi="黑体" w:eastAsia="黑体" w:cs="黑体"/>
          <w:sz w:val="32"/>
          <w:szCs w:val="32"/>
        </w:rPr>
        <w:t xml:space="preserve">    </w:t>
      </w:r>
      <w:r>
        <w:rPr>
          <w:rFonts w:hint="eastAsia" w:ascii="黑体" w:hAnsi="黑体" w:eastAsia="黑体" w:cs="黑体"/>
          <w:sz w:val="32"/>
          <w:szCs w:val="32"/>
        </w:rPr>
        <w:t>五、绩效预算信息</w:t>
      </w:r>
    </w:p>
    <w:p>
      <w:pPr>
        <w:ind w:firstLine="560"/>
        <w:rPr>
          <w:rFonts w:ascii="楷体" w:hAnsi="楷体" w:eastAsia="楷体"/>
          <w:sz w:val="32"/>
          <w:szCs w:val="32"/>
        </w:rPr>
      </w:pPr>
      <w:r>
        <w:rPr>
          <w:rFonts w:hint="eastAsia" w:ascii="楷体" w:hAnsi="楷体" w:eastAsia="楷体" w:cs="楷体"/>
          <w:sz w:val="32"/>
          <w:szCs w:val="32"/>
        </w:rPr>
        <w:t>（一）总体绩效目标</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、围绕县政府的中心工作和重点工作，加强调查研究，及时了解情况，提出建议，为县领导进行科学决策、部署和指导工作，发挥参谋助手作用。</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、负责县政府会议的准备和服务工作；负责组织县政府工作报告、工作总结、领导重要讲话及其他重要材料的起草、修改工作。</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、负责县政府和政府办稳点的起草、审核把关和政府机关的公文处理工作；负责县政府机关的档案管理、印信管理和保密工作。</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、督促检查县政府各部门和各乡镇政府对县政府重要文件、县政府重要会议议定事项及县领导和上级领导重要批示的执行、落实情况。</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、负责县政府机关值班工作，及时向县政府领导报告重要情况，协助领导组织处理需由县政府直接处理的突发事件、重大灾情和重大事故。</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6</w:t>
      </w:r>
      <w:r>
        <w:rPr>
          <w:rFonts w:hint="eastAsia" w:ascii="仿宋_GB2312" w:hAnsi="仿宋_GB2312" w:eastAsia="仿宋_GB2312" w:cs="仿宋_GB2312"/>
          <w:sz w:val="32"/>
          <w:szCs w:val="32"/>
        </w:rPr>
        <w:t>、负责信息收集、选择、提供、反馈工作；负责县政府网站的信息发布工作；负责政府办所属事业单位的管理工作。</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7</w:t>
      </w:r>
      <w:r>
        <w:rPr>
          <w:rFonts w:hint="eastAsia" w:ascii="仿宋_GB2312" w:hAnsi="仿宋_GB2312" w:eastAsia="仿宋_GB2312" w:cs="仿宋_GB2312"/>
          <w:sz w:val="32"/>
          <w:szCs w:val="32"/>
        </w:rPr>
        <w:t>、负责人民防空法律、法规的组织实施和监督检查，负责人防工程行政执法、行政监督、行政复议和行政诉讼工作。</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8</w:t>
      </w:r>
      <w:r>
        <w:rPr>
          <w:rFonts w:hint="eastAsia" w:ascii="仿宋_GB2312" w:hAnsi="仿宋_GB2312" w:eastAsia="仿宋_GB2312" w:cs="仿宋_GB2312"/>
          <w:sz w:val="32"/>
          <w:szCs w:val="32"/>
        </w:rPr>
        <w:t>、根据全县国民经济和社会发展计划及国防建设需要，拟定人民防空建设的中长期发展计划，编制人民你防空工作年度计划，经批准后组织实施。</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9</w:t>
      </w:r>
      <w:r>
        <w:rPr>
          <w:rFonts w:hint="eastAsia" w:ascii="仿宋_GB2312" w:hAnsi="仿宋_GB2312" w:eastAsia="仿宋_GB2312" w:cs="仿宋_GB2312"/>
          <w:sz w:val="32"/>
          <w:szCs w:val="32"/>
        </w:rPr>
        <w:t>、组织开展防空防灾宣传教育，负责人民防空组织指挥；加强人民防空系统防砸功能，建立健全防空防灾相结合的工作机制，承担相应的防灾救灾职责任务；加强防空地下室建设审批和竣工验收认可审批等项工作的组织和实施。</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10</w:t>
      </w:r>
      <w:r>
        <w:rPr>
          <w:rFonts w:hint="eastAsia" w:ascii="仿宋_GB2312" w:hAnsi="仿宋_GB2312" w:eastAsia="仿宋_GB2312" w:cs="仿宋_GB2312"/>
          <w:sz w:val="32"/>
          <w:szCs w:val="32"/>
        </w:rPr>
        <w:t>、主管全县档案事业，制定全县档案事业发展综合规划和专项计划，并依法实行宏观管理与监督指导。</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11</w:t>
      </w:r>
      <w:r>
        <w:rPr>
          <w:rFonts w:hint="eastAsia" w:ascii="仿宋_GB2312" w:hAnsi="仿宋_GB2312" w:eastAsia="仿宋_GB2312" w:cs="仿宋_GB2312"/>
          <w:sz w:val="32"/>
          <w:szCs w:val="32"/>
        </w:rPr>
        <w:t>、协助县长、副县长处理日常工作，为县政府领导提供后勤服务保障。</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12</w:t>
      </w:r>
      <w:r>
        <w:rPr>
          <w:rFonts w:hint="eastAsia" w:ascii="仿宋_GB2312" w:hAnsi="仿宋_GB2312" w:eastAsia="仿宋_GB2312" w:cs="仿宋_GB2312"/>
          <w:sz w:val="32"/>
          <w:szCs w:val="32"/>
        </w:rPr>
        <w:t>、承办县政府领导交办的其他事项</w:t>
      </w:r>
    </w:p>
    <w:p>
      <w:pPr>
        <w:ind w:firstLine="640" w:firstLineChars="200"/>
        <w:rPr>
          <w:rFonts w:ascii="楷体" w:hAnsi="楷体" w:eastAsia="楷体"/>
          <w:sz w:val="32"/>
          <w:szCs w:val="32"/>
        </w:rPr>
      </w:pPr>
      <w:r>
        <w:rPr>
          <w:rFonts w:hint="eastAsia" w:ascii="楷体" w:hAnsi="楷体" w:eastAsia="楷体" w:cs="楷体"/>
          <w:sz w:val="32"/>
          <w:szCs w:val="32"/>
        </w:rPr>
        <w:t>（二）职责分类绩效目标</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、做好县政府各种会议的会务工作日常工作活动的组织安排</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；做好县政府会议保障和服务。</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、机要收发安全、保密、快捷、准确无误，不出现收发错误及失泄密现象。请示、报告件随来随办，随批随取，审核严格、登记清楚、填报准确，批示后当日处理。公文复核严格把关，急件立即办理。</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、研究决策时提出督促检查要求，部署工作时明确督促检查事项，决策实施后检查落实情况。</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维护好市政府应急平台，确保全县应急工作顺利完成；各类突发事件得到及时妥善处置。切实做好值守应急工作，及时报告重要情况，传达和督促落实市政府领导指示。应急值班室依法依规解决职工群众的合理诉求，有效预防和减少进京赴省集体上访、非正常上访和重复信访。</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、信息真实完整，领导满意并在省政府信息考核工作中确保先进位次。</w:t>
      </w:r>
    </w:p>
    <w:p>
      <w:pPr>
        <w:ind w:firstLine="720" w:firstLineChars="225"/>
        <w:rPr>
          <w:rFonts w:ascii="仿宋_GB2312" w:hAnsi="仿宋_GB2312" w:eastAsia="仿宋_GB2312"/>
          <w:sz w:val="32"/>
          <w:szCs w:val="32"/>
        </w:rPr>
      </w:pPr>
      <w:r>
        <w:rPr>
          <w:rFonts w:ascii="仿宋_GB2312" w:hAnsi="仿宋_GB2312" w:eastAsia="仿宋_GB2312" w:cs="仿宋_GB2312"/>
          <w:sz w:val="32"/>
          <w:szCs w:val="32"/>
        </w:rPr>
        <w:t>6</w:t>
      </w:r>
      <w:r>
        <w:rPr>
          <w:rFonts w:hint="eastAsia" w:ascii="仿宋_GB2312" w:hAnsi="仿宋_GB2312" w:eastAsia="仿宋_GB2312" w:cs="仿宋_GB2312"/>
          <w:sz w:val="32"/>
          <w:szCs w:val="32"/>
        </w:rPr>
        <w:t>、高质量审核公文，让县领导满意；围绕领导关注、群众关心的热点、难点深入调查研究；高质量起草的县领导重要讲话及重要文稿。为领导进行科学决策、部署和指导工作，发挥参谋助手作用。通过积极参与突发事件的应急救援处置。</w:t>
      </w:r>
    </w:p>
    <w:p>
      <w:pPr>
        <w:rPr>
          <w:rFonts w:ascii="仿宋_GB2312" w:hAnsi="仿宋_GB2312" w:eastAsia="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7</w:t>
      </w:r>
      <w:r>
        <w:rPr>
          <w:rFonts w:hint="eastAsia" w:ascii="仿宋_GB2312" w:hAnsi="仿宋_GB2312" w:eastAsia="仿宋_GB2312" w:cs="仿宋_GB2312"/>
          <w:sz w:val="32"/>
          <w:szCs w:val="32"/>
        </w:rPr>
        <w:t>、以机关干部作风量化指标为依据，增强工作综合服务实力，确保机关各项工作正常运转。</w:t>
      </w:r>
    </w:p>
    <w:p>
      <w:pPr>
        <w:rPr>
          <w:rFonts w:ascii="仿宋_GB2312" w:hAnsi="仿宋_GB2312" w:eastAsia="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8</w:t>
      </w:r>
      <w:r>
        <w:rPr>
          <w:rFonts w:hint="eastAsia" w:ascii="仿宋_GB2312" w:hAnsi="仿宋_GB2312" w:eastAsia="仿宋_GB2312" w:cs="仿宋_GB2312"/>
          <w:sz w:val="32"/>
          <w:szCs w:val="32"/>
        </w:rPr>
        <w:t>、会议、文件无延误、无差错；行政审批效率提升明显；评议考核工作严肃公正、公开；宣传教育深入扎实。</w:t>
      </w:r>
    </w:p>
    <w:p>
      <w:pPr>
        <w:rPr>
          <w:rFonts w:ascii="仿宋_GB2312" w:hAnsi="仿宋_GB2312" w:eastAsia="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9</w:t>
      </w:r>
      <w:r>
        <w:rPr>
          <w:rFonts w:hint="eastAsia" w:ascii="仿宋_GB2312" w:hAnsi="仿宋_GB2312" w:eastAsia="仿宋_GB2312" w:cs="仿宋_GB2312"/>
          <w:sz w:val="32"/>
          <w:szCs w:val="32"/>
        </w:rPr>
        <w:t>、人防工程结构、设施设备完好，防护设备安装到位、符合质量规范。提高整体应战应急防灾保障能力。保障人防通信畅通，提高人防预警报知、指挥控制、防护救援、综合保障能力；确保设施设备正常运转。软硬件更新及时，完善信息数据。人防干部职工队伍政治、业务素质进一步提升，机关“准军事化”水平不断提高。</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10</w:t>
      </w:r>
      <w:r>
        <w:rPr>
          <w:rFonts w:hint="eastAsia" w:ascii="仿宋_GB2312" w:hAnsi="仿宋_GB2312" w:eastAsia="仿宋_GB2312" w:cs="仿宋_GB2312"/>
          <w:sz w:val="32"/>
          <w:szCs w:val="32"/>
        </w:rPr>
        <w:t>、承担县政务公开暨行政权力公开透明运行工作领导小组的日常工作，指导和协调全县政务公开及政务服务中心建设、推进行政服务体系标准化建设工作。</w:t>
      </w:r>
    </w:p>
    <w:p>
      <w:pPr>
        <w:ind w:firstLine="640" w:firstLineChars="200"/>
        <w:rPr>
          <w:rFonts w:ascii="仿宋_GB2312" w:hAnsi="仿宋_GB2312" w:eastAsia="仿宋_GB2312"/>
          <w:sz w:val="32"/>
          <w:szCs w:val="32"/>
        </w:rPr>
      </w:pPr>
      <w:r>
        <w:rPr>
          <w:rFonts w:ascii="仿宋_GB2312" w:hAnsi="仿宋_GB2312" w:eastAsia="仿宋_GB2312" w:cs="仿宋_GB2312"/>
          <w:sz w:val="32"/>
          <w:szCs w:val="32"/>
        </w:rPr>
        <w:t>11</w:t>
      </w:r>
      <w:r>
        <w:rPr>
          <w:rFonts w:hint="eastAsia" w:ascii="仿宋_GB2312" w:hAnsi="仿宋_GB2312" w:eastAsia="仿宋_GB2312" w:cs="仿宋_GB2312"/>
          <w:sz w:val="32"/>
          <w:szCs w:val="32"/>
        </w:rPr>
        <w:t>、协助领导组织处理突发事件承担县政务公开暨行政权力公开透明运行工作领导小组的日常工作，指导和协调全县政务公开及政务服务中心建设；负责县政府会议的准备和服务工作；推进、指导、协调、监督县政府信息公开工作。</w:t>
      </w:r>
      <w:r>
        <w:rPr>
          <w:rFonts w:ascii="仿宋_GB2312" w:hAnsi="仿宋_GB2312" w:eastAsia="仿宋_GB2312"/>
          <w:sz w:val="32"/>
          <w:szCs w:val="32"/>
        </w:rPr>
        <w:tab/>
      </w:r>
      <w:r>
        <w:rPr>
          <w:rFonts w:hint="eastAsia" w:ascii="仿宋_GB2312" w:hAnsi="仿宋_GB2312" w:eastAsia="仿宋_GB2312" w:cs="仿宋_GB2312"/>
          <w:sz w:val="32"/>
          <w:szCs w:val="32"/>
        </w:rPr>
        <w:t>通过完成县政务信息公开工作的指导监督工作，使全县政府信息公开业务队伍素质不断提高，业务水平进一步提升；政府政务信息公开范围不断扩大，公开内容得到进一步细化。实现阳光公开透明的一站式、一网式办事大厅，真正做到便民快捷高效。</w:t>
      </w:r>
    </w:p>
    <w:p>
      <w:pPr>
        <w:ind w:firstLine="645"/>
        <w:rPr>
          <w:rFonts w:ascii="楷体" w:hAnsi="楷体" w:eastAsia="楷体"/>
          <w:sz w:val="32"/>
          <w:szCs w:val="32"/>
        </w:rPr>
      </w:pPr>
      <w:r>
        <w:rPr>
          <w:rFonts w:hint="eastAsia" w:ascii="楷体" w:hAnsi="楷体" w:eastAsia="楷体" w:cs="楷体"/>
          <w:sz w:val="32"/>
          <w:szCs w:val="32"/>
        </w:rPr>
        <w:t>（三）部门职责</w:t>
      </w:r>
      <w:r>
        <w:rPr>
          <w:rFonts w:ascii="楷体" w:hAnsi="楷体" w:eastAsia="楷体" w:cs="楷体"/>
          <w:sz w:val="32"/>
          <w:szCs w:val="32"/>
        </w:rPr>
        <w:t>-</w:t>
      </w:r>
      <w:r>
        <w:rPr>
          <w:rFonts w:hint="eastAsia" w:ascii="楷体" w:hAnsi="楷体" w:eastAsia="楷体" w:cs="楷体"/>
          <w:sz w:val="32"/>
          <w:szCs w:val="32"/>
        </w:rPr>
        <w:t>工作活动绩效目标</w:t>
      </w:r>
    </w:p>
    <w:p>
      <w:pPr>
        <w:jc w:val="center"/>
        <w:outlineLvl w:val="0"/>
        <w:rPr>
          <w:rFonts w:ascii="方正小标宋_GBK" w:eastAsia="方正小标宋_GBK"/>
          <w:sz w:val="32"/>
          <w:szCs w:val="32"/>
        </w:rPr>
      </w:pPr>
      <w:bookmarkStart w:id="0" w:name="_Toc480375664"/>
      <w:r>
        <w:rPr>
          <w:rFonts w:hint="eastAsia" w:ascii="方正小标宋_GBK" w:eastAsia="方正小标宋_GBK" w:cs="方正小标宋_GBK"/>
          <w:sz w:val="32"/>
          <w:szCs w:val="32"/>
        </w:rPr>
        <w:t>部门职责</w:t>
      </w:r>
      <w:r>
        <w:rPr>
          <w:rFonts w:ascii="方正小标宋_GBK" w:eastAsia="方正小标宋_GBK" w:cs="方正小标宋_GBK"/>
          <w:sz w:val="32"/>
          <w:szCs w:val="32"/>
        </w:rPr>
        <w:t>-</w:t>
      </w:r>
      <w:r>
        <w:rPr>
          <w:rFonts w:hint="eastAsia" w:ascii="方正小标宋_GBK" w:eastAsia="方正小标宋_GBK" w:cs="方正小标宋_GBK"/>
          <w:sz w:val="32"/>
          <w:szCs w:val="32"/>
        </w:rPr>
        <w:t>工作活动绩效目标</w:t>
      </w:r>
      <w:bookmarkEnd w:id="0"/>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szCs w:val="24"/>
              </w:rPr>
            </w:pPr>
            <w:r>
              <w:rPr>
                <w:rFonts w:ascii="方正小标宋_GBK" w:eastAsia="方正小标宋_GBK" w:cs="方正小标宋_GBK"/>
                <w:sz w:val="24"/>
                <w:szCs w:val="24"/>
              </w:rPr>
              <w:t>434</w:t>
            </w:r>
            <w:r>
              <w:rPr>
                <w:rFonts w:hint="eastAsia" w:ascii="方正小标宋_GBK" w:eastAsia="方正小标宋_GBK" w:cs="方正小标宋_GBK"/>
                <w:sz w:val="24"/>
                <w:szCs w:val="24"/>
              </w:rPr>
              <w:t>无极县政府</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szCs w:val="24"/>
              </w:rPr>
            </w:pPr>
            <w:r>
              <w:rPr>
                <w:rFonts w:hint="eastAsia" w:ascii="方正书宋_GBK" w:eastAsia="方正书宋_GBK" w:cs="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职责活动</w:t>
            </w:r>
          </w:p>
        </w:tc>
        <w:tc>
          <w:tcPr>
            <w:tcW w:w="12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年度预算数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内容描述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绩效目标</w:t>
            </w:r>
          </w:p>
        </w:tc>
        <w:tc>
          <w:tcPr>
            <w:tcW w:w="1417"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绩效指标</w:t>
            </w:r>
          </w:p>
        </w:tc>
        <w:tc>
          <w:tcPr>
            <w:tcW w:w="2948" w:type="dxa"/>
            <w:gridSpan w:val="4"/>
            <w:vAlign w:val="center"/>
          </w:tcPr>
          <w:p>
            <w:pPr>
              <w:spacing w:line="300" w:lineRule="exact"/>
              <w:jc w:val="center"/>
              <w:rPr>
                <w:rFonts w:ascii="方正书宋_GBK" w:eastAsia="方正书宋_GBK"/>
                <w:b/>
                <w:bCs/>
              </w:rPr>
            </w:pPr>
            <w:r>
              <w:rPr>
                <w:rFonts w:hint="eastAsia" w:ascii="方正书宋_GBK" w:eastAsia="方正书宋_GBK" w:cs="方正书宋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优</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良</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中</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政务服务与政务管理</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85.86</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政务公开、县政府大型会议管理、政务督查督办、打击走私事务、政务联络工作。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突出政务、加强事务管理，力求重点工作出精品。难点工作求突破、基础工作有创新、常规工作见特色。以机关干部工作作风为依据，增强工作综合服务实力。</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政务公开、会议管理、督查督办、打私事务、政务联络。</w:t>
            </w:r>
          </w:p>
        </w:tc>
        <w:tc>
          <w:tcPr>
            <w:tcW w:w="1276" w:type="dxa"/>
            <w:vMerge w:val="restart"/>
            <w:vAlign w:val="center"/>
          </w:tcPr>
          <w:p>
            <w:pPr>
              <w:spacing w:line="300" w:lineRule="exact"/>
              <w:jc w:val="left"/>
              <w:rPr>
                <w:rFonts w:ascii="方正书宋_GBK" w:eastAsia="方正书宋_GBK" w:cs="方正书宋_GBK"/>
              </w:rPr>
            </w:pPr>
            <w:r>
              <w:rPr>
                <w:rFonts w:ascii="方正书宋_GBK" w:eastAsia="方正书宋_GBK" w:cs="方正书宋_GBK"/>
              </w:rPr>
              <w:t>85.86</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不断提高信息公开工作业务水平；协助县领导组织会议决定事项的落实；督办重大决策落实；协调组织打私事务，增大打私力度；做好县际间政务往来与经济交流工作，负责县级领导公务活动的接待安排。</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提升政务公开服务水平。承办大型会议，有效推动全县经济发展，保障重大决策落实，积极贯彻</w:t>
            </w:r>
            <w:r>
              <w:rPr>
                <w:rFonts w:hint="eastAsia" w:ascii="方正书宋_GBK" w:eastAsia="方正书宋_GBK" w:cs="方正书宋_GBK"/>
                <w:lang w:eastAsia="zh-CN"/>
              </w:rPr>
              <w:t>工作部署</w:t>
            </w:r>
            <w:r>
              <w:rPr>
                <w:rFonts w:hint="eastAsia" w:ascii="方正书宋_GBK" w:eastAsia="方正书宋_GBK" w:cs="方正书宋_GBK"/>
              </w:rPr>
              <w:t>，创新工作机制，提升服务水平。围绕我县中心工作，有效促进对外经贸协作和外地高科技项目合作。</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事项督查反馈率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60%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组织对外联络（次）</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3</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2</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对外联络服务满意度</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离退领导满意程度</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督查督办落实任务完成率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检查信息公开履行职责（次）</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[3,5)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[1,3)</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政务信息公开培训任务完成率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打私专项联合执法行动</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圆满完成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较好完成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部分完成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没完成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承办大型会议次数</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应急管理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负责县政府值班工作，及时报告重大情况，协助县领导组织处理突发事件。</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保障应急平台安全运行，有效保证应急突发事件应对处置，完善应急体系，有效组织应急演练，进一步提升应急工作水平。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应急管理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县政府值班工作，及时报告重要情况，传达和落实县领导重要指示，协助县领导完成组织处理突发事件应急处置工作。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建设运行维护平台数据，为有效保障全县突发事件提供技术保障，确保快速、有效处置突发事件，提高事件应对实效。</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应急事件处置情况</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98%</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系统全年累计故障时长（小时）</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48</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96</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192</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政府电子政务</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政务信息工作和机关电子政务工作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确保各类会议顺利进行，保障政府网络系统安全运行，严格保障服务流程和视频会议管理制度，切实提高技术保障能力和服务水平。</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政府电子政务管理与服务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政务信息工作和机关电子政务工作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确保各类会议顺利进行，保障政府网络安全运行，严格保障服务流程和视频会议管理制度，切实提高技术保障能力和服务水平。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会议保障率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网络系统升级</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视频会议系统断点</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信号优良</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信号正常</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偶有断点</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不正常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地方志事务管理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全县地方志事务管理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弘扬传统文化，充分发挥志书</w:t>
            </w:r>
            <w:r>
              <w:t>“</w:t>
            </w:r>
            <w:r>
              <w:rPr>
                <w:rFonts w:hint="eastAsia" w:ascii="方正书宋_GBK" w:eastAsia="方正书宋_GBK" w:cs="方正书宋_GBK"/>
              </w:rPr>
              <w:t>资政、存史、教化</w:t>
            </w:r>
            <w:r>
              <w:t>”</w:t>
            </w:r>
            <w:r>
              <w:rPr>
                <w:rFonts w:hint="eastAsia" w:ascii="方正书宋_GBK" w:eastAsia="方正书宋_GBK" w:cs="方正书宋_GBK"/>
              </w:rPr>
              <w:t>的综合功能，为社会各界提供方便快捷提供</w:t>
            </w:r>
            <w:r>
              <w:rPr>
                <w:rFonts w:ascii="方正书宋_GBK" w:eastAsia="方正书宋_GBK" w:cs="方正书宋_GBK"/>
              </w:rPr>
              <w:t>XX</w:t>
            </w:r>
            <w:r>
              <w:rPr>
                <w:rFonts w:hint="eastAsia" w:ascii="方正书宋_GBK" w:eastAsia="方正书宋_GBK" w:cs="方正书宋_GBK"/>
              </w:rPr>
              <w:t>县情。</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地方志事务管理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拟订全县地方志工作规划并实施；组织整理旧书，搜集、保存、管理地方文献和资料；组织推动地方志理论研究和学术交流；承办县政府和上级业务部门交办的其他工作。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传承优秀文化传统，充分发挥志书</w:t>
            </w:r>
            <w:r>
              <w:t>“</w:t>
            </w:r>
            <w:r>
              <w:rPr>
                <w:rFonts w:hint="eastAsia" w:ascii="方正书宋_GBK" w:eastAsia="方正书宋_GBK" w:cs="方正书宋_GBK"/>
              </w:rPr>
              <w:t>资政、存史、教化</w:t>
            </w:r>
            <w:r>
              <w:t>”</w:t>
            </w:r>
            <w:r>
              <w:rPr>
                <w:rFonts w:hint="eastAsia" w:ascii="方正书宋_GBK" w:eastAsia="方正书宋_GBK" w:cs="方正书宋_GBK"/>
              </w:rPr>
              <w:t>的综合功能，为社会各界方便快捷提供</w:t>
            </w:r>
            <w:r>
              <w:rPr>
                <w:rFonts w:ascii="方正书宋_GBK" w:eastAsia="方正书宋_GBK" w:cs="方正书宋_GBK"/>
              </w:rPr>
              <w:t>XX</w:t>
            </w:r>
            <w:r>
              <w:rPr>
                <w:rFonts w:hint="eastAsia" w:ascii="方正书宋_GBK" w:eastAsia="方正书宋_GBK" w:cs="方正书宋_GBK"/>
              </w:rPr>
              <w:t>县情，为县域经济社会建设服务，为地方志工作者提供资料和工具。</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内容、编校、设计、印刷差错率</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w:t>
            </w:r>
            <w:r>
              <w:rPr>
                <w:rFonts w:ascii="方正书宋_GBK" w:eastAsia="方正书宋_GBK" w:cs="方正书宋_GBK"/>
              </w:rPr>
              <w:t>0.1</w:t>
            </w:r>
            <w:r>
              <w:rPr>
                <w:rFonts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w:t>
            </w:r>
            <w:r>
              <w:rPr>
                <w:rFonts w:ascii="方正书宋_GBK" w:eastAsia="方正书宋_GBK" w:cs="方正书宋_GBK"/>
              </w:rPr>
              <w:t>0.2</w:t>
            </w:r>
            <w:r>
              <w:rPr>
                <w:rFonts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w:t>
            </w:r>
            <w:r>
              <w:rPr>
                <w:rFonts w:ascii="方正书宋_GBK" w:eastAsia="方正书宋_GBK" w:cs="方正书宋_GBK"/>
              </w:rPr>
              <w:t>0.5</w:t>
            </w:r>
            <w:r>
              <w:rPr>
                <w:rFonts w:ascii="方正书宋_GBK" w:eastAsia="方正书宋_GBK"/>
              </w:rPr>
              <w:t>‰</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w:t>
            </w:r>
            <w:r>
              <w:rPr>
                <w:rFonts w:ascii="方正书宋_GBK" w:eastAsia="方正书宋_GBK" w:cs="方正书宋_GBK"/>
              </w:rPr>
              <w:t>1</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培训修志队伍</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3</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2</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县级志书编纂任务完成率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综合业务、事务管理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紧紧围绕县政府中心工作，积极协调县领导谋大事，解难事，不断提高参政水平，努力为领导提供服务层次和优质服务。</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以服务领导和机关保障有力为目标，增强优质后勤管理水平，通过加强公车管理，降低运行成本，为创建节约型机关打下了良好的基础。采取保障县政府领导和机关工作办公环境的措施，提升服务管理水平，保障县领导和机关工作的正常运转。及时了解国内外形势、党和国家的方针政策以及上级重要部署和要求，及时为老干部提供优质高效服务。</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综合业务、事务管理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协助县政府领导组织起草或审核以县政府、县政府办公室名义发布的公文；办理县政府各部门和乡镇报送的文电；对县政府部门间出现的争议问题提出处理意见；组织起草县政府领导重要讲话及其他重要文稿；组织专题调研；承办县政府领导交办的其他事项。</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采取保障县政府领导和机关工作办公环境的措施，提升了服务管理水平，保障了县领导和机关工作的正常运转。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各项综合事务管理工作完成率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各项综合业务管理工作完成率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法制办事务管理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组织推进依法行政推进法治政府建设　执法培训监督行政复议应诉建立健全政府法律顾问制度　政府法制宣传教育</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组织推进依法行政推进法治政府建设　执法培训监督行政复议应诉健全政府法律顾问制度政府法制宣传教育</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法制办事务管理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组织加强对行政执法人员培训及证件管理、执法行为监督检查，办理行政复议案件，依法受理行政复议申请；受县政府委托，作好行政应诉工作，建立健全政府法律顾问制度。做好依法行政考核工作，全面推进依法行政。</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组织加强对行政执法人员培训及证件管理、执法行为监督检查，办理行政复议案件，依法受理行政复议申请；受县政府委托，作好行政应诉工作，建立健全政府法律顾问制度。做好依法行政考核工作，全面推进依法行政。</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案件调解率</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90%</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60%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专家参与立法、提供服务情况</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90%</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60%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应诉胜诉率</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90%</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60%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复议决定提起诉讼率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1-2%</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3-4%</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5%</w:t>
            </w:r>
            <w:r>
              <w:rPr>
                <w:rFonts w:hint="eastAsia" w:ascii="方正书宋_GBK" w:eastAsia="方正书宋_GBK" w:cs="方正书宋_GBK"/>
              </w:rPr>
              <w:t>以上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人防办事务管理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规划、指导、管理全县人防工程建设，组织实施防空训练演练和人防专业队整租训练，依法审批防空地下室修建，负责人防信息化建设、运行及维护管理。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工程总量不断增加。质量不断提高。结构、设备完好。确保设施设备正常运转，信息畅通，软硬件更新及时。</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人防事务管理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规划、指导、管理全县人防工程建设，组织实施防空训练演练和人防专业队整租训练，依法审批防空地下室修建，负责人防信息化建设、运行及维护管理。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工程总量不断增加。质量不断提高。结构、设备完好。确保设施设备正常运转，信息畅通，软硬件更新及时。</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工程验收合格率、质量监督覆盖率、警报音响覆盖率、通信手段完好率</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90%</w:t>
            </w:r>
            <w:r>
              <w:rPr>
                <w:rFonts w:hint="eastAsia" w:ascii="方正书宋_GBK" w:eastAsia="方正书宋_GBK" w:cs="方正书宋_GBK"/>
              </w:rPr>
              <w:t>以上</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80-89%</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60-79%</w:t>
            </w:r>
          </w:p>
        </w:tc>
        <w:tc>
          <w:tcPr>
            <w:tcW w:w="737" w:type="dxa"/>
            <w:vAlign w:val="center"/>
          </w:tcPr>
          <w:p>
            <w:pPr>
              <w:spacing w:line="300" w:lineRule="exact"/>
              <w:jc w:val="center"/>
              <w:rPr>
                <w:rFonts w:ascii="方正书宋_GBK" w:eastAsia="方正书宋_GBK"/>
              </w:rPr>
            </w:pPr>
            <w:r>
              <w:rPr>
                <w:rFonts w:ascii="方正书宋_GBK" w:eastAsia="方正书宋_GBK" w:cs="方正书宋_GBK"/>
              </w:rPr>
              <w:t>60%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金融生态环境建设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整顿和规范金融市场秩序，协调非法集资、非法证券、非法保险等案件的查处、善后处置和维护金融稳定，指导全县金融生态环境和社会信用体系建设，组织开展金融生态环境、金融贡献奖考核评比工作。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严守不发生系统性、区域性金融风险的底线，净化金融市场，维护社会稳定。</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防范和化解地方金融风险</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积极利用科技手段进行风险提示和监测预警，启动涉嫌非法集资监测预警信息系统，加强社会信用体系建设，严厉打击逃废金融债务行为。</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突出宣传教育、风险排查两条主线，建立健全监测预警体系，探索地方立法建设长效机制，实现监管关口源头前移、立体发展，治理非法集资工作进一步法治化、规范化、常态化、科学化。</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非法集资综合治理工作开展</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完成并上报</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基本完成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未完成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cs="方正书宋_GBK"/>
              </w:rPr>
              <w:t>未开展</w:t>
            </w:r>
          </w:p>
        </w:tc>
      </w:tr>
    </w:tbl>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六、政府采购预算情况</w:t>
      </w:r>
    </w:p>
    <w:p>
      <w:pPr>
        <w:ind w:firstLine="645" w:firstLineChars="215"/>
        <w:rPr>
          <w:rFonts w:ascii="仿宋_GB2312" w:eastAsia="仿宋_GB2312"/>
          <w:sz w:val="30"/>
          <w:szCs w:val="30"/>
        </w:rPr>
      </w:pPr>
      <w:r>
        <w:rPr>
          <w:rFonts w:ascii="仿宋_GB2312" w:eastAsia="仿宋_GB2312" w:cs="仿宋_GB2312"/>
          <w:sz w:val="30"/>
          <w:szCs w:val="30"/>
        </w:rPr>
        <w:t>2017</w:t>
      </w:r>
      <w:r>
        <w:rPr>
          <w:rFonts w:hint="eastAsia" w:ascii="仿宋_GB2312" w:eastAsia="仿宋_GB2312" w:cs="仿宋_GB2312"/>
          <w:sz w:val="30"/>
          <w:szCs w:val="30"/>
        </w:rPr>
        <w:t>年我部门安排政府采购预算</w:t>
      </w:r>
      <w:r>
        <w:rPr>
          <w:rFonts w:ascii="仿宋_GB2312" w:eastAsia="仿宋_GB2312" w:cs="仿宋_GB2312"/>
          <w:sz w:val="30"/>
          <w:szCs w:val="30"/>
        </w:rPr>
        <w:t>0</w:t>
      </w:r>
      <w:r>
        <w:rPr>
          <w:rFonts w:hint="eastAsia" w:ascii="仿宋_GB2312" w:eastAsia="仿宋_GB2312" w:cs="仿宋_GB2312"/>
          <w:sz w:val="30"/>
          <w:szCs w:val="30"/>
        </w:rPr>
        <w:t>万元。</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无极县政府办上年末固定资产金额为 1359万元（详见下表）。本年度拟购置固定资产金额为0万元。</w:t>
      </w:r>
    </w:p>
    <w:p>
      <w:pPr>
        <w:pStyle w:val="8"/>
        <w:ind w:firstLine="640" w:firstLineChars="200"/>
        <w:rPr>
          <w:rFonts w:hint="eastAsia" w:ascii="仿宋" w:hAnsi="仿宋" w:eastAsia="仿宋" w:cs="Times New Roman"/>
          <w:sz w:val="32"/>
          <w:szCs w:val="32"/>
          <w:lang w:eastAsia="zh-CN"/>
        </w:rPr>
      </w:pPr>
    </w:p>
    <w:p>
      <w:pPr>
        <w:pStyle w:val="8"/>
        <w:ind w:firstLine="640" w:firstLineChars="200"/>
        <w:rPr>
          <w:rFonts w:ascii="仿宋" w:hAnsi="仿宋" w:eastAsia="仿宋" w:cs="Times New Roman"/>
          <w:sz w:val="32"/>
          <w:szCs w:val="32"/>
          <w:lang w:eastAsia="zh-CN"/>
        </w:rPr>
      </w:pPr>
    </w:p>
    <w:tbl>
      <w:tblPr>
        <w:tblStyle w:val="4"/>
        <w:tblW w:w="10185" w:type="dxa"/>
        <w:tblInd w:w="1997" w:type="dxa"/>
        <w:tblLayout w:type="fixed"/>
        <w:tblCellMar>
          <w:top w:w="0" w:type="dxa"/>
          <w:left w:w="108" w:type="dxa"/>
          <w:bottom w:w="0" w:type="dxa"/>
          <w:right w:w="108" w:type="dxa"/>
        </w:tblCellMar>
      </w:tblPr>
      <w:tblGrid>
        <w:gridCol w:w="3990"/>
        <w:gridCol w:w="2100"/>
        <w:gridCol w:w="4095"/>
      </w:tblGrid>
      <w:tr>
        <w:tblPrEx>
          <w:tblCellMar>
            <w:top w:w="0" w:type="dxa"/>
            <w:left w:w="108" w:type="dxa"/>
            <w:bottom w:w="0" w:type="dxa"/>
            <w:right w:w="108" w:type="dxa"/>
          </w:tblCellMar>
        </w:tblPrEx>
        <w:trPr>
          <w:trHeight w:val="705" w:hRule="atLeast"/>
        </w:trPr>
        <w:tc>
          <w:tcPr>
            <w:tcW w:w="10185" w:type="dxa"/>
            <w:gridSpan w:val="3"/>
            <w:tcBorders>
              <w:top w:val="nil"/>
              <w:left w:val="nil"/>
              <w:bottom w:val="nil"/>
              <w:right w:val="nil"/>
            </w:tcBorders>
            <w:vAlign w:val="center"/>
          </w:tcPr>
          <w:p>
            <w:pPr>
              <w:widowControl/>
              <w:jc w:val="center"/>
              <w:rPr>
                <w:rFonts w:ascii="宋体"/>
                <w:b/>
                <w:bCs/>
                <w:kern w:val="0"/>
                <w:sz w:val="32"/>
                <w:szCs w:val="32"/>
              </w:rPr>
            </w:pPr>
            <w:r>
              <w:rPr>
                <w:rFonts w:hint="eastAsia" w:ascii="宋体" w:hAnsi="宋体" w:cs="宋体"/>
                <w:b/>
                <w:bCs/>
                <w:kern w:val="0"/>
                <w:sz w:val="32"/>
                <w:szCs w:val="32"/>
              </w:rPr>
              <w:t>无极县政府办固定资产占用情况表</w:t>
            </w:r>
          </w:p>
        </w:tc>
      </w:tr>
      <w:tr>
        <w:tblPrEx>
          <w:tblCellMar>
            <w:top w:w="0" w:type="dxa"/>
            <w:left w:w="108" w:type="dxa"/>
            <w:bottom w:w="0" w:type="dxa"/>
            <w:right w:w="108" w:type="dxa"/>
          </w:tblCellMar>
        </w:tblPrEx>
        <w:trPr>
          <w:trHeight w:val="510" w:hRule="atLeast"/>
        </w:trPr>
        <w:tc>
          <w:tcPr>
            <w:tcW w:w="6090" w:type="dxa"/>
            <w:gridSpan w:val="2"/>
            <w:tcBorders>
              <w:top w:val="nil"/>
              <w:left w:val="nil"/>
              <w:bottom w:val="nil"/>
              <w:right w:val="nil"/>
            </w:tcBorders>
            <w:vAlign w:val="center"/>
          </w:tcPr>
          <w:p>
            <w:pPr>
              <w:widowControl/>
              <w:jc w:val="left"/>
              <w:rPr>
                <w:rFonts w:ascii="宋体"/>
                <w:kern w:val="0"/>
                <w:sz w:val="22"/>
                <w:szCs w:val="22"/>
              </w:rPr>
            </w:pPr>
            <w:r>
              <w:rPr>
                <w:rFonts w:hint="eastAsia" w:ascii="宋体" w:hAnsi="宋体" w:cs="宋体"/>
                <w:kern w:val="0"/>
                <w:sz w:val="22"/>
                <w:szCs w:val="22"/>
              </w:rPr>
              <w:t>编制部门：</w:t>
            </w:r>
            <w:r>
              <w:rPr>
                <w:rFonts w:hint="eastAsia" w:cs="宋体"/>
              </w:rPr>
              <w:t>无极县政府办</w:t>
            </w:r>
          </w:p>
        </w:tc>
        <w:tc>
          <w:tcPr>
            <w:tcW w:w="4095" w:type="dxa"/>
            <w:tcBorders>
              <w:top w:val="nil"/>
              <w:left w:val="nil"/>
              <w:bottom w:val="nil"/>
              <w:right w:val="nil"/>
            </w:tcBorders>
            <w:vAlign w:val="center"/>
          </w:tcPr>
          <w:p>
            <w:pPr>
              <w:widowControl/>
              <w:jc w:val="left"/>
              <w:rPr>
                <w:rFonts w:ascii="宋体"/>
                <w:kern w:val="0"/>
                <w:sz w:val="22"/>
                <w:szCs w:val="22"/>
              </w:rPr>
            </w:pPr>
            <w:r>
              <w:rPr>
                <w:rFonts w:hint="eastAsia" w:ascii="宋体" w:hAnsi="宋体" w:cs="宋体"/>
                <w:kern w:val="0"/>
                <w:sz w:val="22"/>
                <w:szCs w:val="22"/>
              </w:rPr>
              <w:t>截止时间：</w:t>
            </w:r>
            <w:r>
              <w:rPr>
                <w:rFonts w:ascii="宋体" w:hAnsi="宋体" w:cs="宋体"/>
                <w:kern w:val="0"/>
                <w:sz w:val="22"/>
                <w:szCs w:val="22"/>
              </w:rPr>
              <w:t>2016</w:t>
            </w:r>
            <w:r>
              <w:rPr>
                <w:rFonts w:hint="eastAsia" w:ascii="宋体" w:hAnsi="宋体" w:cs="宋体"/>
                <w:kern w:val="0"/>
                <w:sz w:val="22"/>
                <w:szCs w:val="22"/>
              </w:rPr>
              <w:t>年</w:t>
            </w:r>
            <w:r>
              <w:rPr>
                <w:rFonts w:ascii="宋体" w:hAnsi="宋体" w:cs="宋体"/>
                <w:kern w:val="0"/>
                <w:sz w:val="22"/>
                <w:szCs w:val="22"/>
              </w:rPr>
              <w:t>12</w:t>
            </w:r>
            <w:r>
              <w:rPr>
                <w:rFonts w:hint="eastAsia" w:ascii="宋体" w:hAnsi="宋体" w:cs="宋体"/>
                <w:kern w:val="0"/>
                <w:sz w:val="22"/>
                <w:szCs w:val="22"/>
              </w:rPr>
              <w:t>月</w:t>
            </w:r>
            <w:r>
              <w:rPr>
                <w:rFonts w:ascii="宋体" w:hAnsi="宋体" w:cs="宋体"/>
                <w:kern w:val="0"/>
                <w:sz w:val="22"/>
                <w:szCs w:val="22"/>
              </w:rPr>
              <w:t>31</w:t>
            </w:r>
            <w:r>
              <w:rPr>
                <w:rFonts w:hint="eastAsia" w:ascii="宋体" w:hAnsi="宋体" w:cs="宋体"/>
                <w:kern w:val="0"/>
                <w:sz w:val="22"/>
                <w:szCs w:val="22"/>
              </w:rPr>
              <w:t>日</w:t>
            </w:r>
            <w:r>
              <w:rPr>
                <w:rFonts w:ascii="宋体" w:hAnsi="宋体" w:cs="宋体"/>
                <w:kern w:val="0"/>
                <w:sz w:val="22"/>
                <w:szCs w:val="22"/>
              </w:rPr>
              <w:t xml:space="preserve">  </w:t>
            </w:r>
          </w:p>
        </w:tc>
      </w:tr>
      <w:tr>
        <w:tblPrEx>
          <w:tblCellMar>
            <w:top w:w="0" w:type="dxa"/>
            <w:left w:w="108" w:type="dxa"/>
            <w:bottom w:w="0" w:type="dxa"/>
            <w:right w:w="108" w:type="dxa"/>
          </w:tblCellMar>
        </w:tblPrEx>
        <w:trPr>
          <w:trHeight w:val="645" w:hRule="atLeast"/>
        </w:trPr>
        <w:tc>
          <w:tcPr>
            <w:tcW w:w="399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项</w:t>
            </w:r>
            <w:r>
              <w:rPr>
                <w:rFonts w:ascii="宋体" w:hAnsi="宋体" w:cs="宋体"/>
                <w:b/>
                <w:bCs/>
                <w:kern w:val="0"/>
                <w:sz w:val="22"/>
                <w:szCs w:val="22"/>
              </w:rPr>
              <w:t xml:space="preserve">   </w:t>
            </w:r>
            <w:r>
              <w:rPr>
                <w:rFonts w:hint="eastAsia" w:ascii="宋体" w:hAnsi="宋体" w:cs="宋体"/>
                <w:b/>
                <w:bCs/>
                <w:kern w:val="0"/>
                <w:sz w:val="22"/>
                <w:szCs w:val="22"/>
              </w:rPr>
              <w:t>目</w:t>
            </w:r>
          </w:p>
        </w:tc>
        <w:tc>
          <w:tcPr>
            <w:tcW w:w="2100"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数量</w:t>
            </w:r>
          </w:p>
        </w:tc>
        <w:tc>
          <w:tcPr>
            <w:tcW w:w="4095"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szCs w:val="22"/>
              </w:rPr>
            </w:pPr>
            <w:r>
              <w:rPr>
                <w:rFonts w:hint="eastAsia" w:ascii="宋体" w:hAnsi="宋体" w:cs="宋体"/>
                <w:kern w:val="0"/>
                <w:sz w:val="22"/>
                <w:szCs w:val="22"/>
              </w:rPr>
              <w:t>资产总额</w:t>
            </w:r>
          </w:p>
        </w:tc>
        <w:tc>
          <w:tcPr>
            <w:tcW w:w="210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09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1359</w:t>
            </w: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1</w:t>
            </w:r>
            <w:r>
              <w:rPr>
                <w:rFonts w:hint="eastAsia" w:ascii="宋体" w:hAnsi="宋体" w:cs="宋体"/>
                <w:kern w:val="0"/>
                <w:sz w:val="22"/>
                <w:szCs w:val="22"/>
              </w:rPr>
              <w:t>、房屋（平方米）</w:t>
            </w:r>
          </w:p>
        </w:tc>
        <w:tc>
          <w:tcPr>
            <w:tcW w:w="2100"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12000</w:t>
            </w:r>
          </w:p>
        </w:tc>
        <w:tc>
          <w:tcPr>
            <w:tcW w:w="409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1046</w:t>
            </w: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 xml:space="preserve">  </w:t>
            </w:r>
            <w:r>
              <w:rPr>
                <w:rFonts w:hint="eastAsia" w:ascii="宋体" w:hAnsi="宋体" w:cs="宋体"/>
                <w:kern w:val="0"/>
                <w:sz w:val="22"/>
                <w:szCs w:val="22"/>
              </w:rPr>
              <w:t>其中：办公用房（平方米）</w:t>
            </w:r>
          </w:p>
        </w:tc>
        <w:tc>
          <w:tcPr>
            <w:tcW w:w="2100"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12000</w:t>
            </w:r>
          </w:p>
        </w:tc>
        <w:tc>
          <w:tcPr>
            <w:tcW w:w="409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1046</w:t>
            </w: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2</w:t>
            </w:r>
            <w:r>
              <w:rPr>
                <w:rFonts w:hint="eastAsia" w:ascii="宋体" w:hAnsi="宋体" w:cs="宋体"/>
                <w:kern w:val="0"/>
                <w:sz w:val="22"/>
                <w:szCs w:val="22"/>
              </w:rPr>
              <w:t>、车辆（台、辆）</w:t>
            </w:r>
          </w:p>
        </w:tc>
        <w:tc>
          <w:tcPr>
            <w:tcW w:w="2100"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9</w:t>
            </w:r>
          </w:p>
        </w:tc>
        <w:tc>
          <w:tcPr>
            <w:tcW w:w="4095"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228</w:t>
            </w: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3</w:t>
            </w:r>
            <w:r>
              <w:rPr>
                <w:rFonts w:hint="eastAsia" w:ascii="宋体" w:hAnsi="宋体" w:cs="宋体"/>
                <w:kern w:val="0"/>
                <w:sz w:val="22"/>
                <w:szCs w:val="22"/>
              </w:rPr>
              <w:t>、单价在</w:t>
            </w:r>
            <w:r>
              <w:rPr>
                <w:rFonts w:ascii="宋体" w:hAnsi="宋体" w:cs="宋体"/>
                <w:kern w:val="0"/>
                <w:sz w:val="22"/>
                <w:szCs w:val="22"/>
              </w:rPr>
              <w:t>20</w:t>
            </w:r>
            <w:r>
              <w:rPr>
                <w:rFonts w:hint="eastAsia" w:ascii="宋体" w:hAnsi="宋体" w:cs="宋体"/>
                <w:kern w:val="0"/>
                <w:sz w:val="22"/>
                <w:szCs w:val="22"/>
              </w:rPr>
              <w:t>万元以上设备</w:t>
            </w:r>
          </w:p>
        </w:tc>
        <w:tc>
          <w:tcPr>
            <w:tcW w:w="210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0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990"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4</w:t>
            </w:r>
            <w:r>
              <w:rPr>
                <w:rFonts w:hint="eastAsia" w:ascii="宋体" w:hAnsi="宋体" w:cs="宋体"/>
                <w:kern w:val="0"/>
                <w:sz w:val="22"/>
                <w:szCs w:val="22"/>
              </w:rPr>
              <w:t>、其他固定资产</w:t>
            </w:r>
          </w:p>
        </w:tc>
        <w:tc>
          <w:tcPr>
            <w:tcW w:w="210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4095"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cs="宋体"/>
                <w:kern w:val="0"/>
                <w:sz w:val="22"/>
                <w:szCs w:val="22"/>
              </w:rPr>
              <w:t>85</w:t>
            </w:r>
          </w:p>
        </w:tc>
      </w:tr>
    </w:tbl>
    <w:p>
      <w:pPr>
        <w:ind w:firstLine="688" w:firstLineChars="215"/>
        <w:rPr>
          <w:rFonts w:ascii="仿宋" w:hAnsi="仿宋" w:eastAsia="仿宋"/>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八、名词解释</w:t>
      </w:r>
    </w:p>
    <w:p>
      <w:pPr>
        <w:ind w:firstLine="720"/>
        <w:rPr>
          <w:rFonts w:ascii="仿宋" w:hAnsi="仿宋" w:eastAsia="仿宋"/>
          <w:b/>
          <w:bCs/>
          <w:sz w:val="32"/>
          <w:szCs w:val="32"/>
        </w:rPr>
      </w:pPr>
      <w:r>
        <w:rPr>
          <w:rFonts w:ascii="仿宋" w:hAnsi="仿宋" w:eastAsia="仿宋" w:cs="仿宋"/>
          <w:b/>
          <w:bCs/>
          <w:sz w:val="32"/>
          <w:szCs w:val="32"/>
        </w:rPr>
        <w:t>1.</w:t>
      </w:r>
      <w:r>
        <w:rPr>
          <w:rFonts w:hint="eastAsia" w:ascii="仿宋" w:hAnsi="仿宋" w:eastAsia="仿宋" w:cs="仿宋"/>
          <w:b/>
          <w:bCs/>
          <w:sz w:val="32"/>
          <w:szCs w:val="32"/>
        </w:rPr>
        <w:t>财政拨款收入</w:t>
      </w:r>
    </w:p>
    <w:p>
      <w:pPr>
        <w:ind w:firstLine="720"/>
        <w:rPr>
          <w:rFonts w:ascii="仿宋" w:hAnsi="仿宋" w:eastAsia="仿宋"/>
          <w:sz w:val="32"/>
          <w:szCs w:val="32"/>
        </w:rPr>
      </w:pPr>
      <w:r>
        <w:rPr>
          <w:rFonts w:hint="eastAsia" w:ascii="仿宋" w:hAnsi="仿宋" w:eastAsia="仿宋" w:cs="仿宋"/>
          <w:sz w:val="32"/>
          <w:szCs w:val="32"/>
        </w:rPr>
        <w:t>财政拨款收入是指财政部门按照批复的预算核拨给单位的财政预算资金。</w:t>
      </w:r>
    </w:p>
    <w:p>
      <w:pPr>
        <w:ind w:firstLine="720"/>
        <w:rPr>
          <w:rFonts w:ascii="仿宋" w:hAnsi="仿宋" w:eastAsia="仿宋"/>
          <w:b/>
          <w:bCs/>
          <w:sz w:val="32"/>
          <w:szCs w:val="32"/>
        </w:rPr>
      </w:pPr>
      <w:r>
        <w:rPr>
          <w:rFonts w:ascii="仿宋" w:hAnsi="仿宋" w:eastAsia="仿宋" w:cs="仿宋"/>
          <w:b/>
          <w:bCs/>
          <w:sz w:val="32"/>
          <w:szCs w:val="32"/>
        </w:rPr>
        <w:t>2.</w:t>
      </w:r>
      <w:r>
        <w:rPr>
          <w:rFonts w:hint="eastAsia" w:ascii="仿宋" w:hAnsi="仿宋" w:eastAsia="仿宋" w:cs="仿宋"/>
          <w:b/>
          <w:bCs/>
          <w:sz w:val="32"/>
          <w:szCs w:val="32"/>
        </w:rPr>
        <w:t>基本支出、项目支出</w:t>
      </w:r>
    </w:p>
    <w:p>
      <w:pPr>
        <w:ind w:firstLine="720"/>
        <w:rPr>
          <w:rFonts w:ascii="仿宋" w:hAnsi="仿宋" w:eastAsia="仿宋"/>
          <w:sz w:val="32"/>
          <w:szCs w:val="32"/>
        </w:rPr>
      </w:pPr>
      <w:r>
        <w:rPr>
          <w:rFonts w:hint="eastAsia" w:ascii="仿宋" w:hAnsi="仿宋" w:eastAsia="仿宋" w:cs="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cs="仿宋"/>
          <w:sz w:val="32"/>
          <w:szCs w:val="32"/>
        </w:rPr>
        <w:t>项目支出是指在基本支出之外完成特定行政任务和事业发展目标所发生的支出。</w:t>
      </w:r>
    </w:p>
    <w:p>
      <w:pPr>
        <w:ind w:firstLine="720"/>
        <w:rPr>
          <w:rFonts w:ascii="仿宋" w:hAnsi="仿宋" w:eastAsia="仿宋"/>
          <w:b/>
          <w:bCs/>
          <w:sz w:val="32"/>
          <w:szCs w:val="32"/>
        </w:rPr>
      </w:pPr>
      <w:r>
        <w:rPr>
          <w:rFonts w:ascii="仿宋" w:hAnsi="仿宋" w:eastAsia="仿宋" w:cs="仿宋"/>
          <w:b/>
          <w:bCs/>
          <w:sz w:val="32"/>
          <w:szCs w:val="32"/>
        </w:rPr>
        <w:t>3.</w:t>
      </w:r>
      <w:r>
        <w:rPr>
          <w:rFonts w:hint="eastAsia" w:ascii="仿宋" w:hAnsi="仿宋" w:eastAsia="仿宋" w:cs="仿宋"/>
          <w:b/>
          <w:bCs/>
          <w:sz w:val="32"/>
          <w:szCs w:val="32"/>
        </w:rPr>
        <w:t>一般公共服务支出</w:t>
      </w:r>
    </w:p>
    <w:p>
      <w:pPr>
        <w:ind w:firstLine="720"/>
        <w:rPr>
          <w:rFonts w:ascii="仿宋" w:hAnsi="仿宋" w:eastAsia="仿宋"/>
          <w:sz w:val="32"/>
          <w:szCs w:val="32"/>
        </w:rPr>
      </w:pPr>
      <w:r>
        <w:rPr>
          <w:rFonts w:hint="eastAsia" w:ascii="仿宋" w:hAnsi="仿宋" w:eastAsia="仿宋" w:cs="仿宋"/>
          <w:sz w:val="32"/>
          <w:szCs w:val="32"/>
        </w:rPr>
        <w:t>一般公共服务支出是指反映预算单位一般公共服务的支出。</w:t>
      </w:r>
    </w:p>
    <w:p>
      <w:pPr>
        <w:ind w:firstLine="720"/>
        <w:rPr>
          <w:rFonts w:ascii="仿宋" w:hAnsi="仿宋" w:eastAsia="仿宋"/>
          <w:b/>
          <w:bCs/>
          <w:sz w:val="32"/>
          <w:szCs w:val="32"/>
        </w:rPr>
      </w:pPr>
      <w:r>
        <w:rPr>
          <w:rFonts w:ascii="仿宋" w:hAnsi="仿宋" w:eastAsia="仿宋" w:cs="仿宋"/>
          <w:b/>
          <w:bCs/>
          <w:sz w:val="32"/>
          <w:szCs w:val="32"/>
        </w:rPr>
        <w:t>4.</w:t>
      </w:r>
      <w:r>
        <w:rPr>
          <w:rFonts w:hint="eastAsia" w:ascii="仿宋" w:hAnsi="仿宋" w:eastAsia="仿宋" w:cs="仿宋"/>
          <w:b/>
          <w:bCs/>
          <w:sz w:val="32"/>
          <w:szCs w:val="32"/>
        </w:rPr>
        <w:t>文化体育与传媒支出</w:t>
      </w:r>
    </w:p>
    <w:p>
      <w:pPr>
        <w:ind w:firstLine="720"/>
        <w:rPr>
          <w:rFonts w:ascii="仿宋" w:hAnsi="仿宋" w:eastAsia="仿宋"/>
          <w:sz w:val="32"/>
          <w:szCs w:val="32"/>
        </w:rPr>
      </w:pPr>
      <w:r>
        <w:rPr>
          <w:rFonts w:hint="eastAsia" w:ascii="仿宋" w:hAnsi="仿宋" w:eastAsia="仿宋" w:cs="仿宋"/>
          <w:sz w:val="32"/>
          <w:szCs w:val="32"/>
        </w:rPr>
        <w:t>文化体育与传媒支出是指反映预算单位在文化、文物、体育、广播影视、新闻出版等方面的支出。</w:t>
      </w:r>
    </w:p>
    <w:p>
      <w:pPr>
        <w:ind w:firstLine="720"/>
        <w:rPr>
          <w:rFonts w:ascii="仿宋" w:hAnsi="仿宋" w:eastAsia="仿宋"/>
          <w:b/>
          <w:bCs/>
          <w:sz w:val="32"/>
          <w:szCs w:val="32"/>
        </w:rPr>
      </w:pPr>
      <w:r>
        <w:rPr>
          <w:rFonts w:ascii="仿宋" w:hAnsi="仿宋" w:eastAsia="仿宋" w:cs="仿宋"/>
          <w:b/>
          <w:bCs/>
          <w:sz w:val="32"/>
          <w:szCs w:val="32"/>
        </w:rPr>
        <w:t>5.</w:t>
      </w:r>
      <w:r>
        <w:rPr>
          <w:rFonts w:hint="eastAsia" w:ascii="仿宋" w:hAnsi="仿宋" w:eastAsia="仿宋" w:cs="仿宋"/>
          <w:b/>
          <w:bCs/>
          <w:sz w:val="32"/>
          <w:szCs w:val="32"/>
        </w:rPr>
        <w:t>社会保障和就业支出</w:t>
      </w:r>
    </w:p>
    <w:p>
      <w:pPr>
        <w:ind w:firstLine="720"/>
        <w:rPr>
          <w:rFonts w:ascii="仿宋" w:hAnsi="仿宋" w:eastAsia="仿宋"/>
          <w:sz w:val="32"/>
          <w:szCs w:val="32"/>
        </w:rPr>
      </w:pPr>
      <w:r>
        <w:rPr>
          <w:rFonts w:hint="eastAsia" w:ascii="仿宋" w:hAnsi="仿宋" w:eastAsia="仿宋" w:cs="仿宋"/>
          <w:sz w:val="32"/>
          <w:szCs w:val="32"/>
        </w:rPr>
        <w:t>社会保障和就业支出是指预算单位在社会保障和就业方面的支出。</w:t>
      </w:r>
    </w:p>
    <w:p>
      <w:pPr>
        <w:ind w:firstLine="720"/>
        <w:rPr>
          <w:rFonts w:ascii="仿宋" w:hAnsi="仿宋" w:eastAsia="仿宋"/>
          <w:b/>
          <w:bCs/>
          <w:sz w:val="32"/>
          <w:szCs w:val="32"/>
        </w:rPr>
      </w:pPr>
      <w:r>
        <w:rPr>
          <w:rFonts w:ascii="仿宋" w:hAnsi="仿宋" w:eastAsia="仿宋" w:cs="仿宋"/>
          <w:b/>
          <w:bCs/>
          <w:sz w:val="32"/>
          <w:szCs w:val="32"/>
        </w:rPr>
        <w:t>6.</w:t>
      </w:r>
      <w:r>
        <w:rPr>
          <w:rFonts w:hint="eastAsia" w:ascii="仿宋" w:hAnsi="仿宋" w:eastAsia="仿宋" w:cs="仿宋"/>
          <w:b/>
          <w:bCs/>
          <w:sz w:val="32"/>
          <w:szCs w:val="32"/>
        </w:rPr>
        <w:t>机关运行经费</w:t>
      </w:r>
    </w:p>
    <w:p>
      <w:pPr>
        <w:ind w:firstLine="720"/>
        <w:rPr>
          <w:rFonts w:ascii="仿宋" w:hAnsi="仿宋" w:eastAsia="仿宋"/>
          <w:sz w:val="32"/>
          <w:szCs w:val="32"/>
        </w:rPr>
      </w:pPr>
      <w:r>
        <w:rPr>
          <w:rFonts w:hint="eastAsia" w:ascii="仿宋" w:hAnsi="仿宋" w:eastAsia="仿宋" w:cs="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bCs/>
          <w:sz w:val="32"/>
          <w:szCs w:val="32"/>
        </w:rPr>
      </w:pPr>
      <w:r>
        <w:rPr>
          <w:rFonts w:ascii="仿宋" w:hAnsi="仿宋" w:eastAsia="仿宋" w:cs="仿宋"/>
          <w:b/>
          <w:bCs/>
          <w:sz w:val="32"/>
          <w:szCs w:val="32"/>
        </w:rPr>
        <w:t>7.</w:t>
      </w:r>
      <w:r>
        <w:rPr>
          <w:rFonts w:hint="eastAsia" w:ascii="仿宋" w:hAnsi="仿宋" w:eastAsia="仿宋" w:cs="仿宋"/>
          <w:b/>
          <w:bCs/>
          <w:sz w:val="32"/>
          <w:szCs w:val="32"/>
        </w:rPr>
        <w:t>“三公”经费</w:t>
      </w:r>
    </w:p>
    <w:p>
      <w:pPr>
        <w:ind w:firstLine="720"/>
        <w:rPr>
          <w:rFonts w:ascii="仿宋" w:hAnsi="仿宋" w:eastAsia="仿宋"/>
          <w:sz w:val="32"/>
          <w:szCs w:val="32"/>
        </w:rPr>
      </w:pPr>
      <w:r>
        <w:rPr>
          <w:rFonts w:hint="eastAsia" w:ascii="仿宋" w:hAnsi="仿宋" w:eastAsia="仿宋" w:cs="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cs="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cs="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cs="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九、其他需要说明的事项</w:t>
      </w:r>
    </w:p>
    <w:p>
      <w:pPr>
        <w:ind w:firstLine="688" w:firstLineChars="215"/>
        <w:rPr>
          <w:rFonts w:ascii="仿宋" w:hAnsi="仿宋" w:eastAsia="仿宋"/>
          <w:sz w:val="32"/>
          <w:szCs w:val="32"/>
        </w:rPr>
      </w:pPr>
      <w:r>
        <w:rPr>
          <w:rFonts w:hint="eastAsia" w:ascii="仿宋" w:hAnsi="仿宋" w:eastAsia="仿宋" w:cs="仿宋"/>
          <w:sz w:val="32"/>
          <w:szCs w:val="32"/>
        </w:rPr>
        <w:t>无。</w:t>
      </w:r>
    </w:p>
    <w:sectPr>
      <w:headerReference r:id="rId5" w:type="first"/>
      <w:footerReference r:id="rId8" w:type="first"/>
      <w:headerReference r:id="rId3" w:type="default"/>
      <w:footerReference r:id="rId6" w:type="default"/>
      <w:headerReference r:id="rId4" w:type="even"/>
      <w:footerReference r:id="rId7" w:type="even"/>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F092B84"/>
    <w:multiLevelType w:val="singleLevel"/>
    <w:tmpl w:val="CF092B84"/>
    <w:lvl w:ilvl="0" w:tentative="0">
      <w:start w:val="4"/>
      <w:numFmt w:val="chineseCounting"/>
      <w:suff w:val="nothing"/>
      <w:lvlText w:val="%1、"/>
      <w:lvlJc w:val="left"/>
    </w:lvl>
  </w:abstractNum>
  <w:abstractNum w:abstractNumId="1">
    <w:nsid w:val="00000001"/>
    <w:multiLevelType w:val="multilevel"/>
    <w:tmpl w:val="00000001"/>
    <w:lvl w:ilvl="0" w:tentative="0">
      <w:start w:val="1"/>
      <w:numFmt w:val="japaneseCounting"/>
      <w:lvlText w:val="（%1）"/>
      <w:lvlJc w:val="left"/>
      <w:pPr>
        <w:tabs>
          <w:tab w:val="left" w:pos="1680"/>
        </w:tabs>
        <w:ind w:left="1680" w:hanging="1080"/>
      </w:pPr>
      <w:rPr>
        <w:rFonts w:hint="default" w:ascii="楷体" w:hAnsi="楷体" w:eastAsia="楷体"/>
        <w:sz w:val="30"/>
        <w:szCs w:val="30"/>
      </w:rPr>
    </w:lvl>
    <w:lvl w:ilvl="1" w:tentative="0">
      <w:start w:val="1"/>
      <w:numFmt w:val="lowerLetter"/>
      <w:lvlText w:val="%2)"/>
      <w:lvlJc w:val="left"/>
      <w:pPr>
        <w:tabs>
          <w:tab w:val="left" w:pos="1440"/>
        </w:tabs>
        <w:ind w:left="1440" w:hanging="420"/>
      </w:pPr>
    </w:lvl>
    <w:lvl w:ilvl="2" w:tentative="0">
      <w:start w:val="1"/>
      <w:numFmt w:val="lowerRoman"/>
      <w:lvlText w:val="%3."/>
      <w:lvlJc w:val="right"/>
      <w:pPr>
        <w:tabs>
          <w:tab w:val="left" w:pos="1860"/>
        </w:tabs>
        <w:ind w:left="1860" w:hanging="420"/>
      </w:pPr>
    </w:lvl>
    <w:lvl w:ilvl="3" w:tentative="0">
      <w:start w:val="1"/>
      <w:numFmt w:val="decimal"/>
      <w:lvlText w:val="%4."/>
      <w:lvlJc w:val="left"/>
      <w:pPr>
        <w:tabs>
          <w:tab w:val="left" w:pos="2280"/>
        </w:tabs>
        <w:ind w:left="2280" w:hanging="420"/>
      </w:pPr>
    </w:lvl>
    <w:lvl w:ilvl="4" w:tentative="0">
      <w:start w:val="1"/>
      <w:numFmt w:val="lowerLetter"/>
      <w:lvlText w:val="%5)"/>
      <w:lvlJc w:val="left"/>
      <w:pPr>
        <w:tabs>
          <w:tab w:val="left" w:pos="2700"/>
        </w:tabs>
        <w:ind w:left="2700" w:hanging="420"/>
      </w:pPr>
    </w:lvl>
    <w:lvl w:ilvl="5" w:tentative="0">
      <w:start w:val="1"/>
      <w:numFmt w:val="lowerRoman"/>
      <w:lvlText w:val="%6."/>
      <w:lvlJc w:val="right"/>
      <w:pPr>
        <w:tabs>
          <w:tab w:val="left" w:pos="3120"/>
        </w:tabs>
        <w:ind w:left="3120" w:hanging="420"/>
      </w:pPr>
    </w:lvl>
    <w:lvl w:ilvl="6" w:tentative="0">
      <w:start w:val="1"/>
      <w:numFmt w:val="decimal"/>
      <w:lvlText w:val="%7."/>
      <w:lvlJc w:val="left"/>
      <w:pPr>
        <w:tabs>
          <w:tab w:val="left" w:pos="3540"/>
        </w:tabs>
        <w:ind w:left="3540" w:hanging="420"/>
      </w:pPr>
    </w:lvl>
    <w:lvl w:ilvl="7" w:tentative="0">
      <w:start w:val="1"/>
      <w:numFmt w:val="lowerLetter"/>
      <w:lvlText w:val="%8)"/>
      <w:lvlJc w:val="left"/>
      <w:pPr>
        <w:tabs>
          <w:tab w:val="left" w:pos="3960"/>
        </w:tabs>
        <w:ind w:left="3960" w:hanging="420"/>
      </w:pPr>
    </w:lvl>
    <w:lvl w:ilvl="8" w:tentative="0">
      <w:start w:val="1"/>
      <w:numFmt w:val="lowerRoman"/>
      <w:lvlText w:val="%9."/>
      <w:lvlJc w:val="right"/>
      <w:pPr>
        <w:tabs>
          <w:tab w:val="left" w:pos="4380"/>
        </w:tabs>
        <w:ind w:left="438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C2E41"/>
    <w:rsid w:val="00556890"/>
    <w:rsid w:val="00BC2E41"/>
    <w:rsid w:val="00C6517B"/>
    <w:rsid w:val="24C71B02"/>
    <w:rsid w:val="2B9E46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customStyle="1" w:styleId="6">
    <w:name w:val="HTML 地址1"/>
    <w:basedOn w:val="1"/>
    <w:link w:val="11"/>
    <w:qFormat/>
    <w:uiPriority w:val="0"/>
    <w:pPr>
      <w:widowControl/>
      <w:spacing w:before="100" w:beforeAutospacing="1" w:after="100" w:afterAutospacing="1"/>
      <w:jc w:val="left"/>
    </w:pPr>
    <w:rPr>
      <w:i/>
      <w:iCs/>
    </w:rPr>
  </w:style>
  <w:style w:type="paragraph" w:customStyle="1" w:styleId="7">
    <w:name w:val="List Paragraph1"/>
    <w:basedOn w:val="1"/>
    <w:qFormat/>
    <w:uiPriority w:val="0"/>
    <w:pPr>
      <w:ind w:firstLine="420" w:firstLineChars="200"/>
    </w:pPr>
  </w:style>
  <w:style w:type="paragraph" w:customStyle="1" w:styleId="8">
    <w:name w:val="[Normal]"/>
    <w:qFormat/>
    <w:uiPriority w:val="0"/>
    <w:rPr>
      <w:rFonts w:ascii="宋体" w:hAnsi="Times New Roman" w:eastAsia="宋体" w:cs="宋体"/>
      <w:sz w:val="24"/>
      <w:szCs w:val="24"/>
      <w:lang w:val="en-US" w:eastAsia="en-US" w:bidi="ar-SA"/>
    </w:rPr>
  </w:style>
  <w:style w:type="character" w:customStyle="1" w:styleId="9">
    <w:name w:val="页脚 Char"/>
    <w:link w:val="2"/>
    <w:semiHidden/>
    <w:qFormat/>
    <w:uiPriority w:val="0"/>
    <w:rPr>
      <w:rFonts w:ascii="Times New Roman" w:hAnsi="Times New Roman" w:eastAsia="宋体" w:cs="Times New Roman"/>
      <w:sz w:val="18"/>
      <w:szCs w:val="18"/>
    </w:rPr>
  </w:style>
  <w:style w:type="character" w:customStyle="1" w:styleId="10">
    <w:name w:val="页眉 Char"/>
    <w:link w:val="3"/>
    <w:semiHidden/>
    <w:qFormat/>
    <w:uiPriority w:val="0"/>
    <w:rPr>
      <w:rFonts w:ascii="Times New Roman" w:hAnsi="Times New Roman" w:eastAsia="宋体" w:cs="Times New Roman"/>
      <w:sz w:val="18"/>
      <w:szCs w:val="18"/>
    </w:rPr>
  </w:style>
  <w:style w:type="character" w:customStyle="1" w:styleId="11">
    <w:name w:val="HTML Address Char Char"/>
    <w:link w:val="6"/>
    <w:semiHidden/>
    <w:qFormat/>
    <w:uiPriority w:val="0"/>
    <w:rPr>
      <w:rFonts w:ascii="Times New Roman" w:hAnsi="Times New Roman" w:cs="Times New Roman"/>
      <w:i/>
      <w:iCs/>
      <w:szCs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18</Pages>
  <Words>1099</Words>
  <Characters>6268</Characters>
  <Lines>52</Lines>
  <Paragraphs>14</Paragraphs>
  <TotalTime>1</TotalTime>
  <ScaleCrop>false</ScaleCrop>
  <LinksUpToDate>false</LinksUpToDate>
  <CharactersWithSpaces>7353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2017-08-22T01:42:00Z</dcterms:created>
  <dc:creator>微软用户</dc:creator>
  <cp:lastModifiedBy>Administrator</cp:lastModifiedBy>
  <dcterms:modified xsi:type="dcterms:W3CDTF">2024-04-10T07:53:00Z</dcterms:modified>
  <dc:title>微软用户</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63DC96AD544E4374843770502AB3FAFC</vt:lpwstr>
  </property>
</Properties>
</file>