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rPr>
          <w:rFonts w:hint="eastAsia"/>
          <w:lang w:eastAsia="zh-CN"/>
        </w:rPr>
        <w:fldChar w:fldCharType="end"/>
      </w:r>
    </w:p>
    <w:p>
      <w:pPr>
        <w:pStyle w:val="5"/>
        <w:tabs>
          <w:tab w:val="right" w:leader="dot" w:pos="14562"/>
        </w:tabs>
        <w:rPr>
          <w:rFonts w:hint="default"/>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w:t>
      </w:r>
      <w:r>
        <w:rPr>
          <w:rFonts w:hint="eastAsia"/>
          <w:lang w:eastAsia="zh-CN"/>
        </w:rPr>
        <w:fldChar w:fldCharType="end"/>
      </w:r>
      <w:r>
        <w:rPr>
          <w:rFonts w:hint="eastAsia"/>
          <w:lang w:val="en-US" w:eastAsia="zh-CN"/>
        </w:rPr>
        <w:t>0</w:t>
      </w:r>
    </w:p>
    <w:p>
      <w:pPr>
        <w:pStyle w:val="5"/>
        <w:tabs>
          <w:tab w:val="right" w:leader="dot" w:pos="14562"/>
        </w:tabs>
        <w:rPr>
          <w:lang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rPr>
          <w:rFonts w:hint="eastAsia"/>
          <w:lang w:eastAsia="zh-CN"/>
        </w:rPr>
        <w:fldChar w:fldCharType="end"/>
      </w:r>
      <w:r>
        <w:rPr>
          <w:rFonts w:hint="eastAsia"/>
          <w:lang w:val="en-US" w:eastAsia="zh-CN"/>
        </w:rPr>
        <w:t>1</w:t>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13</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5"/>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rPr>
          <w:rFonts w:hint="eastAsia"/>
          <w:lang w:eastAsia="zh-CN"/>
        </w:rPr>
        <w:fldChar w:fldCharType="end"/>
      </w:r>
      <w:r>
        <w:rPr>
          <w:rFonts w:hint="eastAsia"/>
          <w:lang w:val="en-US" w:eastAsia="zh-CN"/>
        </w:rPr>
        <w:t>5</w:t>
      </w:r>
    </w:p>
    <w:p>
      <w:pPr>
        <w:pStyle w:val="5"/>
        <w:tabs>
          <w:tab w:val="right" w:leader="dot" w:pos="14562"/>
        </w:tabs>
        <w:rPr>
          <w:lang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rPr>
          <w:rFonts w:hint="eastAsia"/>
          <w:lang w:eastAsia="zh-CN"/>
        </w:rP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default"/>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rPr>
          <w:rFonts w:hint="eastAsia"/>
          <w:lang w:eastAsia="zh-CN"/>
        </w:rPr>
        <w:fldChar w:fldCharType="end"/>
      </w:r>
      <w:r>
        <w:rPr>
          <w:rFonts w:hint="eastAsia"/>
          <w:lang w:val="en-US" w:eastAsia="zh-CN"/>
        </w:rPr>
        <w:t>7</w:t>
      </w:r>
    </w:p>
    <w:p>
      <w:pPr>
        <w:jc w:val="center"/>
      </w:pPr>
      <w:r>
        <w:fldChar w:fldCharType="end"/>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hint="eastAsia" w:ascii="方正楷体_GBK" w:hAnsi="方正楷体_GBK" w:eastAsia="方正楷体_GBK" w:cs="方正楷体_GBK"/>
          <w:b/>
          <w:color w:val="000000"/>
          <w:sz w:val="36"/>
          <w:szCs w:val="32"/>
          <w:lang w:val="en-US" w:eastAsia="zh-CN"/>
        </w:rPr>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44"/>
          <w:szCs w:val="32"/>
        </w:rPr>
      </w:pPr>
      <w:r>
        <w:rPr>
          <w:rFonts w:hint="eastAsia" w:ascii="方正楷体_GBK" w:hAnsi="方正楷体_GBK" w:eastAsia="方正楷体_GBK" w:cs="方正楷体_GBK"/>
          <w:b/>
          <w:color w:val="000000"/>
          <w:sz w:val="36"/>
          <w:szCs w:val="32"/>
          <w:lang w:val="en-US" w:eastAsia="zh-CN"/>
        </w:rPr>
        <w:t>2023年</w:t>
      </w:r>
      <w:r>
        <w:rPr>
          <w:rFonts w:ascii="方正楷体_GBK" w:hAnsi="方正楷体_GBK" w:eastAsia="方正楷体_GBK" w:cs="方正楷体_GBK"/>
          <w:b/>
          <w:color w:val="000000"/>
          <w:sz w:val="36"/>
          <w:szCs w:val="32"/>
        </w:rPr>
        <w:t>部门预算</w:t>
      </w:r>
      <w:r>
        <w:rPr>
          <w:rFonts w:hint="eastAsia" w:ascii="方正楷体_GBK" w:hAnsi="方正楷体_GBK" w:eastAsia="方正楷体_GBK" w:cs="方正楷体_GBK"/>
          <w:b/>
          <w:color w:val="000000"/>
          <w:sz w:val="36"/>
          <w:szCs w:val="32"/>
          <w:lang w:val="en-US" w:eastAsia="zh-CN"/>
        </w:rPr>
        <w:t>信息</w:t>
      </w:r>
      <w:r>
        <w:rPr>
          <w:rFonts w:ascii="方正楷体_GBK" w:hAnsi="方正楷体_GBK" w:eastAsia="方正楷体_GBK" w:cs="方正楷体_GBK"/>
          <w:b/>
          <w:color w:val="000000"/>
          <w:sz w:val="36"/>
          <w:szCs w:val="32"/>
        </w:rPr>
        <w:t>公开表</w:t>
      </w: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430无极县机关事务服务中心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1341.00</w:t>
            </w:r>
          </w:p>
        </w:tc>
        <w:tc>
          <w:tcPr>
            <w:tcW w:w="4535" w:type="dxa"/>
            <w:vAlign w:val="center"/>
          </w:tcPr>
          <w:p>
            <w:pPr>
              <w:pStyle w:val="16"/>
            </w:pPr>
            <w:r>
              <w:t>一、一般公共服务支出</w:t>
            </w:r>
          </w:p>
        </w:tc>
        <w:tc>
          <w:tcPr>
            <w:tcW w:w="2126" w:type="dxa"/>
            <w:vAlign w:val="center"/>
          </w:tcPr>
          <w:p>
            <w:pPr>
              <w:pStyle w:val="15"/>
            </w:pPr>
            <w:r>
              <w:t>1204.00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1341.00</w:t>
            </w:r>
          </w:p>
        </w:tc>
        <w:tc>
          <w:tcPr>
            <w:tcW w:w="4535" w:type="dxa"/>
            <w:vAlign w:val="center"/>
          </w:tcPr>
          <w:p>
            <w:pPr>
              <w:pStyle w:val="18"/>
            </w:pPr>
            <w:r>
              <w:t>本年支出合计</w:t>
            </w:r>
          </w:p>
        </w:tc>
        <w:tc>
          <w:tcPr>
            <w:tcW w:w="2126" w:type="dxa"/>
            <w:vAlign w:val="center"/>
          </w:tcPr>
          <w:p>
            <w:pPr>
              <w:pStyle w:val="19"/>
            </w:pPr>
            <w:r>
              <w:t>1341.00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1341.00</w:t>
            </w:r>
          </w:p>
        </w:tc>
        <w:tc>
          <w:tcPr>
            <w:tcW w:w="4535" w:type="dxa"/>
            <w:vAlign w:val="center"/>
          </w:tcPr>
          <w:p>
            <w:pPr>
              <w:pStyle w:val="18"/>
            </w:pPr>
            <w:r>
              <w:t>支出总计</w:t>
            </w:r>
          </w:p>
        </w:tc>
        <w:tc>
          <w:tcPr>
            <w:tcW w:w="2126" w:type="dxa"/>
            <w:vAlign w:val="center"/>
          </w:tcPr>
          <w:p>
            <w:pPr>
              <w:pStyle w:val="19"/>
            </w:pPr>
            <w:r>
              <w:t>1341.00</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430无极县机关事务服务中心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1341.00</w:t>
            </w:r>
          </w:p>
        </w:tc>
        <w:tc>
          <w:tcPr>
            <w:tcW w:w="1134" w:type="dxa"/>
            <w:vAlign w:val="center"/>
          </w:tcPr>
          <w:p>
            <w:pPr>
              <w:pStyle w:val="19"/>
            </w:pPr>
            <w:r>
              <w:t>1341.00</w:t>
            </w:r>
          </w:p>
        </w:tc>
        <w:tc>
          <w:tcPr>
            <w:tcW w:w="1134" w:type="dxa"/>
            <w:vAlign w:val="center"/>
          </w:tcPr>
          <w:p>
            <w:pPr>
              <w:pStyle w:val="19"/>
            </w:pPr>
            <w:r>
              <w:t>1341.00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402.30</w:t>
            </w:r>
          </w:p>
        </w:tc>
        <w:tc>
          <w:tcPr>
            <w:tcW w:w="1134" w:type="dxa"/>
            <w:vAlign w:val="center"/>
          </w:tcPr>
          <w:p>
            <w:pPr>
              <w:pStyle w:val="15"/>
            </w:pPr>
            <w:r>
              <w:t>402.30</w:t>
            </w:r>
          </w:p>
        </w:tc>
        <w:tc>
          <w:tcPr>
            <w:tcW w:w="1134" w:type="dxa"/>
            <w:vAlign w:val="center"/>
          </w:tcPr>
          <w:p>
            <w:pPr>
              <w:pStyle w:val="15"/>
            </w:pPr>
            <w:r>
              <w:t>402.30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2010304</w:t>
            </w:r>
          </w:p>
        </w:tc>
        <w:tc>
          <w:tcPr>
            <w:tcW w:w="1559" w:type="dxa"/>
            <w:vAlign w:val="center"/>
          </w:tcPr>
          <w:p>
            <w:pPr>
              <w:pStyle w:val="16"/>
            </w:pPr>
            <w:r>
              <w:t>专项服务</w:t>
            </w:r>
          </w:p>
        </w:tc>
        <w:tc>
          <w:tcPr>
            <w:tcW w:w="1134" w:type="dxa"/>
            <w:vAlign w:val="center"/>
          </w:tcPr>
          <w:p>
            <w:pPr>
              <w:pStyle w:val="15"/>
            </w:pPr>
            <w:r>
              <w:t>631.70</w:t>
            </w:r>
          </w:p>
        </w:tc>
        <w:tc>
          <w:tcPr>
            <w:tcW w:w="1134" w:type="dxa"/>
            <w:vAlign w:val="center"/>
          </w:tcPr>
          <w:p>
            <w:pPr>
              <w:pStyle w:val="15"/>
            </w:pPr>
            <w:r>
              <w:t>631.70</w:t>
            </w:r>
          </w:p>
        </w:tc>
        <w:tc>
          <w:tcPr>
            <w:tcW w:w="1134" w:type="dxa"/>
            <w:vAlign w:val="center"/>
          </w:tcPr>
          <w:p>
            <w:pPr>
              <w:pStyle w:val="15"/>
            </w:pPr>
            <w:r>
              <w:t>631.70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2010399</w:t>
            </w:r>
          </w:p>
        </w:tc>
        <w:tc>
          <w:tcPr>
            <w:tcW w:w="1559" w:type="dxa"/>
            <w:vAlign w:val="center"/>
          </w:tcPr>
          <w:p>
            <w:pPr>
              <w:pStyle w:val="16"/>
            </w:pPr>
            <w:r>
              <w:t>其他政府办公厅（室）及相关机构事务支出</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32.00</w:t>
            </w:r>
          </w:p>
        </w:tc>
        <w:tc>
          <w:tcPr>
            <w:tcW w:w="1134" w:type="dxa"/>
            <w:vAlign w:val="center"/>
          </w:tcPr>
          <w:p>
            <w:pPr>
              <w:pStyle w:val="15"/>
            </w:pPr>
            <w:r>
              <w:t>32.00</w:t>
            </w:r>
          </w:p>
        </w:tc>
        <w:tc>
          <w:tcPr>
            <w:tcW w:w="1134" w:type="dxa"/>
            <w:vAlign w:val="center"/>
          </w:tcPr>
          <w:p>
            <w:pPr>
              <w:pStyle w:val="15"/>
            </w:pPr>
            <w:r>
              <w:t>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1341.00</w:t>
            </w:r>
          </w:p>
        </w:tc>
        <w:tc>
          <w:tcPr>
            <w:tcW w:w="1361" w:type="dxa"/>
            <w:vAlign w:val="center"/>
          </w:tcPr>
          <w:p>
            <w:pPr>
              <w:pStyle w:val="19"/>
            </w:pPr>
            <w:r>
              <w:t>539.30</w:t>
            </w:r>
          </w:p>
        </w:tc>
        <w:tc>
          <w:tcPr>
            <w:tcW w:w="1361" w:type="dxa"/>
            <w:vAlign w:val="center"/>
          </w:tcPr>
          <w:p>
            <w:pPr>
              <w:pStyle w:val="19"/>
            </w:pPr>
            <w:r>
              <w:t>801.70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1204.00</w:t>
            </w:r>
          </w:p>
        </w:tc>
        <w:tc>
          <w:tcPr>
            <w:tcW w:w="1361" w:type="dxa"/>
            <w:vAlign w:val="center"/>
          </w:tcPr>
          <w:p>
            <w:pPr>
              <w:pStyle w:val="15"/>
            </w:pPr>
            <w:r>
              <w:t>402.30</w:t>
            </w:r>
          </w:p>
        </w:tc>
        <w:tc>
          <w:tcPr>
            <w:tcW w:w="1361" w:type="dxa"/>
            <w:vAlign w:val="center"/>
          </w:tcPr>
          <w:p>
            <w:pPr>
              <w:pStyle w:val="15"/>
            </w:pPr>
            <w:r>
              <w:t>801.70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1204.00</w:t>
            </w:r>
          </w:p>
        </w:tc>
        <w:tc>
          <w:tcPr>
            <w:tcW w:w="1361" w:type="dxa"/>
            <w:vAlign w:val="center"/>
          </w:tcPr>
          <w:p>
            <w:pPr>
              <w:pStyle w:val="15"/>
            </w:pPr>
            <w:r>
              <w:t>402.30</w:t>
            </w:r>
          </w:p>
        </w:tc>
        <w:tc>
          <w:tcPr>
            <w:tcW w:w="1361" w:type="dxa"/>
            <w:vAlign w:val="center"/>
          </w:tcPr>
          <w:p>
            <w:pPr>
              <w:pStyle w:val="15"/>
            </w:pPr>
            <w:r>
              <w:t>801.70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402.30</w:t>
            </w:r>
          </w:p>
        </w:tc>
        <w:tc>
          <w:tcPr>
            <w:tcW w:w="1361" w:type="dxa"/>
            <w:vAlign w:val="center"/>
          </w:tcPr>
          <w:p>
            <w:pPr>
              <w:pStyle w:val="15"/>
            </w:pPr>
            <w:r>
              <w:t>402.30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2010304</w:t>
            </w:r>
          </w:p>
        </w:tc>
        <w:tc>
          <w:tcPr>
            <w:tcW w:w="4535" w:type="dxa"/>
            <w:vAlign w:val="center"/>
          </w:tcPr>
          <w:p>
            <w:pPr>
              <w:pStyle w:val="16"/>
            </w:pPr>
            <w:r>
              <w:t>专项服务</w:t>
            </w:r>
          </w:p>
        </w:tc>
        <w:tc>
          <w:tcPr>
            <w:tcW w:w="1361" w:type="dxa"/>
            <w:vAlign w:val="center"/>
          </w:tcPr>
          <w:p>
            <w:pPr>
              <w:pStyle w:val="15"/>
            </w:pPr>
            <w:r>
              <w:t>631.70</w:t>
            </w:r>
          </w:p>
        </w:tc>
        <w:tc>
          <w:tcPr>
            <w:tcW w:w="1361" w:type="dxa"/>
            <w:vAlign w:val="center"/>
          </w:tcPr>
          <w:p>
            <w:pPr>
              <w:pStyle w:val="15"/>
            </w:pPr>
          </w:p>
        </w:tc>
        <w:tc>
          <w:tcPr>
            <w:tcW w:w="1361" w:type="dxa"/>
            <w:vAlign w:val="center"/>
          </w:tcPr>
          <w:p>
            <w:pPr>
              <w:pStyle w:val="15"/>
            </w:pPr>
            <w:r>
              <w:t>631.70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2010399</w:t>
            </w:r>
          </w:p>
        </w:tc>
        <w:tc>
          <w:tcPr>
            <w:tcW w:w="4535" w:type="dxa"/>
            <w:vAlign w:val="center"/>
          </w:tcPr>
          <w:p>
            <w:pPr>
              <w:pStyle w:val="16"/>
            </w:pPr>
            <w:r>
              <w:t>其他政府办公厅（室）及相关机构事务支出</w:t>
            </w: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119.00</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119.00</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32.00</w:t>
            </w:r>
          </w:p>
        </w:tc>
        <w:tc>
          <w:tcPr>
            <w:tcW w:w="1361" w:type="dxa"/>
            <w:vAlign w:val="center"/>
          </w:tcPr>
          <w:p>
            <w:pPr>
              <w:pStyle w:val="15"/>
            </w:pPr>
            <w:r>
              <w:t>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75.00</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1341.00</w:t>
            </w:r>
          </w:p>
        </w:tc>
        <w:tc>
          <w:tcPr>
            <w:tcW w:w="3402" w:type="dxa"/>
            <w:vAlign w:val="center"/>
          </w:tcPr>
          <w:p>
            <w:pPr>
              <w:pStyle w:val="16"/>
            </w:pPr>
            <w:r>
              <w:t>一、一般公共服务支出</w:t>
            </w:r>
          </w:p>
        </w:tc>
        <w:tc>
          <w:tcPr>
            <w:tcW w:w="1474" w:type="dxa"/>
            <w:vAlign w:val="center"/>
          </w:tcPr>
          <w:p>
            <w:pPr>
              <w:pStyle w:val="15"/>
            </w:pPr>
            <w:r>
              <w:t>1204.00</w:t>
            </w:r>
          </w:p>
        </w:tc>
        <w:tc>
          <w:tcPr>
            <w:tcW w:w="1474" w:type="dxa"/>
            <w:vAlign w:val="center"/>
          </w:tcPr>
          <w:p>
            <w:pPr>
              <w:pStyle w:val="15"/>
            </w:pPr>
            <w:r>
              <w:t>1204.00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119.00</w:t>
            </w:r>
          </w:p>
        </w:tc>
        <w:tc>
          <w:tcPr>
            <w:tcW w:w="1474" w:type="dxa"/>
            <w:vAlign w:val="center"/>
          </w:tcPr>
          <w:p>
            <w:pPr>
              <w:pStyle w:val="15"/>
            </w:pPr>
            <w:r>
              <w:t>119.00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18.00</w:t>
            </w:r>
          </w:p>
        </w:tc>
        <w:tc>
          <w:tcPr>
            <w:tcW w:w="1474" w:type="dxa"/>
            <w:vAlign w:val="center"/>
          </w:tcPr>
          <w:p>
            <w:pPr>
              <w:pStyle w:val="15"/>
            </w:pPr>
            <w:r>
              <w:t>18.00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1341.00</w:t>
            </w:r>
          </w:p>
        </w:tc>
        <w:tc>
          <w:tcPr>
            <w:tcW w:w="3402" w:type="dxa"/>
            <w:vAlign w:val="center"/>
          </w:tcPr>
          <w:p>
            <w:pPr>
              <w:pStyle w:val="18"/>
            </w:pPr>
            <w:r>
              <w:t>本年支出合计</w:t>
            </w:r>
          </w:p>
        </w:tc>
        <w:tc>
          <w:tcPr>
            <w:tcW w:w="1474" w:type="dxa"/>
            <w:vAlign w:val="center"/>
          </w:tcPr>
          <w:p>
            <w:pPr>
              <w:pStyle w:val="19"/>
            </w:pPr>
            <w:r>
              <w:t>1341.00</w:t>
            </w:r>
          </w:p>
        </w:tc>
        <w:tc>
          <w:tcPr>
            <w:tcW w:w="1474" w:type="dxa"/>
            <w:vAlign w:val="center"/>
          </w:tcPr>
          <w:p>
            <w:pPr>
              <w:pStyle w:val="19"/>
            </w:pPr>
            <w:r>
              <w:t>1341.00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1341.00</w:t>
            </w:r>
          </w:p>
        </w:tc>
        <w:tc>
          <w:tcPr>
            <w:tcW w:w="3402" w:type="dxa"/>
            <w:vAlign w:val="center"/>
          </w:tcPr>
          <w:p>
            <w:pPr>
              <w:pStyle w:val="18"/>
            </w:pPr>
            <w:r>
              <w:t>支出总计</w:t>
            </w:r>
          </w:p>
        </w:tc>
        <w:tc>
          <w:tcPr>
            <w:tcW w:w="1474" w:type="dxa"/>
            <w:vAlign w:val="center"/>
          </w:tcPr>
          <w:p>
            <w:pPr>
              <w:pStyle w:val="19"/>
            </w:pPr>
            <w:r>
              <w:t>1341.00</w:t>
            </w:r>
          </w:p>
        </w:tc>
        <w:tc>
          <w:tcPr>
            <w:tcW w:w="1474" w:type="dxa"/>
            <w:vAlign w:val="center"/>
          </w:tcPr>
          <w:p>
            <w:pPr>
              <w:pStyle w:val="19"/>
            </w:pPr>
            <w:r>
              <w:t>1341.00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1341.00</w:t>
            </w:r>
          </w:p>
        </w:tc>
        <w:tc>
          <w:tcPr>
            <w:tcW w:w="2551" w:type="dxa"/>
            <w:vAlign w:val="center"/>
          </w:tcPr>
          <w:p>
            <w:pPr>
              <w:pStyle w:val="19"/>
            </w:pPr>
            <w:r>
              <w:t>539.30</w:t>
            </w:r>
          </w:p>
        </w:tc>
        <w:tc>
          <w:tcPr>
            <w:tcW w:w="2551" w:type="dxa"/>
            <w:vAlign w:val="center"/>
          </w:tcPr>
          <w:p>
            <w:pPr>
              <w:pStyle w:val="19"/>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1204.00</w:t>
            </w:r>
          </w:p>
        </w:tc>
        <w:tc>
          <w:tcPr>
            <w:tcW w:w="2551" w:type="dxa"/>
            <w:vAlign w:val="center"/>
          </w:tcPr>
          <w:p>
            <w:pPr>
              <w:pStyle w:val="15"/>
            </w:pPr>
            <w:r>
              <w:t>402.30</w:t>
            </w:r>
          </w:p>
        </w:tc>
        <w:tc>
          <w:tcPr>
            <w:tcW w:w="2551" w:type="dxa"/>
            <w:vAlign w:val="center"/>
          </w:tcPr>
          <w:p>
            <w:pPr>
              <w:pStyle w:val="15"/>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1204.00</w:t>
            </w:r>
          </w:p>
        </w:tc>
        <w:tc>
          <w:tcPr>
            <w:tcW w:w="2551" w:type="dxa"/>
            <w:vAlign w:val="center"/>
          </w:tcPr>
          <w:p>
            <w:pPr>
              <w:pStyle w:val="15"/>
            </w:pPr>
            <w:r>
              <w:t>402.30</w:t>
            </w:r>
          </w:p>
        </w:tc>
        <w:tc>
          <w:tcPr>
            <w:tcW w:w="2551" w:type="dxa"/>
            <w:vAlign w:val="center"/>
          </w:tcPr>
          <w:p>
            <w:pPr>
              <w:pStyle w:val="15"/>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402.30</w:t>
            </w:r>
          </w:p>
        </w:tc>
        <w:tc>
          <w:tcPr>
            <w:tcW w:w="2551" w:type="dxa"/>
            <w:vAlign w:val="center"/>
          </w:tcPr>
          <w:p>
            <w:pPr>
              <w:pStyle w:val="15"/>
            </w:pPr>
            <w:r>
              <w:t>402.30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2010304</w:t>
            </w:r>
          </w:p>
        </w:tc>
        <w:tc>
          <w:tcPr>
            <w:tcW w:w="4535" w:type="dxa"/>
            <w:vAlign w:val="center"/>
          </w:tcPr>
          <w:p>
            <w:pPr>
              <w:pStyle w:val="16"/>
            </w:pPr>
            <w:r>
              <w:t>专项服务</w:t>
            </w:r>
          </w:p>
        </w:tc>
        <w:tc>
          <w:tcPr>
            <w:tcW w:w="2551" w:type="dxa"/>
            <w:vAlign w:val="center"/>
          </w:tcPr>
          <w:p>
            <w:pPr>
              <w:pStyle w:val="15"/>
            </w:pPr>
            <w:r>
              <w:t>631.70</w:t>
            </w:r>
          </w:p>
        </w:tc>
        <w:tc>
          <w:tcPr>
            <w:tcW w:w="2551" w:type="dxa"/>
            <w:vAlign w:val="center"/>
          </w:tcPr>
          <w:p>
            <w:pPr>
              <w:pStyle w:val="15"/>
            </w:pPr>
          </w:p>
        </w:tc>
        <w:tc>
          <w:tcPr>
            <w:tcW w:w="2551" w:type="dxa"/>
            <w:vAlign w:val="center"/>
          </w:tcPr>
          <w:p>
            <w:pPr>
              <w:pStyle w:val="15"/>
            </w:pPr>
            <w:r>
              <w:t>631.70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2010399</w:t>
            </w:r>
          </w:p>
        </w:tc>
        <w:tc>
          <w:tcPr>
            <w:tcW w:w="4535" w:type="dxa"/>
            <w:vAlign w:val="center"/>
          </w:tcPr>
          <w:p>
            <w:pPr>
              <w:pStyle w:val="16"/>
            </w:pPr>
            <w:r>
              <w:t>其他政府办公厅（室）及相关机构事务支出</w:t>
            </w:r>
          </w:p>
        </w:tc>
        <w:tc>
          <w:tcPr>
            <w:tcW w:w="2551" w:type="dxa"/>
            <w:vAlign w:val="center"/>
          </w:tcPr>
          <w:p>
            <w:pPr>
              <w:pStyle w:val="15"/>
            </w:pPr>
            <w:r>
              <w:t>170.00</w:t>
            </w:r>
          </w:p>
        </w:tc>
        <w:tc>
          <w:tcPr>
            <w:tcW w:w="2551" w:type="dxa"/>
            <w:vAlign w:val="center"/>
          </w:tcPr>
          <w:p>
            <w:pPr>
              <w:pStyle w:val="15"/>
            </w:pPr>
          </w:p>
        </w:tc>
        <w:tc>
          <w:tcPr>
            <w:tcW w:w="2551" w:type="dxa"/>
            <w:vAlign w:val="center"/>
          </w:tcPr>
          <w:p>
            <w:pPr>
              <w:pStyle w:val="15"/>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119.00</w:t>
            </w:r>
          </w:p>
        </w:tc>
        <w:tc>
          <w:tcPr>
            <w:tcW w:w="2551" w:type="dxa"/>
            <w:vAlign w:val="center"/>
          </w:tcPr>
          <w:p>
            <w:pPr>
              <w:pStyle w:val="15"/>
            </w:pPr>
            <w:r>
              <w:t>119.00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119.00</w:t>
            </w:r>
          </w:p>
        </w:tc>
        <w:tc>
          <w:tcPr>
            <w:tcW w:w="2551" w:type="dxa"/>
            <w:vAlign w:val="center"/>
          </w:tcPr>
          <w:p>
            <w:pPr>
              <w:pStyle w:val="15"/>
            </w:pPr>
            <w:r>
              <w:t>119.00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32.00</w:t>
            </w:r>
          </w:p>
        </w:tc>
        <w:tc>
          <w:tcPr>
            <w:tcW w:w="2551" w:type="dxa"/>
            <w:vAlign w:val="center"/>
          </w:tcPr>
          <w:p>
            <w:pPr>
              <w:pStyle w:val="15"/>
            </w:pPr>
            <w:r>
              <w:t>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539.30</w:t>
            </w:r>
          </w:p>
        </w:tc>
        <w:tc>
          <w:tcPr>
            <w:tcW w:w="2551" w:type="dxa"/>
            <w:vAlign w:val="center"/>
          </w:tcPr>
          <w:p>
            <w:pPr>
              <w:pStyle w:val="19"/>
            </w:pPr>
            <w:r>
              <w:t>362.50</w:t>
            </w:r>
          </w:p>
        </w:tc>
        <w:tc>
          <w:tcPr>
            <w:tcW w:w="2551" w:type="dxa"/>
            <w:vAlign w:val="center"/>
          </w:tcPr>
          <w:p>
            <w:pPr>
              <w:pStyle w:val="19"/>
            </w:pPr>
            <w:r>
              <w:t>176.80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310.40</w:t>
            </w:r>
          </w:p>
        </w:tc>
        <w:tc>
          <w:tcPr>
            <w:tcW w:w="2551" w:type="dxa"/>
            <w:vAlign w:val="center"/>
          </w:tcPr>
          <w:p>
            <w:pPr>
              <w:pStyle w:val="15"/>
            </w:pPr>
            <w:r>
              <w:t>310.40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106.00</w:t>
            </w:r>
          </w:p>
        </w:tc>
        <w:tc>
          <w:tcPr>
            <w:tcW w:w="2551" w:type="dxa"/>
            <w:vAlign w:val="center"/>
          </w:tcPr>
          <w:p>
            <w:pPr>
              <w:pStyle w:val="15"/>
            </w:pPr>
            <w:r>
              <w:t>106.00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15.40</w:t>
            </w:r>
          </w:p>
        </w:tc>
        <w:tc>
          <w:tcPr>
            <w:tcW w:w="2551" w:type="dxa"/>
            <w:vAlign w:val="center"/>
          </w:tcPr>
          <w:p>
            <w:pPr>
              <w:pStyle w:val="15"/>
            </w:pPr>
            <w:r>
              <w:t>15.40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5.00</w:t>
            </w:r>
          </w:p>
        </w:tc>
        <w:tc>
          <w:tcPr>
            <w:tcW w:w="2551" w:type="dxa"/>
            <w:vAlign w:val="center"/>
          </w:tcPr>
          <w:p>
            <w:pPr>
              <w:pStyle w:val="15"/>
            </w:pPr>
            <w:r>
              <w:t>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176.80</w:t>
            </w:r>
          </w:p>
        </w:tc>
        <w:tc>
          <w:tcPr>
            <w:tcW w:w="2551" w:type="dxa"/>
            <w:vAlign w:val="center"/>
          </w:tcPr>
          <w:p>
            <w:pPr>
              <w:pStyle w:val="15"/>
            </w:pPr>
          </w:p>
        </w:tc>
        <w:tc>
          <w:tcPr>
            <w:tcW w:w="2551" w:type="dxa"/>
            <w:vAlign w:val="center"/>
          </w:tcPr>
          <w:p>
            <w:pPr>
              <w:pStyle w:val="15"/>
            </w:pPr>
            <w:r>
              <w:t>176.80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175.00</w:t>
            </w:r>
          </w:p>
        </w:tc>
        <w:tc>
          <w:tcPr>
            <w:tcW w:w="2551" w:type="dxa"/>
            <w:vAlign w:val="center"/>
          </w:tcPr>
          <w:p>
            <w:pPr>
              <w:pStyle w:val="15"/>
            </w:pPr>
          </w:p>
        </w:tc>
        <w:tc>
          <w:tcPr>
            <w:tcW w:w="2551"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52.10</w:t>
            </w:r>
          </w:p>
        </w:tc>
        <w:tc>
          <w:tcPr>
            <w:tcW w:w="2551" w:type="dxa"/>
            <w:vAlign w:val="center"/>
          </w:tcPr>
          <w:p>
            <w:pPr>
              <w:pStyle w:val="15"/>
            </w:pPr>
            <w:r>
              <w:t>52.10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52.10</w:t>
            </w:r>
          </w:p>
        </w:tc>
        <w:tc>
          <w:tcPr>
            <w:tcW w:w="2551" w:type="dxa"/>
            <w:vAlign w:val="center"/>
          </w:tcPr>
          <w:p>
            <w:pPr>
              <w:pStyle w:val="15"/>
            </w:pPr>
            <w:r>
              <w:t>52.10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430无极县机关事务服务中心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无极县机关事务服务中心2023年部门预算信息公开情况说明</w:t>
      </w:r>
    </w:p>
    <w:p>
      <w:pPr>
        <w:jc w:val="center"/>
      </w:pPr>
      <w:r>
        <w:rPr>
          <w:rFonts w:ascii="方正小标宋_GBK" w:hAnsi="方正小标宋_GBK" w:eastAsia="方正小标宋_GBK" w:cs="方正小标宋_GBK"/>
          <w:color w:val="000000"/>
          <w:sz w:val="44"/>
        </w:rPr>
        <w:t>无极县机关事务服务中心2023年部门预算信息公开情况说明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、《地方预决算公开操作规程》和《关于进一步推进预算公开工作的实施意见》规定，现将无极县机关事务服务中心2023年部门预算公开如下：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无极县机关事务服务中心本极</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22"/>
      </w:pPr>
      <w:r>
        <w:t>按照预算管理有关规定，目前我部门预算的编制实行综合预算管理，即全部收入和支出都反映在</w:t>
      </w:r>
      <w:r>
        <w:rPr>
          <w:rFonts w:hint="eastAsia"/>
          <w:lang w:val="en-US" w:eastAsia="zh-CN"/>
        </w:rPr>
        <w:t>部门</w:t>
      </w:r>
      <w:r>
        <w:t>预算中。无极县机关事务服务中心的收支包含在部门预算中。</w:t>
      </w:r>
    </w:p>
    <w:p>
      <w:pPr>
        <w:pStyle w:val="22"/>
        <w:ind w:firstLineChars="200"/>
        <w:rPr>
          <w:color w:val="000000" w:themeColor="text1"/>
        </w:rPr>
      </w:pPr>
      <w:r>
        <w:rPr>
          <w:rFonts w:hint="eastAsia"/>
          <w:color w:val="000000" w:themeColor="text1"/>
        </w:rPr>
        <w:t xml:space="preserve">1、收入说明 </w:t>
      </w:r>
    </w:p>
    <w:p>
      <w:pPr>
        <w:pStyle w:val="22"/>
        <w:rPr>
          <w:color w:val="000000" w:themeColor="text1"/>
        </w:rPr>
      </w:pPr>
      <w:r>
        <w:rPr>
          <w:rFonts w:hint="eastAsia"/>
          <w:color w:val="000000" w:themeColor="text1"/>
        </w:rPr>
        <w:t>反映本部门当年全部收入，202</w:t>
      </w:r>
      <w:r>
        <w:rPr>
          <w:rFonts w:hint="eastAsia"/>
          <w:color w:val="000000" w:themeColor="text1"/>
          <w:lang w:eastAsia="zh-CN"/>
        </w:rPr>
        <w:t>3</w:t>
      </w:r>
      <w:r>
        <w:rPr>
          <w:rFonts w:hint="eastAsia"/>
          <w:color w:val="000000" w:themeColor="text1"/>
        </w:rPr>
        <w:t>年</w:t>
      </w:r>
      <w:r>
        <w:rPr>
          <w:rFonts w:hint="eastAsia"/>
          <w:color w:val="000000" w:themeColor="text1"/>
          <w:lang w:val="en-US" w:eastAsia="zh-CN"/>
        </w:rPr>
        <w:t>部门</w:t>
      </w:r>
      <w:r>
        <w:rPr>
          <w:rFonts w:hint="eastAsia"/>
          <w:color w:val="000000" w:themeColor="text1"/>
        </w:rPr>
        <w:t>预算收入</w:t>
      </w:r>
      <w:r>
        <w:t>1341</w:t>
      </w:r>
      <w:r>
        <w:rPr>
          <w:rFonts w:hint="eastAsia"/>
          <w:color w:val="000000" w:themeColor="text1"/>
        </w:rPr>
        <w:t>万元，其中：一般公共预算拨款</w:t>
      </w:r>
      <w:r>
        <w:t>1341</w:t>
      </w:r>
      <w:r>
        <w:rPr>
          <w:rFonts w:hint="eastAsia"/>
          <w:color w:val="000000" w:themeColor="text1"/>
        </w:rPr>
        <w:t>万元，基金预算拨款0万元，财政专户核拨0万元，其他来源收入0万元。</w:t>
      </w:r>
    </w:p>
    <w:p>
      <w:pPr>
        <w:pStyle w:val="22"/>
        <w:rPr>
          <w:color w:val="000000" w:themeColor="text1"/>
        </w:rPr>
      </w:pPr>
      <w:r>
        <w:rPr>
          <w:rFonts w:hint="eastAsia"/>
          <w:color w:val="000000" w:themeColor="text1"/>
        </w:rPr>
        <w:t>2、支出说明</w:t>
      </w:r>
    </w:p>
    <w:p>
      <w:pPr>
        <w:pStyle w:val="22"/>
        <w:rPr>
          <w:color w:val="000000" w:themeColor="text1"/>
          <w:lang w:eastAsia="zh-CN"/>
        </w:rPr>
      </w:pPr>
      <w:r>
        <w:rPr>
          <w:rFonts w:hint="eastAsia"/>
          <w:color w:val="000000" w:themeColor="text1"/>
        </w:rPr>
        <w:t>收支预算总表支出栏、基本支出表、项目支出表按经济分类和支出功能分类科目编制，反映</w:t>
      </w:r>
      <w:r>
        <w:rPr>
          <w:rFonts w:hint="eastAsia"/>
          <w:color w:val="000000" w:themeColor="text1"/>
          <w:lang w:eastAsia="zh-CN"/>
        </w:rPr>
        <w:t>我</w:t>
      </w:r>
      <w:r>
        <w:rPr>
          <w:rFonts w:hint="eastAsia"/>
          <w:color w:val="000000" w:themeColor="text1"/>
        </w:rPr>
        <w:t>部门预算中支出预算的总体情况。202</w:t>
      </w:r>
      <w:r>
        <w:rPr>
          <w:rFonts w:hint="eastAsia"/>
          <w:color w:val="000000" w:themeColor="text1"/>
          <w:lang w:eastAsia="zh-CN"/>
        </w:rPr>
        <w:t>3</w:t>
      </w:r>
      <w:r>
        <w:rPr>
          <w:rFonts w:hint="eastAsia"/>
          <w:color w:val="000000" w:themeColor="text1"/>
        </w:rPr>
        <w:t>年部门支出预算为</w:t>
      </w:r>
      <w:r>
        <w:t>1341</w:t>
      </w:r>
      <w:r>
        <w:rPr>
          <w:rFonts w:hint="eastAsia"/>
          <w:color w:val="000000" w:themeColor="text1"/>
        </w:rPr>
        <w:t>万元，其中基本支出</w:t>
      </w:r>
      <w:r>
        <w:rPr>
          <w:rFonts w:hint="eastAsia"/>
          <w:color w:val="000000" w:themeColor="text1"/>
          <w:lang w:eastAsia="zh-CN"/>
        </w:rPr>
        <w:t>539.3万</w:t>
      </w:r>
      <w:r>
        <w:rPr>
          <w:rFonts w:hint="eastAsia"/>
          <w:color w:val="000000" w:themeColor="text1"/>
        </w:rPr>
        <w:t>元，包括人员经费</w:t>
      </w:r>
      <w:r>
        <w:rPr>
          <w:rFonts w:hint="eastAsia"/>
          <w:color w:val="000000" w:themeColor="text1"/>
          <w:lang w:eastAsia="zh-CN"/>
        </w:rPr>
        <w:t>362.5</w:t>
      </w:r>
      <w:r>
        <w:rPr>
          <w:rFonts w:hint="eastAsia"/>
          <w:color w:val="000000" w:themeColor="text1"/>
        </w:rPr>
        <w:t>万元和日常公用经费</w:t>
      </w:r>
      <w:r>
        <w:rPr>
          <w:rFonts w:hint="eastAsia"/>
          <w:color w:val="000000" w:themeColor="text1"/>
          <w:lang w:eastAsia="zh-CN"/>
        </w:rPr>
        <w:t>176.8</w:t>
      </w:r>
      <w:r>
        <w:rPr>
          <w:rFonts w:hint="eastAsia"/>
          <w:color w:val="000000" w:themeColor="text1"/>
        </w:rPr>
        <w:t>万元；项目支出</w:t>
      </w:r>
      <w:r>
        <w:t>801.7</w:t>
      </w:r>
      <w:r>
        <w:rPr>
          <w:rFonts w:hint="eastAsia"/>
          <w:color w:val="000000" w:themeColor="text1"/>
        </w:rPr>
        <w:t>万元，主要为</w:t>
      </w:r>
      <w:r>
        <w:rPr>
          <w:rFonts w:hint="eastAsia"/>
          <w:color w:val="000000" w:themeColor="text1"/>
          <w:lang w:eastAsia="zh-CN"/>
        </w:rPr>
        <w:t xml:space="preserve">机关事务 。   </w:t>
      </w:r>
    </w:p>
    <w:p>
      <w:pPr>
        <w:pStyle w:val="22"/>
        <w:rPr>
          <w:color w:val="000000" w:themeColor="text1"/>
        </w:rPr>
      </w:pPr>
      <w:r>
        <w:rPr>
          <w:rFonts w:hint="eastAsia"/>
          <w:color w:val="000000" w:themeColor="text1"/>
        </w:rPr>
        <w:t>3、比上年增减情况</w:t>
      </w:r>
    </w:p>
    <w:p>
      <w:pPr>
        <w:pStyle w:val="22"/>
      </w:pPr>
      <w:r>
        <w:rPr>
          <w:rFonts w:hint="eastAsia"/>
          <w:color w:val="000000" w:themeColor="text1"/>
        </w:rPr>
        <w:t>202</w:t>
      </w:r>
      <w:r>
        <w:rPr>
          <w:rFonts w:hint="eastAsia"/>
          <w:color w:val="000000" w:themeColor="text1"/>
          <w:lang w:eastAsia="zh-CN"/>
        </w:rPr>
        <w:t>3</w:t>
      </w:r>
      <w:r>
        <w:rPr>
          <w:rFonts w:hint="eastAsia"/>
          <w:color w:val="000000" w:themeColor="text1"/>
        </w:rPr>
        <w:t>年部门预算支出较202</w:t>
      </w:r>
      <w:r>
        <w:rPr>
          <w:rFonts w:hint="eastAsia"/>
          <w:color w:val="000000" w:themeColor="text1"/>
          <w:lang w:eastAsia="zh-CN"/>
        </w:rPr>
        <w:t>2</w:t>
      </w:r>
      <w:r>
        <w:rPr>
          <w:rFonts w:hint="eastAsia"/>
          <w:color w:val="000000" w:themeColor="text1"/>
        </w:rPr>
        <w:t>年</w:t>
      </w:r>
      <w:r>
        <w:rPr>
          <w:rFonts w:hint="eastAsia"/>
          <w:color w:val="000000" w:themeColor="text1"/>
          <w:lang w:eastAsia="zh-CN"/>
        </w:rPr>
        <w:t>增加226.2</w:t>
      </w:r>
      <w:r>
        <w:rPr>
          <w:rFonts w:hint="eastAsia"/>
          <w:color w:val="000000" w:themeColor="text1"/>
        </w:rPr>
        <w:t>万元，其中：基本支出</w:t>
      </w:r>
      <w:r>
        <w:rPr>
          <w:rFonts w:hint="eastAsia"/>
          <w:color w:val="000000" w:themeColor="text1"/>
          <w:lang w:eastAsia="zh-CN"/>
        </w:rPr>
        <w:t>增加303.6</w:t>
      </w:r>
      <w:r>
        <w:rPr>
          <w:rFonts w:hint="eastAsia"/>
          <w:color w:val="000000" w:themeColor="text1"/>
        </w:rPr>
        <w:t>万元；项目支出</w:t>
      </w:r>
      <w:r>
        <w:rPr>
          <w:rFonts w:hint="eastAsia"/>
          <w:color w:val="000000" w:themeColor="text1"/>
          <w:lang w:eastAsia="zh-CN"/>
        </w:rPr>
        <w:t>减少77.4</w:t>
      </w:r>
      <w:r>
        <w:rPr>
          <w:rFonts w:hint="eastAsia"/>
          <w:color w:val="000000" w:themeColor="text1"/>
        </w:rPr>
        <w:t>万元，主要是</w:t>
      </w:r>
      <w:r>
        <w:rPr>
          <w:rFonts w:hint="eastAsia"/>
          <w:color w:val="000000" w:themeColor="text1"/>
          <w:lang w:eastAsia="zh-CN"/>
        </w:rPr>
        <w:t>项目支出减少</w:t>
      </w:r>
      <w:r>
        <w:rPr>
          <w:rFonts w:hint="eastAsia"/>
          <w:color w:val="000000" w:themeColor="text1"/>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176.8万元，主要用于保证机关正常运转的办公及印刷费、邮电费、差旅费、会议费、福利费、专用材料及一般设备购置费、办公用房水电费、办公用房取暖费、日常修费、办公楼物业管理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lang w:eastAsia="zh-CN"/>
        </w:rPr>
      </w:pPr>
      <w:r>
        <w:t>2023年，我部门财政拨款“三公”经费预算安排0万元，与上年持平。其中：因公出国（境）费0万元；公务用车购置及运维费0万元（其中：公务用车购置费0万元，公务用车运行维护费0万元)；公务接待费0万元。</w:t>
      </w:r>
      <w:bookmarkStart w:id="13" w:name="_Toc_3_3_0000000014"/>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5"/>
      </w:pPr>
      <w:r>
        <w:t>（一）总体绩效目标</w:t>
      </w:r>
    </w:p>
    <w:p>
      <w:pPr>
        <w:pStyle w:val="25"/>
      </w:pPr>
      <w:r>
        <w:t>县直房地产管理，资产、节能管理以及县级政府采购事项。</w:t>
      </w:r>
    </w:p>
    <w:p>
      <w:pPr>
        <w:pStyle w:val="25"/>
      </w:pPr>
      <w:r>
        <w:t>规范管理、合理使用县区房地产；加强县直住房改革保障管理工作</w:t>
      </w:r>
      <w:r>
        <w:rPr>
          <w:rFonts w:hint="eastAsia"/>
          <w:lang w:eastAsia="zh-CN"/>
        </w:rPr>
        <w:t>。</w:t>
      </w:r>
    </w:p>
    <w:p>
      <w:pPr>
        <w:pStyle w:val="25"/>
      </w:pPr>
      <w:r>
        <w:t>资产、节能管理</w:t>
      </w:r>
      <w:r>
        <w:rPr>
          <w:rFonts w:hint="eastAsia"/>
          <w:lang w:eastAsia="zh-CN"/>
        </w:rPr>
        <w:t>。</w:t>
      </w:r>
    </w:p>
    <w:p>
      <w:pPr>
        <w:pStyle w:val="25"/>
      </w:pPr>
      <w:r>
        <w:t>加强县直行政机关国有资产管理，维护国有资产安全和完整。深入推进全县公共机构节能工作</w:t>
      </w:r>
      <w:r>
        <w:rPr>
          <w:rFonts w:hint="eastAsia"/>
          <w:lang w:eastAsia="zh-CN"/>
        </w:rPr>
        <w:t>。</w:t>
      </w:r>
    </w:p>
    <w:p>
      <w:pPr>
        <w:pStyle w:val="25"/>
      </w:pPr>
      <w:r>
        <w:t>对既有建筑制定节能改造计划。</w:t>
      </w:r>
    </w:p>
    <w:p>
      <w:pPr>
        <w:pStyle w:val="25"/>
      </w:pPr>
      <w:r>
        <w:t>负责机关办公用房管理、公务用车的统计、上报工作。</w:t>
      </w:r>
    </w:p>
    <w:p>
      <w:pPr>
        <w:spacing w:line="500" w:lineRule="exact"/>
        <w:ind w:firstLine="560"/>
      </w:pPr>
      <w:r>
        <w:rPr>
          <w:rFonts w:eastAsia="方正仿宋_GBK" w:cs="Times New Roman"/>
          <w:color w:val="000000"/>
          <w:sz w:val="28"/>
        </w:rPr>
        <w:t>（二）分项绩效目标</w:t>
      </w:r>
    </w:p>
    <w:p>
      <w:pPr>
        <w:pStyle w:val="26"/>
      </w:pPr>
      <w:r>
        <w:t>通信保障</w:t>
      </w:r>
    </w:p>
    <w:p>
      <w:pPr>
        <w:pStyle w:val="26"/>
      </w:pPr>
      <w:r>
        <w:t>搞好各种服务保障，确保通信畅通。通信管理和保障。加强线路改造；完善、拓展县直通信固话、宽带网咯建设；确保通信联络畅通。承担系统综合业务管理和部门综合事务管理。促进全县机关事务管理工作科学发展及综合业务管理。</w:t>
      </w:r>
    </w:p>
    <w:p>
      <w:pPr>
        <w:spacing w:line="500" w:lineRule="exact"/>
        <w:ind w:firstLine="560"/>
      </w:pPr>
      <w:r>
        <w:rPr>
          <w:rFonts w:eastAsia="方正仿宋_GBK" w:cs="Times New Roman"/>
          <w:color w:val="000000"/>
          <w:sz w:val="28"/>
        </w:rPr>
        <w:t>（三）工作保障措施</w:t>
      </w:r>
    </w:p>
    <w:p>
      <w:pPr>
        <w:pStyle w:val="27"/>
      </w:pPr>
      <w: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p>
    <w:p>
      <w:pPr>
        <w:pStyle w:val="27"/>
      </w:pP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pPr>
      <w:r>
        <w:rPr>
          <w:rFonts w:hint="eastAsia" w:eastAsia="方正仿宋_GBK" w:cs="Times New Roman"/>
          <w:sz w:val="28"/>
        </w:rPr>
        <w:t>无</w:t>
      </w:r>
    </w:p>
    <w:p>
      <w:pPr>
        <w:ind w:firstLine="640"/>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p>
    <w:p>
      <w:r>
        <w:rPr>
          <w:rFonts w:ascii="方正仿宋_GBK" w:hAnsi="方正仿宋_GBK" w:eastAsia="方正仿宋_GBK" w:cs="方正仿宋_GBK"/>
          <w:b/>
          <w:color w:val="000000"/>
          <w:sz w:val="28"/>
        </w:rPr>
        <w:t>1、2023年第三食堂管理费绩效目标表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服务人数</w:t>
            </w:r>
          </w:p>
        </w:tc>
        <w:tc>
          <w:tcPr>
            <w:tcW w:w="2835" w:type="dxa"/>
            <w:vAlign w:val="center"/>
          </w:tcPr>
          <w:p>
            <w:pPr>
              <w:pStyle w:val="16"/>
            </w:pPr>
            <w:r>
              <w:t>服务人数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运行正常运转率</w:t>
            </w:r>
          </w:p>
        </w:tc>
        <w:tc>
          <w:tcPr>
            <w:tcW w:w="2835" w:type="dxa"/>
            <w:vAlign w:val="center"/>
          </w:tcPr>
          <w:p>
            <w:pPr>
              <w:pStyle w:val="16"/>
            </w:pPr>
            <w:r>
              <w:t>运行正常运转率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公共服务水平提升情况</w:t>
            </w:r>
          </w:p>
        </w:tc>
        <w:tc>
          <w:tcPr>
            <w:tcW w:w="2835" w:type="dxa"/>
            <w:vAlign w:val="center"/>
          </w:tcPr>
          <w:p>
            <w:pPr>
              <w:pStyle w:val="16"/>
            </w:pPr>
            <w:r>
              <w:t>公共服务水平提升情况</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2835" w:type="dxa"/>
            <w:vAlign w:val="center"/>
          </w:tcPr>
          <w:p>
            <w:pPr>
              <w:pStyle w:val="16"/>
            </w:pPr>
            <w:r>
              <w:t>服务对象满意</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2、2023年两院保安服务费绩效目标表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年度服务部门数量</w:t>
            </w:r>
          </w:p>
        </w:tc>
        <w:tc>
          <w:tcPr>
            <w:tcW w:w="2835" w:type="dxa"/>
            <w:vAlign w:val="center"/>
          </w:tcPr>
          <w:p>
            <w:pPr>
              <w:pStyle w:val="16"/>
            </w:pPr>
            <w:r>
              <w:t>年度服务部门数量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社员标准</w:t>
            </w:r>
          </w:p>
        </w:tc>
        <w:tc>
          <w:tcPr>
            <w:tcW w:w="2835" w:type="dxa"/>
            <w:vAlign w:val="center"/>
          </w:tcPr>
          <w:p>
            <w:pPr>
              <w:pStyle w:val="16"/>
            </w:pPr>
            <w:r>
              <w:t>社员标准</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协管人员上岗后，服务质量提升度</w:t>
            </w:r>
          </w:p>
        </w:tc>
        <w:tc>
          <w:tcPr>
            <w:tcW w:w="2835" w:type="dxa"/>
            <w:vAlign w:val="center"/>
          </w:tcPr>
          <w:p>
            <w:pPr>
              <w:pStyle w:val="16"/>
            </w:pPr>
            <w:r>
              <w:t>协管人员上岗后，服务质量提升度</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生态效益增值率</w:t>
            </w:r>
          </w:p>
        </w:tc>
        <w:tc>
          <w:tcPr>
            <w:tcW w:w="2835" w:type="dxa"/>
            <w:vAlign w:val="center"/>
          </w:tcPr>
          <w:p>
            <w:pPr>
              <w:pStyle w:val="16"/>
            </w:pPr>
            <w:r>
              <w:t>项目实施后生态效益增长率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3、2023年两院及南环综合办公楼取暖费绩效目标表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工程质量（专家意见）</w:t>
            </w:r>
          </w:p>
        </w:tc>
        <w:tc>
          <w:tcPr>
            <w:tcW w:w="2835" w:type="dxa"/>
            <w:vAlign w:val="center"/>
          </w:tcPr>
          <w:p>
            <w:pPr>
              <w:pStyle w:val="16"/>
            </w:pPr>
            <w:r>
              <w:t>工程质量（专家意见）</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2835" w:type="dxa"/>
            <w:vAlign w:val="center"/>
          </w:tcPr>
          <w:p>
            <w:pPr>
              <w:pStyle w:val="16"/>
            </w:pPr>
            <w:r>
              <w:t>任务完成时间</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创建数量</w:t>
            </w:r>
          </w:p>
        </w:tc>
        <w:tc>
          <w:tcPr>
            <w:tcW w:w="2835" w:type="dxa"/>
            <w:vAlign w:val="center"/>
          </w:tcPr>
          <w:p>
            <w:pPr>
              <w:pStyle w:val="16"/>
            </w:pPr>
            <w:r>
              <w:t>创建数量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保障机关单位正常运转</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经济效益增长率</w:t>
            </w:r>
          </w:p>
        </w:tc>
        <w:tc>
          <w:tcPr>
            <w:tcW w:w="2835" w:type="dxa"/>
            <w:vAlign w:val="center"/>
          </w:tcPr>
          <w:p>
            <w:pPr>
              <w:pStyle w:val="16"/>
            </w:pPr>
            <w:r>
              <w:t>经济效益增长率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4、2023年两院食堂管理费绩效目标表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年度服务部门数量</w:t>
            </w:r>
          </w:p>
        </w:tc>
        <w:tc>
          <w:tcPr>
            <w:tcW w:w="2835" w:type="dxa"/>
            <w:vAlign w:val="center"/>
          </w:tcPr>
          <w:p>
            <w:pPr>
              <w:pStyle w:val="16"/>
            </w:pPr>
            <w:r>
              <w:t>年度服务部门数量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2835" w:type="dxa"/>
            <w:vAlign w:val="center"/>
          </w:tcPr>
          <w:p>
            <w:pPr>
              <w:pStyle w:val="16"/>
            </w:pPr>
            <w:r>
              <w:t>工作完成时间</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服务费</w:t>
            </w:r>
          </w:p>
          <w:p>
            <w:pPr>
              <w:pStyle w:val="16"/>
            </w:pPr>
          </w:p>
          <w:p>
            <w:pPr>
              <w:pStyle w:val="16"/>
            </w:pPr>
          </w:p>
        </w:tc>
        <w:tc>
          <w:tcPr>
            <w:tcW w:w="2835" w:type="dxa"/>
            <w:vAlign w:val="center"/>
          </w:tcPr>
          <w:p>
            <w:pPr>
              <w:pStyle w:val="16"/>
            </w:pPr>
            <w:r>
              <w:t>服务费</w:t>
            </w:r>
          </w:p>
          <w:p>
            <w:pPr>
              <w:pStyle w:val="16"/>
            </w:pPr>
          </w:p>
          <w:p>
            <w:pPr>
              <w:pStyle w:val="16"/>
            </w:pP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营业利润减亏</w:t>
            </w:r>
          </w:p>
        </w:tc>
        <w:tc>
          <w:tcPr>
            <w:tcW w:w="2835" w:type="dxa"/>
            <w:vAlign w:val="center"/>
          </w:tcPr>
          <w:p>
            <w:pPr>
              <w:pStyle w:val="16"/>
            </w:pPr>
            <w:r>
              <w:t>营业利润减亏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回应服务对象的社会工作服务需求</w:t>
            </w:r>
          </w:p>
        </w:tc>
        <w:tc>
          <w:tcPr>
            <w:tcW w:w="2835" w:type="dxa"/>
            <w:vAlign w:val="center"/>
          </w:tcPr>
          <w:p>
            <w:pPr>
              <w:pStyle w:val="16"/>
            </w:pPr>
            <w:r>
              <w:t>回应服务对象的社会工作服务需求，改善其生活状况</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提升公共服务水平和质量</w:t>
            </w:r>
          </w:p>
        </w:tc>
        <w:tc>
          <w:tcPr>
            <w:tcW w:w="2835" w:type="dxa"/>
            <w:vAlign w:val="center"/>
          </w:tcPr>
          <w:p>
            <w:pPr>
              <w:pStyle w:val="16"/>
            </w:pPr>
            <w:r>
              <w:t>提升公共服务水平和质量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5、2023年南环保安、两院及南环大楼保洁费用（临时工）绩效目标表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2835" w:type="dxa"/>
            <w:vAlign w:val="center"/>
          </w:tcPr>
          <w:p>
            <w:pPr>
              <w:pStyle w:val="16"/>
            </w:pPr>
            <w:r>
              <w:t>相关工作完成时间</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保障工作正常运转</w:t>
            </w:r>
          </w:p>
        </w:tc>
        <w:tc>
          <w:tcPr>
            <w:tcW w:w="2835" w:type="dxa"/>
            <w:vAlign w:val="center"/>
          </w:tcPr>
          <w:p>
            <w:pPr>
              <w:pStyle w:val="16"/>
            </w:pPr>
            <w:r>
              <w:t>保障工作正常运转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生态效益提升值%</w:t>
            </w:r>
          </w:p>
        </w:tc>
        <w:tc>
          <w:tcPr>
            <w:tcW w:w="2835" w:type="dxa"/>
            <w:vAlign w:val="center"/>
          </w:tcPr>
          <w:p>
            <w:pPr>
              <w:pStyle w:val="16"/>
            </w:pPr>
            <w:r>
              <w:t>生态效益提升值%</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6、2023年南环食堂管理费绩效目标表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服务人数</w:t>
            </w:r>
          </w:p>
        </w:tc>
        <w:tc>
          <w:tcPr>
            <w:tcW w:w="2835" w:type="dxa"/>
            <w:vAlign w:val="center"/>
          </w:tcPr>
          <w:p>
            <w:pPr>
              <w:pStyle w:val="16"/>
            </w:pPr>
            <w:r>
              <w:t>服务人数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业务工作完成率（%）</w:t>
            </w:r>
          </w:p>
        </w:tc>
        <w:tc>
          <w:tcPr>
            <w:tcW w:w="2835" w:type="dxa"/>
            <w:vAlign w:val="center"/>
          </w:tcPr>
          <w:p>
            <w:pPr>
              <w:pStyle w:val="16"/>
            </w:pPr>
            <w:r>
              <w:t>业务工作完成率（%）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产品成本</w:t>
            </w:r>
          </w:p>
        </w:tc>
        <w:tc>
          <w:tcPr>
            <w:tcW w:w="2835" w:type="dxa"/>
            <w:vAlign w:val="center"/>
          </w:tcPr>
          <w:p>
            <w:pPr>
              <w:pStyle w:val="16"/>
            </w:pPr>
            <w:r>
              <w:t>产品单位成本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成本利用率</w:t>
            </w:r>
          </w:p>
        </w:tc>
        <w:tc>
          <w:tcPr>
            <w:tcW w:w="2835" w:type="dxa"/>
            <w:vAlign w:val="center"/>
          </w:tcPr>
          <w:p>
            <w:pPr>
              <w:pStyle w:val="16"/>
            </w:pPr>
            <w:r>
              <w:t>成本利用率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7、2023年三个食堂餐费绩效目标表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保障就餐人数</w:t>
            </w:r>
          </w:p>
        </w:tc>
        <w:tc>
          <w:tcPr>
            <w:tcW w:w="2835" w:type="dxa"/>
            <w:vAlign w:val="center"/>
          </w:tcPr>
          <w:p>
            <w:pPr>
              <w:pStyle w:val="16"/>
            </w:pPr>
            <w:r>
              <w:t>保障就餐人数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保障就餐质量</w:t>
            </w:r>
          </w:p>
        </w:tc>
        <w:tc>
          <w:tcPr>
            <w:tcW w:w="2835" w:type="dxa"/>
            <w:vAlign w:val="center"/>
          </w:tcPr>
          <w:p>
            <w:pPr>
              <w:pStyle w:val="16"/>
            </w:pPr>
            <w:r>
              <w:t>保障就餐质量</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2835" w:type="dxa"/>
            <w:vAlign w:val="center"/>
          </w:tcPr>
          <w:p>
            <w:pPr>
              <w:pStyle w:val="16"/>
            </w:pPr>
            <w:r>
              <w:t>支付及时率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满足生态环保要求</w:t>
            </w:r>
          </w:p>
        </w:tc>
        <w:tc>
          <w:tcPr>
            <w:tcW w:w="2835" w:type="dxa"/>
            <w:vAlign w:val="center"/>
          </w:tcPr>
          <w:p>
            <w:pPr>
              <w:pStyle w:val="16"/>
            </w:pPr>
            <w:r>
              <w:t>满足生态环保要求</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2023年，无极县机关事务服务中心安排政府采购预算0.00万元。具体内容见下表。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430无极县机关事务服务中心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无极县机关事务服务中心（含所属单位）上年末固定资产金额为350.84万元（详见下表）。本年度拟购置固定资产总额为0.00万元，已按要求列入政府采购预算，详见政府采购预算表。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430无极县机关事务服务中心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w:t>
            </w:r>
          </w:p>
        </w:tc>
        <w:tc>
          <w:tcPr>
            <w:tcW w:w="2835" w:type="dxa"/>
            <w:vAlign w:val="center"/>
          </w:tcPr>
          <w:p>
            <w:pPr>
              <w:pStyle w:val="15"/>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2505</w:t>
            </w:r>
          </w:p>
        </w:tc>
        <w:tc>
          <w:tcPr>
            <w:tcW w:w="2835" w:type="dxa"/>
            <w:vAlign w:val="center"/>
          </w:tcPr>
          <w:p>
            <w:pPr>
              <w:pStyle w:val="15"/>
            </w:pPr>
            <w:r>
              <w:t>349.82</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7" o:spid="_x0000_s4097" o:spt="202" type="#_x0000_t202" style="position:absolute;left:0pt;margin-top:0pt;height:144pt;width:144pt;mso-position-horizontal:in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in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C4B190"/>
    <w:multiLevelType w:val="singleLevel"/>
    <w:tmpl w:val="A8C4B19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Tg4Njg4MjBlNThkMWQ5M2ZhNjYxYWE2NTRjNjRlMTIifQ=="/>
  </w:docVars>
  <w:rsids>
    <w:rsidRoot w:val="006D617E"/>
    <w:rsid w:val="00185D75"/>
    <w:rsid w:val="003014E7"/>
    <w:rsid w:val="006D617E"/>
    <w:rsid w:val="02610E76"/>
    <w:rsid w:val="089F74D5"/>
    <w:rsid w:val="08A460BD"/>
    <w:rsid w:val="0A117787"/>
    <w:rsid w:val="0B0E7430"/>
    <w:rsid w:val="0EBF2140"/>
    <w:rsid w:val="0F8F6F95"/>
    <w:rsid w:val="103819AC"/>
    <w:rsid w:val="19EF621A"/>
    <w:rsid w:val="1A913CEA"/>
    <w:rsid w:val="1B3C1F96"/>
    <w:rsid w:val="1C0E00D3"/>
    <w:rsid w:val="1E512F4B"/>
    <w:rsid w:val="22AE5D73"/>
    <w:rsid w:val="262E24B2"/>
    <w:rsid w:val="28F7327A"/>
    <w:rsid w:val="2B555CA8"/>
    <w:rsid w:val="33BC3AED"/>
    <w:rsid w:val="3495430F"/>
    <w:rsid w:val="387F53C0"/>
    <w:rsid w:val="38D07035"/>
    <w:rsid w:val="3A9867C1"/>
    <w:rsid w:val="45062FA4"/>
    <w:rsid w:val="46315CB6"/>
    <w:rsid w:val="46E147D5"/>
    <w:rsid w:val="4CD51C9D"/>
    <w:rsid w:val="4F681692"/>
    <w:rsid w:val="58F16C7A"/>
    <w:rsid w:val="5FF94F03"/>
    <w:rsid w:val="652E7A0E"/>
    <w:rsid w:val="6573537F"/>
    <w:rsid w:val="66BA4FB3"/>
    <w:rsid w:val="69255090"/>
    <w:rsid w:val="6CD854A1"/>
    <w:rsid w:val="6DA56B08"/>
    <w:rsid w:val="6EC14FC1"/>
    <w:rsid w:val="703B14F6"/>
    <w:rsid w:val="718A79D3"/>
    <w:rsid w:val="735F48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2023-05-15T14:25:32Z</dcterms:created>
  <dcterms:modified xsi:type="dcterms:W3CDTF">2023-05-15T06:25:32Z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2023-05-15T14:25:33Z</dcterms:created>
  <dcterms:modified xsi:type="dcterms:W3CDTF">2023-05-15T06:25:33Z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2023-05-15T14:25:33Z</dcterms:created>
  <dcterms:modified xsi:type="dcterms:W3CDTF">2023-05-15T06:25:33Z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2023-05-15T14:25:39Z</dcterms:created>
  <dcterms:modified xsi:type="dcterms:W3CDTF">2023-05-15T06:25:39Z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2023-05-15T14:25:32Z</dcterms:created>
  <dcterms:modified xsi:type="dcterms:W3CDTF">2023-05-15T06:25:32Z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2023-05-15T14:25:32Z</dcterms:created>
  <dcterms:modified xsi:type="dcterms:W3CDTF">2023-05-15T06:25:32Z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2023-05-15T14:25:32Z</dcterms:created>
  <dcterms:modified xsi:type="dcterms:W3CDTF">2023-05-15T06:25:32Z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2023-05-15T14:25:31Z</dcterms:created>
  <dcterms:modified xsi:type="dcterms:W3CDTF">2023-05-15T06:25:31Z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2023-05-15T14:25:33Z</dcterms:created>
  <dcterms:modified xsi:type="dcterms:W3CDTF">2023-05-15T06:25:33Z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2023-05-15T14:25:39Z</dcterms:created>
  <dcterms:modified xsi:type="dcterms:W3CDTF">2023-05-15T06:25:39Z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2023-05-15T14:25:32Z</dcterms:created>
  <dcterms:modified xsi:type="dcterms:W3CDTF">2023-05-15T06:25:32Z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2023-05-15T14:25:33Z</dcterms:created>
  <dcterms:modified xsi:type="dcterms:W3CDTF">2023-05-15T06:25:33Z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4D4E0DA-AA16-41A9-9D78-82D42EFB1C74}">
  <ds:schemaRefs/>
</ds:datastoreItem>
</file>

<file path=customXml/itemProps11.xml><?xml version="1.0" encoding="utf-8"?>
<ds:datastoreItem xmlns:ds="http://schemas.openxmlformats.org/officeDocument/2006/customXml" ds:itemID="{22CEA036-3F61-418F-BCE7-78DF51C2D039}">
  <ds:schemaRefs/>
</ds:datastoreItem>
</file>

<file path=customXml/itemProps12.xml><?xml version="1.0" encoding="utf-8"?>
<ds:datastoreItem xmlns:ds="http://schemas.openxmlformats.org/officeDocument/2006/customXml" ds:itemID="{52058BDA-E4BF-469B-AD84-81CDBD4F8BE9}">
  <ds:schemaRefs/>
</ds:datastoreItem>
</file>

<file path=customXml/itemProps13.xml><?xml version="1.0" encoding="utf-8"?>
<ds:datastoreItem xmlns:ds="http://schemas.openxmlformats.org/officeDocument/2006/customXml" ds:itemID="{06DDA1DD-0C04-4166-A81D-C8CA5DC89A5B}">
  <ds:schemaRefs/>
</ds:datastoreItem>
</file>

<file path=customXml/itemProps14.xml><?xml version="1.0" encoding="utf-8"?>
<ds:datastoreItem xmlns:ds="http://schemas.openxmlformats.org/officeDocument/2006/customXml" ds:itemID="{063E9D77-F037-4726-BFEB-94CAFF287A9C}">
  <ds:schemaRefs/>
</ds:datastoreItem>
</file>

<file path=customXml/itemProps15.xml><?xml version="1.0" encoding="utf-8"?>
<ds:datastoreItem xmlns:ds="http://schemas.openxmlformats.org/officeDocument/2006/customXml" ds:itemID="{86071622-619E-4FDA-B04A-BF5599B8FDBE}">
  <ds:schemaRefs/>
</ds:datastoreItem>
</file>

<file path=customXml/itemProps16.xml><?xml version="1.0" encoding="utf-8"?>
<ds:datastoreItem xmlns:ds="http://schemas.openxmlformats.org/officeDocument/2006/customXml" ds:itemID="{AAD9DE90-D234-4074-A8BF-2D90D2C5288E}">
  <ds:schemaRefs/>
</ds:datastoreItem>
</file>

<file path=customXml/itemProps17.xml><?xml version="1.0" encoding="utf-8"?>
<ds:datastoreItem xmlns:ds="http://schemas.openxmlformats.org/officeDocument/2006/customXml" ds:itemID="{F93E0542-AF9D-42D7-87BD-58BA84B84BAF}">
  <ds:schemaRefs/>
</ds:datastoreItem>
</file>

<file path=customXml/itemProps18.xml><?xml version="1.0" encoding="utf-8"?>
<ds:datastoreItem xmlns:ds="http://schemas.openxmlformats.org/officeDocument/2006/customXml" ds:itemID="{114B7DF9-E4D2-455F-8F99-D162B62C025D}">
  <ds:schemaRefs/>
</ds:datastoreItem>
</file>

<file path=customXml/itemProps19.xml><?xml version="1.0" encoding="utf-8"?>
<ds:datastoreItem xmlns:ds="http://schemas.openxmlformats.org/officeDocument/2006/customXml" ds:itemID="{CCE2C895-3BC1-4680-980C-4B409F9CB138}">
  <ds:schemaRefs/>
</ds:datastoreItem>
</file>

<file path=customXml/itemProps2.xml><?xml version="1.0" encoding="utf-8"?>
<ds:datastoreItem xmlns:ds="http://schemas.openxmlformats.org/officeDocument/2006/customXml" ds:itemID="{FDCFE1CC-AF91-46B7-B29D-01C84BE78E60}">
  <ds:schemaRefs/>
</ds:datastoreItem>
</file>

<file path=customXml/itemProps20.xml><?xml version="1.0" encoding="utf-8"?>
<ds:datastoreItem xmlns:ds="http://schemas.openxmlformats.org/officeDocument/2006/customXml" ds:itemID="{7BD54413-B5A5-460B-85AC-974D68510A1B}">
  <ds:schemaRefs/>
</ds:datastoreItem>
</file>

<file path=customXml/itemProps21.xml><?xml version="1.0" encoding="utf-8"?>
<ds:datastoreItem xmlns:ds="http://schemas.openxmlformats.org/officeDocument/2006/customXml" ds:itemID="{C79B77BB-21D6-43EA-AEE8-AB82C8F0FCAE}">
  <ds:schemaRefs/>
</ds:datastoreItem>
</file>

<file path=customXml/itemProps22.xml><?xml version="1.0" encoding="utf-8"?>
<ds:datastoreItem xmlns:ds="http://schemas.openxmlformats.org/officeDocument/2006/customXml" ds:itemID="{BA929FEC-0A64-4565-8432-56E6A4101D4E}">
  <ds:schemaRefs/>
</ds:datastoreItem>
</file>

<file path=customXml/itemProps23.xml><?xml version="1.0" encoding="utf-8"?>
<ds:datastoreItem xmlns:ds="http://schemas.openxmlformats.org/officeDocument/2006/customXml" ds:itemID="{21AA1A03-CA76-4499-9800-7A2E5104A8B9}">
  <ds:schemaRefs/>
</ds:datastoreItem>
</file>

<file path=customXml/itemProps24.xml><?xml version="1.0" encoding="utf-8"?>
<ds:datastoreItem xmlns:ds="http://schemas.openxmlformats.org/officeDocument/2006/customXml" ds:itemID="{60714B92-005D-401C-B0FB-0C8092A40B41}">
  <ds:schemaRefs/>
</ds:datastoreItem>
</file>

<file path=customXml/itemProps25.xml><?xml version="1.0" encoding="utf-8"?>
<ds:datastoreItem xmlns:ds="http://schemas.openxmlformats.org/officeDocument/2006/customXml" ds:itemID="{C7E36B2A-7874-41FA-9DC6-39A9BB64D2E1}">
  <ds:schemaRefs/>
</ds:datastoreItem>
</file>

<file path=customXml/itemProps26.xml><?xml version="1.0" encoding="utf-8"?>
<ds:datastoreItem xmlns:ds="http://schemas.openxmlformats.org/officeDocument/2006/customXml" ds:itemID="{095F3670-2D03-42B5-BE09-56B0A69A8278}">
  <ds:schemaRefs/>
</ds:datastoreItem>
</file>

<file path=customXml/itemProps27.xml><?xml version="1.0" encoding="utf-8"?>
<ds:datastoreItem xmlns:ds="http://schemas.openxmlformats.org/officeDocument/2006/customXml" ds:itemID="{236DC7DF-9868-47A7-9ECD-8532F14F4036}">
  <ds:schemaRefs/>
</ds:datastoreItem>
</file>

<file path=customXml/itemProps28.xml><?xml version="1.0" encoding="utf-8"?>
<ds:datastoreItem xmlns:ds="http://schemas.openxmlformats.org/officeDocument/2006/customXml" ds:itemID="{D3BABB27-8268-4C14-B8F5-2816A2BE64EE}">
  <ds:schemaRefs/>
</ds:datastoreItem>
</file>

<file path=customXml/itemProps29.xml><?xml version="1.0" encoding="utf-8"?>
<ds:datastoreItem xmlns:ds="http://schemas.openxmlformats.org/officeDocument/2006/customXml" ds:itemID="{91A15B20-7416-479C-8832-AF6A8230526A}">
  <ds:schemaRefs/>
</ds:datastoreItem>
</file>

<file path=customXml/itemProps3.xml><?xml version="1.0" encoding="utf-8"?>
<ds:datastoreItem xmlns:ds="http://schemas.openxmlformats.org/officeDocument/2006/customXml" ds:itemID="{216F4EEA-0896-42CC-BC51-118BE29E2020}">
  <ds:schemaRefs/>
</ds:datastoreItem>
</file>

<file path=customXml/itemProps30.xml><?xml version="1.0" encoding="utf-8"?>
<ds:datastoreItem xmlns:ds="http://schemas.openxmlformats.org/officeDocument/2006/customXml" ds:itemID="{1FFB173E-FF0F-4EAF-87D3-9EA123029B50}">
  <ds:schemaRefs/>
</ds:datastoreItem>
</file>

<file path=customXml/itemProps31.xml><?xml version="1.0" encoding="utf-8"?>
<ds:datastoreItem xmlns:ds="http://schemas.openxmlformats.org/officeDocument/2006/customXml" ds:itemID="{E74F7706-6522-45E0-A318-751261DC88CE}">
  <ds:schemaRefs/>
</ds:datastoreItem>
</file>

<file path=customXml/itemProps32.xml><?xml version="1.0" encoding="utf-8"?>
<ds:datastoreItem xmlns:ds="http://schemas.openxmlformats.org/officeDocument/2006/customXml" ds:itemID="{72A4AA03-90B9-4DA3-90F3-75883E5B4CB8}">
  <ds:schemaRefs/>
</ds:datastoreItem>
</file>

<file path=customXml/itemProps33.xml><?xml version="1.0" encoding="utf-8"?>
<ds:datastoreItem xmlns:ds="http://schemas.openxmlformats.org/officeDocument/2006/customXml" ds:itemID="{55133A42-BCB7-48CE-B6F1-CDA8FD920589}">
  <ds:schemaRefs/>
</ds:datastoreItem>
</file>

<file path=customXml/itemProps34.xml><?xml version="1.0" encoding="utf-8"?>
<ds:datastoreItem xmlns:ds="http://schemas.openxmlformats.org/officeDocument/2006/customXml" ds:itemID="{3DD23974-4FF0-477A-B922-8C0BF3ED9649}">
  <ds:schemaRefs/>
</ds:datastoreItem>
</file>

<file path=customXml/itemProps35.xml><?xml version="1.0" encoding="utf-8"?>
<ds:datastoreItem xmlns:ds="http://schemas.openxmlformats.org/officeDocument/2006/customXml" ds:itemID="{95A2B931-1F03-4D88-8148-B14BC3E1B615}">
  <ds:schemaRefs/>
</ds:datastoreItem>
</file>

<file path=customXml/itemProps36.xml><?xml version="1.0" encoding="utf-8"?>
<ds:datastoreItem xmlns:ds="http://schemas.openxmlformats.org/officeDocument/2006/customXml" ds:itemID="{8455B197-70A6-46E0-9124-1F4EF77FC422}">
  <ds:schemaRefs/>
</ds:datastoreItem>
</file>

<file path=customXml/itemProps37.xml><?xml version="1.0" encoding="utf-8"?>
<ds:datastoreItem xmlns:ds="http://schemas.openxmlformats.org/officeDocument/2006/customXml" ds:itemID="{8814BD96-E63D-46B9-A4C0-532E2A7FFF4C}">
  <ds:schemaRefs/>
</ds:datastoreItem>
</file>

<file path=customXml/itemProps38.xml><?xml version="1.0" encoding="utf-8"?>
<ds:datastoreItem xmlns:ds="http://schemas.openxmlformats.org/officeDocument/2006/customXml" ds:itemID="{86AD169A-BC1B-43AD-A520-62F662EB73EC}">
  <ds:schemaRefs/>
</ds:datastoreItem>
</file>

<file path=customXml/itemProps39.xml><?xml version="1.0" encoding="utf-8"?>
<ds:datastoreItem xmlns:ds="http://schemas.openxmlformats.org/officeDocument/2006/customXml" ds:itemID="{FAF580EF-23E5-49CA-8C36-48767595F9A8}">
  <ds:schemaRefs/>
</ds:datastoreItem>
</file>

<file path=customXml/itemProps4.xml><?xml version="1.0" encoding="utf-8"?>
<ds:datastoreItem xmlns:ds="http://schemas.openxmlformats.org/officeDocument/2006/customXml" ds:itemID="{44A54F79-B766-4B53-9177-AC35A340E901}">
  <ds:schemaRefs/>
</ds:datastoreItem>
</file>

<file path=customXml/itemProps5.xml><?xml version="1.0" encoding="utf-8"?>
<ds:datastoreItem xmlns:ds="http://schemas.openxmlformats.org/officeDocument/2006/customXml" ds:itemID="{6A853D7C-3BC1-4DD0-A042-878BE1C44019}">
  <ds:schemaRefs/>
</ds:datastoreItem>
</file>

<file path=customXml/itemProps6.xml><?xml version="1.0" encoding="utf-8"?>
<ds:datastoreItem xmlns:ds="http://schemas.openxmlformats.org/officeDocument/2006/customXml" ds:itemID="{299ABF55-4A7C-42D4-9BB7-E871B3DA6870}">
  <ds:schemaRefs/>
</ds:datastoreItem>
</file>

<file path=customXml/itemProps7.xml><?xml version="1.0" encoding="utf-8"?>
<ds:datastoreItem xmlns:ds="http://schemas.openxmlformats.org/officeDocument/2006/customXml" ds:itemID="{34A23C19-BD8D-401B-9B3C-102CC5669E51}">
  <ds:schemaRefs/>
</ds:datastoreItem>
</file>

<file path=customXml/itemProps8.xml><?xml version="1.0" encoding="utf-8"?>
<ds:datastoreItem xmlns:ds="http://schemas.openxmlformats.org/officeDocument/2006/customXml" ds:itemID="{903E4FA9-D378-4A12-A961-4567AC4156F2}">
  <ds:schemaRefs/>
</ds:datastoreItem>
</file>

<file path=customXml/itemProps9.xml><?xml version="1.0" encoding="utf-8"?>
<ds:datastoreItem xmlns:ds="http://schemas.openxmlformats.org/officeDocument/2006/customXml" ds:itemID="{B204EC0C-692C-4E36-9456-B3FAA4AFEE7B}">
  <ds:schemaRefs/>
</ds:datastoreItem>
</file>

<file path=docProps/app.xml><?xml version="1.0" encoding="utf-8"?>
<Properties xmlns="http://schemas.openxmlformats.org/officeDocument/2006/extended-properties" xmlns:vt="http://schemas.openxmlformats.org/officeDocument/2006/docPropsVTypes">
  <Template>Normal</Template>
  <Pages>59</Pages>
  <Words>3383</Words>
  <Characters>19284</Characters>
  <Lines>160</Lines>
  <Paragraphs>45</Paragraphs>
  <TotalTime>6</TotalTime>
  <ScaleCrop>false</ScaleCrop>
  <LinksUpToDate>false</LinksUpToDate>
  <CharactersWithSpaces>22622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Administrator</dc:creator>
  <cp:lastModifiedBy>Administrator</cp:lastModifiedBy>
  <dcterms:modified xsi:type="dcterms:W3CDTF">2024-01-16T05:46:50Z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9703B3EFC0E249169EA0EE271E92B55B</vt:lpwstr>
  </property>
</Properties>
</file>