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spacing w:before="0" w:after="0" w:line="240" w:lineRule="auto"/>
        <w:ind w:firstLine="0"/>
        <w:jc w:val="center"/>
        <w:outlineLvl w:val="9"/>
      </w:pPr>
    </w:p>
    <w:p>
      <w:pPr>
        <w:pStyle w:val="5"/>
        <w:tabs>
          <w:tab w:val="right" w:leader="dot" w:pos="14562"/>
        </w:tabs>
      </w:pPr>
      <w:r>
        <w:fldChar w:fldCharType="begin"/>
      </w:r>
      <w:r>
        <w:instrText xml:space="preserve">TOC \o "4-4" \h \z \u</w:instrText>
      </w:r>
      <w:r>
        <w:fldChar w:fldCharType="separate"/>
      </w:r>
      <w:r>
        <w:rPr>
          <w:b/>
          <w:bCs/>
        </w:rPr>
        <w:fldChar w:fldCharType="begin"/>
      </w:r>
      <w:r>
        <w:rPr>
          <w:b/>
          <w:bCs/>
        </w:rPr>
        <w:instrText xml:space="preserve"> HYPERLINK \l "_Toc_4_4_0000000019" </w:instrText>
      </w:r>
      <w:r>
        <w:rPr>
          <w:b/>
          <w:bCs/>
        </w:rPr>
        <w:fldChar w:fldCharType="separate"/>
      </w:r>
      <w:r>
        <w:rPr>
          <w:b/>
          <w:bCs/>
        </w:rPr>
        <w:t>一、无极县应急管理局本级收支预算</w:t>
      </w:r>
      <w:r>
        <w:rPr>
          <w:b/>
          <w:bCs/>
        </w:rPr>
        <w:tab/>
      </w:r>
      <w:r>
        <w:rPr>
          <w:rFonts w:hint="eastAsia"/>
          <w:b/>
          <w:bCs/>
          <w:lang w:val="en-US" w:eastAsia="zh-CN"/>
        </w:rPr>
        <w:t>2</w:t>
      </w:r>
      <w:r>
        <w:rPr>
          <w:b/>
          <w:bCs/>
        </w:rP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2959" w:type="dxa"/>
            <w:tcBorders>
              <w:top w:val="single" w:color="FFFFFF" w:sz="6" w:space="0"/>
              <w:left w:val="single" w:color="FFFFFF" w:sz="6" w:space="0"/>
              <w:right w:val="single" w:color="FFFFFF" w:sz="6" w:space="0"/>
            </w:tcBorders>
          </w:tcP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2959" w:type="dxa"/>
            <w:tcBorders>
              <w:top w:val="single" w:color="FFFFFF" w:sz="6" w:space="0"/>
              <w:left w:val="single" w:color="FFFFFF" w:sz="6" w:space="0"/>
              <w:right w:val="single" w:color="FFFFFF" w:sz="6" w:space="0"/>
            </w:tcBorders>
            <w:vAlign w:val="center"/>
          </w:tcPr>
          <w:p>
            <w:pPr>
              <w:pStyle w:val="11"/>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2959" w:type="dxa"/>
            <w:vAlign w:val="center"/>
          </w:tcPr>
          <w:p>
            <w:pPr>
              <w:pStyle w:val="14"/>
            </w:pPr>
            <w:r>
              <w:t>收入</w:t>
            </w:r>
          </w:p>
        </w:tc>
        <w:tc>
          <w:tcPr>
            <w:tcW w:w="2959" w:type="dxa"/>
          </w:tcPr>
          <w:p/>
        </w:tc>
        <w:tc>
          <w:tcPr>
            <w:tcW w:w="2959" w:type="dxa"/>
            <w:vAlign w:val="center"/>
          </w:tcPr>
          <w:p>
            <w:pPr>
              <w:pStyle w:val="14"/>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462.70</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r>
              <w:t>427.20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959" w:type="dxa"/>
            <w:vAlign w:val="center"/>
          </w:tcPr>
          <w:p>
            <w:pPr>
              <w:pStyle w:val="19"/>
            </w:pPr>
            <w:r>
              <w:t>462.70</w:t>
            </w:r>
          </w:p>
        </w:tc>
        <w:tc>
          <w:tcPr>
            <w:tcW w:w="2959" w:type="dxa"/>
            <w:vAlign w:val="center"/>
          </w:tcPr>
          <w:p>
            <w:pPr>
              <w:pStyle w:val="18"/>
            </w:pPr>
            <w:r>
              <w:t>本年支出合计</w:t>
            </w:r>
          </w:p>
        </w:tc>
        <w:tc>
          <w:tcPr>
            <w:tcW w:w="2959" w:type="dxa"/>
            <w:vAlign w:val="center"/>
          </w:tcPr>
          <w:p>
            <w:pPr>
              <w:pStyle w:val="19"/>
            </w:pPr>
            <w:r>
              <w:t>462.70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959" w:type="dxa"/>
            <w:vAlign w:val="center"/>
          </w:tcPr>
          <w:p>
            <w:pPr>
              <w:pStyle w:val="19"/>
            </w:pPr>
            <w:r>
              <w:t>462.70</w:t>
            </w:r>
          </w:p>
        </w:tc>
        <w:tc>
          <w:tcPr>
            <w:tcW w:w="2959" w:type="dxa"/>
            <w:vAlign w:val="center"/>
          </w:tcPr>
          <w:p>
            <w:pPr>
              <w:pStyle w:val="18"/>
            </w:pPr>
            <w:r>
              <w:t>支出总计</w:t>
            </w:r>
          </w:p>
        </w:tc>
        <w:tc>
          <w:tcPr>
            <w:tcW w:w="2959" w:type="dxa"/>
            <w:vAlign w:val="center"/>
          </w:tcPr>
          <w:p>
            <w:pPr>
              <w:pStyle w:val="19"/>
            </w:pPr>
            <w:r>
              <w:t>462.70</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12"/>
            </w:pPr>
            <w:r>
              <w:t>预算年度：2022</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11"/>
            </w:pPr>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758" w:type="dxa"/>
            <w:vAlign w:val="center"/>
          </w:tcPr>
          <w:p>
            <w:pPr>
              <w:pStyle w:val="14"/>
            </w:pPr>
            <w:r>
              <w:t>功能分类科目</w:t>
            </w:r>
          </w:p>
        </w:tc>
        <w:tc>
          <w:tcPr>
            <w:tcW w:w="758" w:type="dxa"/>
          </w:tcPr>
          <w:p/>
        </w:tc>
        <w:tc>
          <w:tcPr>
            <w:tcW w:w="758" w:type="dxa"/>
            <w:vMerge w:val="restart"/>
            <w:vAlign w:val="center"/>
          </w:tcPr>
          <w:p>
            <w:pPr>
              <w:pStyle w:val="14"/>
            </w:pPr>
            <w:r>
              <w:t>合计</w:t>
            </w:r>
          </w:p>
        </w:tc>
        <w:tc>
          <w:tcPr>
            <w:tcW w:w="758" w:type="dxa"/>
            <w:vAlign w:val="center"/>
          </w:tcPr>
          <w:p>
            <w:pPr>
              <w:pStyle w:val="14"/>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462.70</w:t>
            </w:r>
          </w:p>
        </w:tc>
        <w:tc>
          <w:tcPr>
            <w:tcW w:w="758" w:type="dxa"/>
            <w:vAlign w:val="center"/>
          </w:tcPr>
          <w:p>
            <w:pPr>
              <w:pStyle w:val="19"/>
            </w:pPr>
            <w:r>
              <w:t>462.70</w:t>
            </w:r>
          </w:p>
        </w:tc>
        <w:tc>
          <w:tcPr>
            <w:tcW w:w="758" w:type="dxa"/>
            <w:vAlign w:val="center"/>
          </w:tcPr>
          <w:p>
            <w:pPr>
              <w:pStyle w:val="19"/>
            </w:pPr>
            <w:r>
              <w:t>462.70</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r>
              <w:t>23.00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2101101</w:t>
            </w:r>
          </w:p>
        </w:tc>
        <w:tc>
          <w:tcPr>
            <w:tcW w:w="758" w:type="dxa"/>
            <w:vAlign w:val="center"/>
          </w:tcPr>
          <w:p>
            <w:pPr>
              <w:pStyle w:val="16"/>
            </w:pPr>
            <w:r>
              <w:t>行政单位医疗</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r>
              <w:t>12.50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224</w:t>
            </w:r>
          </w:p>
        </w:tc>
        <w:tc>
          <w:tcPr>
            <w:tcW w:w="758" w:type="dxa"/>
            <w:vAlign w:val="center"/>
          </w:tcPr>
          <w:p>
            <w:pPr>
              <w:pStyle w:val="16"/>
            </w:pPr>
            <w:r>
              <w:t>灾害防治及应急管理支出</w:t>
            </w:r>
          </w:p>
        </w:tc>
        <w:tc>
          <w:tcPr>
            <w:tcW w:w="758" w:type="dxa"/>
            <w:vAlign w:val="center"/>
          </w:tcPr>
          <w:p>
            <w:pPr>
              <w:pStyle w:val="15"/>
            </w:pPr>
            <w:r>
              <w:t>427.20</w:t>
            </w:r>
          </w:p>
        </w:tc>
        <w:tc>
          <w:tcPr>
            <w:tcW w:w="758" w:type="dxa"/>
            <w:vAlign w:val="center"/>
          </w:tcPr>
          <w:p>
            <w:pPr>
              <w:pStyle w:val="15"/>
            </w:pPr>
            <w:r>
              <w:t>427.20</w:t>
            </w:r>
          </w:p>
        </w:tc>
        <w:tc>
          <w:tcPr>
            <w:tcW w:w="758" w:type="dxa"/>
            <w:vAlign w:val="center"/>
          </w:tcPr>
          <w:p>
            <w:pPr>
              <w:pStyle w:val="15"/>
            </w:pPr>
            <w:r>
              <w:t>427.20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22401</w:t>
            </w:r>
          </w:p>
        </w:tc>
        <w:tc>
          <w:tcPr>
            <w:tcW w:w="758" w:type="dxa"/>
            <w:vAlign w:val="center"/>
          </w:tcPr>
          <w:p>
            <w:pPr>
              <w:pStyle w:val="16"/>
            </w:pPr>
            <w:r>
              <w:t>应急管理事务</w:t>
            </w:r>
          </w:p>
        </w:tc>
        <w:tc>
          <w:tcPr>
            <w:tcW w:w="758" w:type="dxa"/>
            <w:vAlign w:val="center"/>
          </w:tcPr>
          <w:p>
            <w:pPr>
              <w:pStyle w:val="15"/>
            </w:pPr>
            <w:r>
              <w:t>427.20</w:t>
            </w:r>
          </w:p>
        </w:tc>
        <w:tc>
          <w:tcPr>
            <w:tcW w:w="758" w:type="dxa"/>
            <w:vAlign w:val="center"/>
          </w:tcPr>
          <w:p>
            <w:pPr>
              <w:pStyle w:val="15"/>
            </w:pPr>
            <w:r>
              <w:t>427.20</w:t>
            </w:r>
          </w:p>
        </w:tc>
        <w:tc>
          <w:tcPr>
            <w:tcW w:w="758" w:type="dxa"/>
            <w:vAlign w:val="center"/>
          </w:tcPr>
          <w:p>
            <w:pPr>
              <w:pStyle w:val="15"/>
            </w:pPr>
            <w:r>
              <w:t>427.20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2240101</w:t>
            </w:r>
          </w:p>
        </w:tc>
        <w:tc>
          <w:tcPr>
            <w:tcW w:w="758" w:type="dxa"/>
            <w:vAlign w:val="center"/>
          </w:tcPr>
          <w:p>
            <w:pPr>
              <w:pStyle w:val="16"/>
            </w:pPr>
            <w:r>
              <w:t>行政运行</w:t>
            </w:r>
          </w:p>
        </w:tc>
        <w:tc>
          <w:tcPr>
            <w:tcW w:w="758" w:type="dxa"/>
            <w:vAlign w:val="center"/>
          </w:tcPr>
          <w:p>
            <w:pPr>
              <w:pStyle w:val="15"/>
            </w:pPr>
            <w:r>
              <w:t>414.20</w:t>
            </w:r>
          </w:p>
        </w:tc>
        <w:tc>
          <w:tcPr>
            <w:tcW w:w="758" w:type="dxa"/>
            <w:vAlign w:val="center"/>
          </w:tcPr>
          <w:p>
            <w:pPr>
              <w:pStyle w:val="15"/>
            </w:pPr>
            <w:r>
              <w:t>414.20</w:t>
            </w:r>
          </w:p>
        </w:tc>
        <w:tc>
          <w:tcPr>
            <w:tcW w:w="758" w:type="dxa"/>
            <w:vAlign w:val="center"/>
          </w:tcPr>
          <w:p>
            <w:pPr>
              <w:pStyle w:val="15"/>
            </w:pPr>
            <w:r>
              <w:t>414.20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2240104</w:t>
            </w:r>
          </w:p>
        </w:tc>
        <w:tc>
          <w:tcPr>
            <w:tcW w:w="758" w:type="dxa"/>
            <w:vAlign w:val="center"/>
          </w:tcPr>
          <w:p>
            <w:pPr>
              <w:pStyle w:val="16"/>
            </w:pPr>
            <w:r>
              <w:t>灾害风险防治</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r>
              <w:t>13.00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12"/>
            </w:pPr>
            <w:r>
              <w:t>预算年度：2022</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11"/>
            </w:pPr>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1095" w:type="dxa"/>
            <w:vAlign w:val="center"/>
          </w:tcPr>
          <w:p>
            <w:pPr>
              <w:pStyle w:val="14"/>
            </w:pPr>
            <w:r>
              <w:t>功能分类科目</w:t>
            </w:r>
          </w:p>
        </w:tc>
        <w:tc>
          <w:tcPr>
            <w:tcW w:w="1095" w:type="dxa"/>
          </w:tcP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462.70</w:t>
            </w:r>
          </w:p>
        </w:tc>
        <w:tc>
          <w:tcPr>
            <w:tcW w:w="1095" w:type="dxa"/>
            <w:vAlign w:val="center"/>
          </w:tcPr>
          <w:p>
            <w:pPr>
              <w:pStyle w:val="19"/>
            </w:pPr>
            <w:r>
              <w:t>449.70</w:t>
            </w:r>
          </w:p>
        </w:tc>
        <w:tc>
          <w:tcPr>
            <w:tcW w:w="1095" w:type="dxa"/>
            <w:vAlign w:val="center"/>
          </w:tcPr>
          <w:p>
            <w:pPr>
              <w:pStyle w:val="19"/>
            </w:pPr>
            <w:r>
              <w:t>13.00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23.00</w:t>
            </w:r>
          </w:p>
        </w:tc>
        <w:tc>
          <w:tcPr>
            <w:tcW w:w="1095" w:type="dxa"/>
            <w:vAlign w:val="center"/>
          </w:tcPr>
          <w:p>
            <w:pPr>
              <w:pStyle w:val="15"/>
            </w:pPr>
            <w:r>
              <w:t>23.00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23.00</w:t>
            </w:r>
          </w:p>
        </w:tc>
        <w:tc>
          <w:tcPr>
            <w:tcW w:w="1095" w:type="dxa"/>
            <w:vAlign w:val="center"/>
          </w:tcPr>
          <w:p>
            <w:pPr>
              <w:pStyle w:val="15"/>
            </w:pPr>
            <w:r>
              <w:t>23.00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23.00</w:t>
            </w:r>
          </w:p>
        </w:tc>
        <w:tc>
          <w:tcPr>
            <w:tcW w:w="1095" w:type="dxa"/>
            <w:vAlign w:val="center"/>
          </w:tcPr>
          <w:p>
            <w:pPr>
              <w:pStyle w:val="15"/>
            </w:pPr>
            <w:r>
              <w:t>23.00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12.50</w:t>
            </w:r>
          </w:p>
        </w:tc>
        <w:tc>
          <w:tcPr>
            <w:tcW w:w="1095" w:type="dxa"/>
            <w:vAlign w:val="center"/>
          </w:tcPr>
          <w:p>
            <w:pPr>
              <w:pStyle w:val="15"/>
            </w:pPr>
            <w:r>
              <w:t>12.50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12.50</w:t>
            </w:r>
          </w:p>
        </w:tc>
        <w:tc>
          <w:tcPr>
            <w:tcW w:w="1095" w:type="dxa"/>
            <w:vAlign w:val="center"/>
          </w:tcPr>
          <w:p>
            <w:pPr>
              <w:pStyle w:val="15"/>
            </w:pPr>
            <w:r>
              <w:t>12.50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2101101</w:t>
            </w:r>
          </w:p>
        </w:tc>
        <w:tc>
          <w:tcPr>
            <w:tcW w:w="1095" w:type="dxa"/>
            <w:vAlign w:val="center"/>
          </w:tcPr>
          <w:p>
            <w:pPr>
              <w:pStyle w:val="16"/>
            </w:pPr>
            <w:r>
              <w:t>行政单位医疗</w:t>
            </w:r>
          </w:p>
        </w:tc>
        <w:tc>
          <w:tcPr>
            <w:tcW w:w="1095" w:type="dxa"/>
            <w:vAlign w:val="center"/>
          </w:tcPr>
          <w:p>
            <w:pPr>
              <w:pStyle w:val="15"/>
            </w:pPr>
            <w:r>
              <w:t>12.50</w:t>
            </w:r>
          </w:p>
        </w:tc>
        <w:tc>
          <w:tcPr>
            <w:tcW w:w="1095" w:type="dxa"/>
            <w:vAlign w:val="center"/>
          </w:tcPr>
          <w:p>
            <w:pPr>
              <w:pStyle w:val="15"/>
            </w:pPr>
            <w:r>
              <w:t>12.50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224</w:t>
            </w:r>
          </w:p>
        </w:tc>
        <w:tc>
          <w:tcPr>
            <w:tcW w:w="1095" w:type="dxa"/>
            <w:vAlign w:val="center"/>
          </w:tcPr>
          <w:p>
            <w:pPr>
              <w:pStyle w:val="16"/>
            </w:pPr>
            <w:r>
              <w:t>灾害防治及应急管理支出</w:t>
            </w:r>
          </w:p>
        </w:tc>
        <w:tc>
          <w:tcPr>
            <w:tcW w:w="1095" w:type="dxa"/>
            <w:vAlign w:val="center"/>
          </w:tcPr>
          <w:p>
            <w:pPr>
              <w:pStyle w:val="15"/>
            </w:pPr>
            <w:r>
              <w:t>427.20</w:t>
            </w:r>
          </w:p>
        </w:tc>
        <w:tc>
          <w:tcPr>
            <w:tcW w:w="1095" w:type="dxa"/>
            <w:vAlign w:val="center"/>
          </w:tcPr>
          <w:p>
            <w:pPr>
              <w:pStyle w:val="15"/>
            </w:pPr>
            <w:r>
              <w:t>414.20</w:t>
            </w: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22401</w:t>
            </w:r>
          </w:p>
        </w:tc>
        <w:tc>
          <w:tcPr>
            <w:tcW w:w="1095" w:type="dxa"/>
            <w:vAlign w:val="center"/>
          </w:tcPr>
          <w:p>
            <w:pPr>
              <w:pStyle w:val="16"/>
            </w:pPr>
            <w:r>
              <w:t>应急管理事务</w:t>
            </w:r>
          </w:p>
        </w:tc>
        <w:tc>
          <w:tcPr>
            <w:tcW w:w="1095" w:type="dxa"/>
            <w:vAlign w:val="center"/>
          </w:tcPr>
          <w:p>
            <w:pPr>
              <w:pStyle w:val="15"/>
            </w:pPr>
            <w:r>
              <w:t>427.20</w:t>
            </w:r>
          </w:p>
        </w:tc>
        <w:tc>
          <w:tcPr>
            <w:tcW w:w="1095" w:type="dxa"/>
            <w:vAlign w:val="center"/>
          </w:tcPr>
          <w:p>
            <w:pPr>
              <w:pStyle w:val="15"/>
            </w:pPr>
            <w:r>
              <w:t>414.20</w:t>
            </w: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2240101</w:t>
            </w:r>
          </w:p>
        </w:tc>
        <w:tc>
          <w:tcPr>
            <w:tcW w:w="1095" w:type="dxa"/>
            <w:vAlign w:val="center"/>
          </w:tcPr>
          <w:p>
            <w:pPr>
              <w:pStyle w:val="16"/>
            </w:pPr>
            <w:r>
              <w:t>行政运行</w:t>
            </w:r>
          </w:p>
        </w:tc>
        <w:tc>
          <w:tcPr>
            <w:tcW w:w="1095" w:type="dxa"/>
            <w:vAlign w:val="center"/>
          </w:tcPr>
          <w:p>
            <w:pPr>
              <w:pStyle w:val="15"/>
            </w:pPr>
            <w:r>
              <w:t>414.20</w:t>
            </w:r>
          </w:p>
        </w:tc>
        <w:tc>
          <w:tcPr>
            <w:tcW w:w="1095" w:type="dxa"/>
            <w:vAlign w:val="center"/>
          </w:tcPr>
          <w:p>
            <w:pPr>
              <w:pStyle w:val="15"/>
            </w:pPr>
            <w:r>
              <w:t>414.20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2240104</w:t>
            </w:r>
          </w:p>
        </w:tc>
        <w:tc>
          <w:tcPr>
            <w:tcW w:w="1095" w:type="dxa"/>
            <w:vAlign w:val="center"/>
          </w:tcPr>
          <w:p>
            <w:pPr>
              <w:pStyle w:val="16"/>
            </w:pPr>
            <w:r>
              <w:t>灾害风险防治</w:t>
            </w: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r>
              <w:t>13.00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1232" w:type="dxa"/>
            <w:tcBorders>
              <w:top w:val="single" w:color="FFFFFF" w:sz="6" w:space="0"/>
              <w:left w:val="single" w:color="FFFFFF" w:sz="6" w:space="0"/>
              <w:right w:val="single" w:color="FFFFFF" w:sz="6" w:space="0"/>
            </w:tcBorders>
            <w:vAlign w:val="center"/>
          </w:tcPr>
          <w:p>
            <w:pPr>
              <w:pStyle w:val="11"/>
            </w:pPr>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1232" w:type="dxa"/>
            <w:vAlign w:val="center"/>
          </w:tcPr>
          <w:p>
            <w:pPr>
              <w:pStyle w:val="14"/>
            </w:pPr>
            <w:r>
              <w:t>收入</w:t>
            </w:r>
          </w:p>
        </w:tc>
        <w:tc>
          <w:tcPr>
            <w:tcW w:w="1232" w:type="dxa"/>
          </w:tcPr>
          <w:p/>
        </w:tc>
        <w:tc>
          <w:tcPr>
            <w:tcW w:w="1232" w:type="dxa"/>
            <w:vAlign w:val="center"/>
          </w:tcPr>
          <w:p>
            <w:pPr>
              <w:pStyle w:val="14"/>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462.70</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23.00</w:t>
            </w:r>
          </w:p>
        </w:tc>
        <w:tc>
          <w:tcPr>
            <w:tcW w:w="1232" w:type="dxa"/>
            <w:vAlign w:val="center"/>
          </w:tcPr>
          <w:p>
            <w:pPr>
              <w:pStyle w:val="15"/>
            </w:pPr>
            <w:r>
              <w:t>23.00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12.50</w:t>
            </w:r>
          </w:p>
        </w:tc>
        <w:tc>
          <w:tcPr>
            <w:tcW w:w="1232" w:type="dxa"/>
            <w:vAlign w:val="center"/>
          </w:tcPr>
          <w:p>
            <w:pPr>
              <w:pStyle w:val="15"/>
            </w:pPr>
            <w:r>
              <w:t>12.50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r>
              <w:t>427.20</w:t>
            </w:r>
          </w:p>
        </w:tc>
        <w:tc>
          <w:tcPr>
            <w:tcW w:w="1232" w:type="dxa"/>
            <w:vAlign w:val="center"/>
          </w:tcPr>
          <w:p>
            <w:pPr>
              <w:pStyle w:val="15"/>
            </w:pPr>
            <w:r>
              <w:t>427.20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462.70</w:t>
            </w:r>
          </w:p>
        </w:tc>
        <w:tc>
          <w:tcPr>
            <w:tcW w:w="1232" w:type="dxa"/>
            <w:vAlign w:val="center"/>
          </w:tcPr>
          <w:p>
            <w:pPr>
              <w:pStyle w:val="18"/>
            </w:pPr>
            <w:r>
              <w:t>本年支出合计</w:t>
            </w:r>
          </w:p>
        </w:tc>
        <w:tc>
          <w:tcPr>
            <w:tcW w:w="1232" w:type="dxa"/>
            <w:vAlign w:val="center"/>
          </w:tcPr>
          <w:p>
            <w:pPr>
              <w:pStyle w:val="19"/>
            </w:pPr>
            <w:r>
              <w:t>462.70</w:t>
            </w:r>
          </w:p>
        </w:tc>
        <w:tc>
          <w:tcPr>
            <w:tcW w:w="1232" w:type="dxa"/>
            <w:vAlign w:val="center"/>
          </w:tcPr>
          <w:p>
            <w:pPr>
              <w:pStyle w:val="19"/>
            </w:pPr>
            <w:r>
              <w:t>462.70</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462.70</w:t>
            </w:r>
          </w:p>
        </w:tc>
        <w:tc>
          <w:tcPr>
            <w:tcW w:w="1232" w:type="dxa"/>
            <w:vAlign w:val="center"/>
          </w:tcPr>
          <w:p>
            <w:pPr>
              <w:pStyle w:val="18"/>
            </w:pPr>
            <w:r>
              <w:t>支出总计</w:t>
            </w:r>
          </w:p>
        </w:tc>
        <w:tc>
          <w:tcPr>
            <w:tcW w:w="1232" w:type="dxa"/>
            <w:vAlign w:val="center"/>
          </w:tcPr>
          <w:p>
            <w:pPr>
              <w:pStyle w:val="19"/>
            </w:pPr>
            <w:r>
              <w:t>462.70</w:t>
            </w:r>
          </w:p>
        </w:tc>
        <w:tc>
          <w:tcPr>
            <w:tcW w:w="1232" w:type="dxa"/>
            <w:vAlign w:val="center"/>
          </w:tcPr>
          <w:p>
            <w:pPr>
              <w:pStyle w:val="19"/>
            </w:pPr>
            <w:r>
              <w:t>462.70</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462.70</w:t>
            </w:r>
          </w:p>
        </w:tc>
        <w:tc>
          <w:tcPr>
            <w:tcW w:w="1643" w:type="dxa"/>
            <w:vAlign w:val="center"/>
          </w:tcPr>
          <w:p>
            <w:pPr>
              <w:pStyle w:val="19"/>
            </w:pPr>
            <w:r>
              <w:t>449.70</w:t>
            </w:r>
          </w:p>
        </w:tc>
        <w:tc>
          <w:tcPr>
            <w:tcW w:w="1643" w:type="dxa"/>
            <w:vAlign w:val="center"/>
          </w:tcPr>
          <w:p>
            <w:pPr>
              <w:pStyle w:val="19"/>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23.00</w:t>
            </w:r>
          </w:p>
        </w:tc>
        <w:tc>
          <w:tcPr>
            <w:tcW w:w="1643" w:type="dxa"/>
            <w:vAlign w:val="center"/>
          </w:tcPr>
          <w:p>
            <w:pPr>
              <w:pStyle w:val="15"/>
            </w:pPr>
            <w:r>
              <w:t>23.00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23.00</w:t>
            </w:r>
          </w:p>
        </w:tc>
        <w:tc>
          <w:tcPr>
            <w:tcW w:w="1643" w:type="dxa"/>
            <w:vAlign w:val="center"/>
          </w:tcPr>
          <w:p>
            <w:pPr>
              <w:pStyle w:val="15"/>
            </w:pPr>
            <w:r>
              <w:t>23.00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23.00</w:t>
            </w:r>
          </w:p>
        </w:tc>
        <w:tc>
          <w:tcPr>
            <w:tcW w:w="1643" w:type="dxa"/>
            <w:vAlign w:val="center"/>
          </w:tcPr>
          <w:p>
            <w:pPr>
              <w:pStyle w:val="15"/>
            </w:pPr>
            <w:r>
              <w:t>23.00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12.50</w:t>
            </w:r>
          </w:p>
        </w:tc>
        <w:tc>
          <w:tcPr>
            <w:tcW w:w="1643" w:type="dxa"/>
            <w:vAlign w:val="center"/>
          </w:tcPr>
          <w:p>
            <w:pPr>
              <w:pStyle w:val="15"/>
            </w:pPr>
            <w:r>
              <w:t>12.50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12.50</w:t>
            </w:r>
          </w:p>
        </w:tc>
        <w:tc>
          <w:tcPr>
            <w:tcW w:w="1643" w:type="dxa"/>
            <w:vAlign w:val="center"/>
          </w:tcPr>
          <w:p>
            <w:pPr>
              <w:pStyle w:val="15"/>
            </w:pPr>
            <w:r>
              <w:t>12.50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12.50</w:t>
            </w:r>
          </w:p>
        </w:tc>
        <w:tc>
          <w:tcPr>
            <w:tcW w:w="1643" w:type="dxa"/>
            <w:vAlign w:val="center"/>
          </w:tcPr>
          <w:p>
            <w:pPr>
              <w:pStyle w:val="15"/>
            </w:pPr>
            <w:r>
              <w:t>12.50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224</w:t>
            </w:r>
          </w:p>
        </w:tc>
        <w:tc>
          <w:tcPr>
            <w:tcW w:w="1643" w:type="dxa"/>
            <w:vAlign w:val="center"/>
          </w:tcPr>
          <w:p>
            <w:pPr>
              <w:pStyle w:val="16"/>
            </w:pPr>
            <w:r>
              <w:t>灾害防治及应急管理支出</w:t>
            </w:r>
          </w:p>
        </w:tc>
        <w:tc>
          <w:tcPr>
            <w:tcW w:w="1643" w:type="dxa"/>
            <w:vAlign w:val="center"/>
          </w:tcPr>
          <w:p>
            <w:pPr>
              <w:pStyle w:val="15"/>
            </w:pPr>
            <w:r>
              <w:t>427.20</w:t>
            </w:r>
          </w:p>
        </w:tc>
        <w:tc>
          <w:tcPr>
            <w:tcW w:w="1643" w:type="dxa"/>
            <w:vAlign w:val="center"/>
          </w:tcPr>
          <w:p>
            <w:pPr>
              <w:pStyle w:val="15"/>
            </w:pPr>
            <w:r>
              <w:t>414.20</w:t>
            </w: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22401</w:t>
            </w:r>
          </w:p>
        </w:tc>
        <w:tc>
          <w:tcPr>
            <w:tcW w:w="1643" w:type="dxa"/>
            <w:vAlign w:val="center"/>
          </w:tcPr>
          <w:p>
            <w:pPr>
              <w:pStyle w:val="16"/>
            </w:pPr>
            <w:r>
              <w:t>应急管理事务</w:t>
            </w:r>
          </w:p>
        </w:tc>
        <w:tc>
          <w:tcPr>
            <w:tcW w:w="1643" w:type="dxa"/>
            <w:vAlign w:val="center"/>
          </w:tcPr>
          <w:p>
            <w:pPr>
              <w:pStyle w:val="15"/>
            </w:pPr>
            <w:r>
              <w:t>427.20</w:t>
            </w:r>
          </w:p>
        </w:tc>
        <w:tc>
          <w:tcPr>
            <w:tcW w:w="1643" w:type="dxa"/>
            <w:vAlign w:val="center"/>
          </w:tcPr>
          <w:p>
            <w:pPr>
              <w:pStyle w:val="15"/>
            </w:pPr>
            <w:r>
              <w:t>414.20</w:t>
            </w: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2240101</w:t>
            </w:r>
          </w:p>
        </w:tc>
        <w:tc>
          <w:tcPr>
            <w:tcW w:w="1643" w:type="dxa"/>
            <w:vAlign w:val="center"/>
          </w:tcPr>
          <w:p>
            <w:pPr>
              <w:pStyle w:val="16"/>
            </w:pPr>
            <w:r>
              <w:t>行政运行</w:t>
            </w:r>
          </w:p>
        </w:tc>
        <w:tc>
          <w:tcPr>
            <w:tcW w:w="1643" w:type="dxa"/>
            <w:vAlign w:val="center"/>
          </w:tcPr>
          <w:p>
            <w:pPr>
              <w:pStyle w:val="15"/>
            </w:pPr>
            <w:r>
              <w:t>414.20</w:t>
            </w:r>
          </w:p>
        </w:tc>
        <w:tc>
          <w:tcPr>
            <w:tcW w:w="1643" w:type="dxa"/>
            <w:vAlign w:val="center"/>
          </w:tcPr>
          <w:p>
            <w:pPr>
              <w:pStyle w:val="15"/>
            </w:pPr>
            <w:r>
              <w:t>414.20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2240104</w:t>
            </w:r>
          </w:p>
        </w:tc>
        <w:tc>
          <w:tcPr>
            <w:tcW w:w="1643" w:type="dxa"/>
            <w:vAlign w:val="center"/>
          </w:tcPr>
          <w:p>
            <w:pPr>
              <w:pStyle w:val="16"/>
            </w:pPr>
            <w:r>
              <w:t>灾害风险防治</w:t>
            </w:r>
          </w:p>
        </w:tc>
        <w:tc>
          <w:tcPr>
            <w:tcW w:w="1643" w:type="dxa"/>
            <w:vAlign w:val="center"/>
          </w:tcPr>
          <w:p>
            <w:pPr>
              <w:pStyle w:val="15"/>
            </w:pPr>
            <w:r>
              <w:t>13.00</w:t>
            </w:r>
          </w:p>
        </w:tc>
        <w:tc>
          <w:tcPr>
            <w:tcW w:w="1643" w:type="dxa"/>
            <w:vAlign w:val="center"/>
          </w:tcPr>
          <w:p>
            <w:pPr>
              <w:pStyle w:val="15"/>
            </w:pPr>
          </w:p>
        </w:tc>
        <w:tc>
          <w:tcPr>
            <w:tcW w:w="1643" w:type="dxa"/>
            <w:vAlign w:val="center"/>
          </w:tcPr>
          <w:p>
            <w:pPr>
              <w:pStyle w:val="15"/>
            </w:pPr>
            <w:r>
              <w:t>13.00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支出部门经济分类科目</w:t>
            </w:r>
          </w:p>
        </w:tc>
        <w:tc>
          <w:tcPr>
            <w:tcW w:w="1643" w:type="dxa"/>
          </w:tcPr>
          <w:p/>
        </w:tc>
        <w:tc>
          <w:tcPr>
            <w:tcW w:w="1643" w:type="dxa"/>
            <w:vAlign w:val="center"/>
          </w:tcPr>
          <w:p>
            <w:pPr>
              <w:pStyle w:val="14"/>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449.70</w:t>
            </w:r>
          </w:p>
        </w:tc>
        <w:tc>
          <w:tcPr>
            <w:tcW w:w="1643" w:type="dxa"/>
            <w:vAlign w:val="center"/>
          </w:tcPr>
          <w:p>
            <w:pPr>
              <w:pStyle w:val="19"/>
            </w:pPr>
            <w:r>
              <w:t>402.70</w:t>
            </w:r>
          </w:p>
        </w:tc>
        <w:tc>
          <w:tcPr>
            <w:tcW w:w="1643" w:type="dxa"/>
            <w:vAlign w:val="center"/>
          </w:tcPr>
          <w:p>
            <w:pPr>
              <w:pStyle w:val="19"/>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399.20</w:t>
            </w:r>
          </w:p>
        </w:tc>
        <w:tc>
          <w:tcPr>
            <w:tcW w:w="1643" w:type="dxa"/>
            <w:vAlign w:val="center"/>
          </w:tcPr>
          <w:p>
            <w:pPr>
              <w:pStyle w:val="15"/>
            </w:pPr>
            <w:r>
              <w:t>399.20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244.00</w:t>
            </w:r>
          </w:p>
        </w:tc>
        <w:tc>
          <w:tcPr>
            <w:tcW w:w="1643" w:type="dxa"/>
            <w:vAlign w:val="center"/>
          </w:tcPr>
          <w:p>
            <w:pPr>
              <w:pStyle w:val="15"/>
            </w:pPr>
            <w:r>
              <w:t>244.00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57.00</w:t>
            </w:r>
          </w:p>
        </w:tc>
        <w:tc>
          <w:tcPr>
            <w:tcW w:w="1643" w:type="dxa"/>
            <w:vAlign w:val="center"/>
          </w:tcPr>
          <w:p>
            <w:pPr>
              <w:pStyle w:val="15"/>
            </w:pPr>
            <w:r>
              <w:t>57.00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43.50</w:t>
            </w:r>
          </w:p>
        </w:tc>
        <w:tc>
          <w:tcPr>
            <w:tcW w:w="1643" w:type="dxa"/>
            <w:vAlign w:val="center"/>
          </w:tcPr>
          <w:p>
            <w:pPr>
              <w:pStyle w:val="15"/>
            </w:pPr>
            <w:r>
              <w:t>43.50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18.00</w:t>
            </w:r>
          </w:p>
        </w:tc>
        <w:tc>
          <w:tcPr>
            <w:tcW w:w="1643" w:type="dxa"/>
            <w:vAlign w:val="center"/>
          </w:tcPr>
          <w:p>
            <w:pPr>
              <w:pStyle w:val="15"/>
            </w:pPr>
            <w:r>
              <w:t>18.00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23.00</w:t>
            </w:r>
          </w:p>
        </w:tc>
        <w:tc>
          <w:tcPr>
            <w:tcW w:w="1643" w:type="dxa"/>
            <w:vAlign w:val="center"/>
          </w:tcPr>
          <w:p>
            <w:pPr>
              <w:pStyle w:val="15"/>
            </w:pPr>
            <w:r>
              <w:t>23.00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城镇职工基本医疗保险缴费</w:t>
            </w:r>
          </w:p>
        </w:tc>
        <w:tc>
          <w:tcPr>
            <w:tcW w:w="1643" w:type="dxa"/>
            <w:vAlign w:val="center"/>
          </w:tcPr>
          <w:p>
            <w:pPr>
              <w:pStyle w:val="15"/>
            </w:pPr>
            <w:r>
              <w:t>12.50</w:t>
            </w:r>
          </w:p>
        </w:tc>
        <w:tc>
          <w:tcPr>
            <w:tcW w:w="1643" w:type="dxa"/>
            <w:vAlign w:val="center"/>
          </w:tcPr>
          <w:p>
            <w:pPr>
              <w:pStyle w:val="15"/>
            </w:pPr>
            <w:r>
              <w:t>12.50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1.20</w:t>
            </w:r>
          </w:p>
        </w:tc>
        <w:tc>
          <w:tcPr>
            <w:tcW w:w="1643" w:type="dxa"/>
            <w:vAlign w:val="center"/>
          </w:tcPr>
          <w:p>
            <w:pPr>
              <w:pStyle w:val="15"/>
            </w:pPr>
            <w:r>
              <w:t>1.20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47.00</w:t>
            </w:r>
          </w:p>
        </w:tc>
        <w:tc>
          <w:tcPr>
            <w:tcW w:w="1643" w:type="dxa"/>
            <w:vAlign w:val="center"/>
          </w:tcPr>
          <w:p>
            <w:pPr>
              <w:pStyle w:val="15"/>
            </w:pPr>
          </w:p>
        </w:tc>
        <w:tc>
          <w:tcPr>
            <w:tcW w:w="1643" w:type="dxa"/>
            <w:vAlign w:val="center"/>
          </w:tcPr>
          <w:p>
            <w:pPr>
              <w:pStyle w:val="15"/>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7.00</w:t>
            </w:r>
          </w:p>
        </w:tc>
        <w:tc>
          <w:tcPr>
            <w:tcW w:w="1643" w:type="dxa"/>
            <w:vAlign w:val="center"/>
          </w:tcPr>
          <w:p>
            <w:pPr>
              <w:pStyle w:val="15"/>
            </w:pPr>
          </w:p>
        </w:tc>
        <w:tc>
          <w:tcPr>
            <w:tcW w:w="1643"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30202</w:t>
            </w:r>
          </w:p>
        </w:tc>
        <w:tc>
          <w:tcPr>
            <w:tcW w:w="1643" w:type="dxa"/>
            <w:vAlign w:val="center"/>
          </w:tcPr>
          <w:p>
            <w:pPr>
              <w:pStyle w:val="16"/>
            </w:pPr>
            <w:r>
              <w:t>印刷费</w:t>
            </w:r>
          </w:p>
        </w:tc>
        <w:tc>
          <w:tcPr>
            <w:tcW w:w="1643" w:type="dxa"/>
            <w:vAlign w:val="center"/>
          </w:tcPr>
          <w:p>
            <w:pPr>
              <w:pStyle w:val="15"/>
            </w:pPr>
            <w:r>
              <w:t>6.00</w:t>
            </w:r>
          </w:p>
        </w:tc>
        <w:tc>
          <w:tcPr>
            <w:tcW w:w="1643" w:type="dxa"/>
            <w:vAlign w:val="center"/>
          </w:tcPr>
          <w:p>
            <w:pPr>
              <w:pStyle w:val="15"/>
            </w:pPr>
          </w:p>
        </w:tc>
        <w:tc>
          <w:tcPr>
            <w:tcW w:w="1643"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30205</w:t>
            </w:r>
          </w:p>
        </w:tc>
        <w:tc>
          <w:tcPr>
            <w:tcW w:w="1643" w:type="dxa"/>
            <w:vAlign w:val="center"/>
          </w:tcPr>
          <w:p>
            <w:pPr>
              <w:pStyle w:val="16"/>
            </w:pPr>
            <w:r>
              <w:t>水费</w:t>
            </w:r>
          </w:p>
        </w:tc>
        <w:tc>
          <w:tcPr>
            <w:tcW w:w="1643" w:type="dxa"/>
            <w:vAlign w:val="center"/>
          </w:tcPr>
          <w:p>
            <w:pPr>
              <w:pStyle w:val="15"/>
            </w:pPr>
            <w:r>
              <w:t>1.00</w:t>
            </w:r>
          </w:p>
        </w:tc>
        <w:tc>
          <w:tcPr>
            <w:tcW w:w="1643" w:type="dxa"/>
            <w:vAlign w:val="center"/>
          </w:tcPr>
          <w:p>
            <w:pPr>
              <w:pStyle w:val="15"/>
            </w:pPr>
          </w:p>
        </w:tc>
        <w:tc>
          <w:tcPr>
            <w:tcW w:w="1643"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30206</w:t>
            </w:r>
          </w:p>
        </w:tc>
        <w:tc>
          <w:tcPr>
            <w:tcW w:w="1643" w:type="dxa"/>
            <w:vAlign w:val="center"/>
          </w:tcPr>
          <w:p>
            <w:pPr>
              <w:pStyle w:val="16"/>
            </w:pPr>
            <w:r>
              <w:t>电费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10.00</w:t>
            </w:r>
          </w:p>
        </w:tc>
        <w:tc>
          <w:tcPr>
            <w:tcW w:w="1643" w:type="dxa"/>
            <w:vAlign w:val="center"/>
          </w:tcPr>
          <w:p>
            <w:pPr>
              <w:pStyle w:val="15"/>
            </w:pP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30208</w:t>
            </w:r>
          </w:p>
        </w:tc>
        <w:tc>
          <w:tcPr>
            <w:tcW w:w="1643" w:type="dxa"/>
            <w:vAlign w:val="center"/>
          </w:tcPr>
          <w:p>
            <w:pPr>
              <w:pStyle w:val="16"/>
            </w:pPr>
            <w:r>
              <w:t>取暖费</w:t>
            </w:r>
          </w:p>
        </w:tc>
        <w:tc>
          <w:tcPr>
            <w:tcW w:w="1643" w:type="dxa"/>
            <w:vAlign w:val="center"/>
          </w:tcPr>
          <w:p>
            <w:pPr>
              <w:pStyle w:val="15"/>
            </w:pPr>
            <w:r>
              <w:t>5.00</w:t>
            </w:r>
          </w:p>
        </w:tc>
        <w:tc>
          <w:tcPr>
            <w:tcW w:w="1643" w:type="dxa"/>
            <w:vAlign w:val="center"/>
          </w:tcPr>
          <w:p>
            <w:pPr>
              <w:pStyle w:val="15"/>
            </w:pPr>
          </w:p>
        </w:tc>
        <w:tc>
          <w:tcPr>
            <w:tcW w:w="164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1.00</w:t>
            </w:r>
          </w:p>
        </w:tc>
        <w:tc>
          <w:tcPr>
            <w:tcW w:w="1643" w:type="dxa"/>
            <w:vAlign w:val="center"/>
          </w:tcPr>
          <w:p>
            <w:pPr>
              <w:pStyle w:val="15"/>
            </w:pPr>
          </w:p>
        </w:tc>
        <w:tc>
          <w:tcPr>
            <w:tcW w:w="1643"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30227</w:t>
            </w:r>
          </w:p>
        </w:tc>
        <w:tc>
          <w:tcPr>
            <w:tcW w:w="1643" w:type="dxa"/>
            <w:vAlign w:val="center"/>
          </w:tcPr>
          <w:p>
            <w:pPr>
              <w:pStyle w:val="16"/>
            </w:pPr>
            <w:r>
              <w:t>委托业务费</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12.00</w:t>
            </w:r>
          </w:p>
        </w:tc>
        <w:tc>
          <w:tcPr>
            <w:tcW w:w="1643" w:type="dxa"/>
            <w:vAlign w:val="center"/>
          </w:tcPr>
          <w:p>
            <w:pPr>
              <w:pStyle w:val="15"/>
            </w:pPr>
          </w:p>
        </w:tc>
        <w:tc>
          <w:tcPr>
            <w:tcW w:w="1643"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3.50</w:t>
            </w:r>
          </w:p>
        </w:tc>
        <w:tc>
          <w:tcPr>
            <w:tcW w:w="1643" w:type="dxa"/>
            <w:vAlign w:val="center"/>
          </w:tcPr>
          <w:p>
            <w:pPr>
              <w:pStyle w:val="15"/>
            </w:pPr>
            <w:r>
              <w:t>3.50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3.50</w:t>
            </w:r>
          </w:p>
        </w:tc>
        <w:tc>
          <w:tcPr>
            <w:tcW w:w="1643" w:type="dxa"/>
            <w:vAlign w:val="center"/>
          </w:tcPr>
          <w:p>
            <w:pPr>
              <w:pStyle w:val="15"/>
            </w:pPr>
            <w:r>
              <w:t>3.50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1643" w:type="dxa"/>
            <w:vAlign w:val="center"/>
          </w:tcPr>
          <w:p>
            <w:pPr>
              <w:pStyle w:val="14"/>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无极县应急管理局本级2022年单位预算信息公开情况说明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、《地方预决算公开操作规程》和《关于进一步推进预算公开工作的实施意见》规定，现将无极县应急管理局本级2022年单位预算公开如下：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县应急管理局贯彻落实党中央、省委、市委和县委关于应急工作的方针政策和决策部署，坚持和加强党对应急管理工作的集中统一领导。主要职责是：</w:t>
      </w:r>
    </w:p>
    <w:p>
      <w:pPr>
        <w:pStyle w:val="29"/>
      </w:pPr>
      <w:r>
        <w:t>（一）负责应急管理工作。负责全县各部门应对安全生产类、自然灾害类等突发事件和综合防灾减灾救灾工作；负责安全生产综合监督管理和工矿商贸行业安全生产监督管理工作。</w:t>
      </w:r>
    </w:p>
    <w:p>
      <w:pPr>
        <w:pStyle w:val="29"/>
      </w:pPr>
      <w:r>
        <w:t>（二）拟订县级应急管理、安全生产等政策规定的组织实施意见，组织编制县应急体系建设、安全生产和综合防灾减灾规划，起草地方性政府规章草案，组织制定相关具体规程并监督实施。</w:t>
      </w:r>
    </w:p>
    <w:p>
      <w:pPr>
        <w:pStyle w:val="29"/>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29"/>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29"/>
      </w:pPr>
      <w:r>
        <w:t>（五）组织协调安全生产类、自然灾害类等突发事件应急救援，综合研判突发事件发展态势并提出应对建议，协助县委、县政府指定的负责同志组织重大灾害应急处置工作。</w:t>
      </w:r>
    </w:p>
    <w:p>
      <w:pPr>
        <w:pStyle w:val="29"/>
      </w:pPr>
      <w:r>
        <w:t>（六）统一协调指挥各类应急专业队伍，建立应急协调联动机制，推进指挥平台对接，衔接相关部门和专业队伍参与应急救援工作。</w:t>
      </w:r>
    </w:p>
    <w:p>
      <w:pPr>
        <w:pStyle w:val="29"/>
      </w:pPr>
      <w:r>
        <w:t>（七）统筹应急救援力量建设，负责消防火灾扑救、抗洪抢险、地震和地质灾害救援、生产安全事故救援等专业应急救援力量建设，综合协调应急救援队伍，指导全县及社会应急救援力量建设。</w:t>
      </w:r>
    </w:p>
    <w:p>
      <w:pPr>
        <w:pStyle w:val="29"/>
      </w:pPr>
      <w:r>
        <w:t>（八）组织协调消防工作，负责全县消防监督、火灾预防、火灾扑救等工作。</w:t>
      </w:r>
    </w:p>
    <w:p>
      <w:pPr>
        <w:pStyle w:val="29"/>
      </w:pPr>
      <w:r>
        <w:t>（九）组织协调森林和草原火灾、水旱灾害、地震和地质灾害等防治工作，负责自然灾害综合监测预警工作；会同有关部门做好自然灾害综合风险评估工作。</w:t>
      </w:r>
    </w:p>
    <w:p>
      <w:pPr>
        <w:pStyle w:val="29"/>
      </w:pPr>
      <w:r>
        <w:t>（十）组织协调灾害救助工作，负责灾情核查、损失评估、救灾捐赠工作，管理、分配救灾款物并监督使用。</w:t>
      </w:r>
    </w:p>
    <w:p>
      <w:pPr>
        <w:pStyle w:val="29"/>
      </w:pPr>
      <w:r>
        <w:t>（十一）依法行使安全生产综合监督管理职权，指导协调、监督检查各乡（镇）政府、经济开发区（功能区）和县直有关部门的安全生产工作，组织开展安全生产巡查、考核工作。</w:t>
      </w:r>
    </w:p>
    <w:p>
      <w:pPr>
        <w:pStyle w:val="29"/>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29"/>
      </w:pPr>
      <w:r>
        <w:t>（十三）依法开展生产安全事故调查处理，监督事故查处和责任追究落实情况；组织开展自然灾害类突发事件的调查评估工作，并根据评估结果向县政府提出意见或建议。</w:t>
      </w:r>
    </w:p>
    <w:p>
      <w:pPr>
        <w:pStyle w:val="29"/>
      </w:pPr>
      <w:r>
        <w:t>（十四）制定应急物资储备和应急救援装备规划并组织实施，会同县政府相关部门建立健全应急物资信息平台和调拨制度，在救灾时统一调度。</w:t>
      </w:r>
    </w:p>
    <w:p>
      <w:pPr>
        <w:pStyle w:val="29"/>
      </w:pPr>
      <w:r>
        <w:t>（十五）负责应急管理、安全生产宣传教育和培训工作，负责应急管理、安全生产科技成果推广应用和信息化建设工作。</w:t>
      </w:r>
    </w:p>
    <w:p>
      <w:pPr>
        <w:pStyle w:val="29"/>
      </w:pPr>
      <w:r>
        <w:t>（十六）负责组织协调、指导监督全县安全生产行政执法工作，组织开展对县域内企业的执法检查，组织开展对辖区安全生产重点企业的执法抽查。</w:t>
      </w:r>
    </w:p>
    <w:p>
      <w:pPr>
        <w:pStyle w:val="29"/>
      </w:pPr>
      <w:r>
        <w:t>（十七）组织开展应急管理方面的区域交流与合作。</w:t>
      </w:r>
    </w:p>
    <w:p>
      <w:pPr>
        <w:pStyle w:val="29"/>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无极县应急管理局本级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p>
    <w:p>
      <w:pPr>
        <w:pStyle w:val="22"/>
      </w:pPr>
      <w:r>
        <w:t>按照预算管理有关规定，目前我县</w:t>
      </w:r>
      <w:r>
        <w:rPr>
          <w:rFonts w:hint="eastAsia"/>
          <w:lang w:val="en-US" w:eastAsia="zh-CN"/>
        </w:rPr>
        <w:t>单位</w:t>
      </w:r>
      <w:r>
        <w:t>预算的编制实行综合预算制度，即全部收入和支出都反映在预算</w:t>
      </w:r>
      <w:r>
        <w:rPr>
          <w:rFonts w:hint="eastAsia"/>
          <w:lang w:eastAsia="zh-CN"/>
        </w:rPr>
        <w:t>中。</w:t>
      </w:r>
      <w:r>
        <w:rPr>
          <w:rFonts w:hint="eastAsia"/>
          <w:lang w:val="en-US" w:eastAsia="zh-CN"/>
        </w:rPr>
        <w:t>无极县应急管理局本级</w:t>
      </w:r>
      <w:r>
        <w:t>所有收支都包含在</w:t>
      </w:r>
      <w:r>
        <w:rPr>
          <w:rFonts w:hint="eastAsia"/>
          <w:lang w:val="en-US" w:eastAsia="zh-CN"/>
        </w:rPr>
        <w:t>单位</w:t>
      </w:r>
      <w:r>
        <w:t>预算中。</w:t>
      </w:r>
    </w:p>
    <w:p>
      <w:pPr>
        <w:pStyle w:val="22"/>
      </w:pPr>
      <w:r>
        <w:t>1、收入说明</w:t>
      </w:r>
    </w:p>
    <w:p>
      <w:pPr>
        <w:pStyle w:val="22"/>
      </w:pPr>
      <w:r>
        <w:t>反映本</w:t>
      </w:r>
      <w:r>
        <w:rPr>
          <w:rFonts w:hint="eastAsia"/>
          <w:lang w:eastAsia="zh-CN"/>
        </w:rPr>
        <w:t>单位</w:t>
      </w:r>
      <w:r>
        <w:t>当年全部收入，2022年预算收入462.7万元，其中一般公共预算收入462.7万元,基金预算拨款0万元，财政专户核拨0万元，其他来源收入0万元。</w:t>
      </w:r>
    </w:p>
    <w:p>
      <w:pPr>
        <w:pStyle w:val="22"/>
      </w:pPr>
      <w:r>
        <w:t>2、支出说明</w:t>
      </w:r>
    </w:p>
    <w:p>
      <w:pPr>
        <w:pStyle w:val="22"/>
      </w:pPr>
      <w:r>
        <w:t>收支预算总表支出栏、基本支出表、项目支出表按经济分类和支出功能分类科目编制，反映我</w:t>
      </w:r>
      <w:r>
        <w:rPr>
          <w:rFonts w:hint="eastAsia"/>
          <w:lang w:eastAsia="zh-CN"/>
        </w:rPr>
        <w:t>单位</w:t>
      </w:r>
      <w:r>
        <w:t>本年度支出预算的总体情况。2022年支出预算462.7万元，其中基本支出449.7万元，包括人员经费和日常公用经费；项目支出13万元，主要用于我县农房保险工作。</w:t>
      </w:r>
    </w:p>
    <w:p>
      <w:pPr>
        <w:pStyle w:val="22"/>
      </w:pPr>
      <w:r>
        <w:t>3、比上年增减情况</w:t>
      </w:r>
    </w:p>
    <w:p>
      <w:pPr>
        <w:pStyle w:val="22"/>
      </w:pPr>
      <w:r>
        <w:t>2022年</w:t>
      </w:r>
      <w:r>
        <w:rPr>
          <w:rFonts w:hint="eastAsia"/>
          <w:lang w:eastAsia="zh-CN"/>
        </w:rPr>
        <w:t>单位</w:t>
      </w:r>
      <w:r>
        <w:t>预算支出较2021年减少225.07万元，其中：基本支出增加3.8万元，主要是增加人员经费支出；项目支出减少228.87万元，主要是项目较去年有所减少。</w:t>
      </w: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23"/>
      </w:pPr>
      <w:r>
        <w:t>2022年机关运行经费共计安排47万元，主要用于保证机关正常运转的办公及印刷费、邮电费、差旅费、一般设备购置费、办公用房电费、日常维修费等支出。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pPr>
        <w:pStyle w:val="24"/>
      </w:pPr>
      <w:r>
        <w:t>2022年，我</w:t>
      </w:r>
      <w:r>
        <w:rPr>
          <w:rFonts w:hint="eastAsia"/>
          <w:lang w:val="en-US" w:eastAsia="zh-CN"/>
        </w:rPr>
        <w:t>单位</w:t>
      </w:r>
      <w:r>
        <w:t>财政拨款“三公”经费预算安排</w:t>
      </w:r>
      <w:r>
        <w:rPr>
          <w:rFonts w:hint="eastAsia"/>
          <w:lang w:val="en-US" w:eastAsia="zh-CN"/>
        </w:rPr>
        <w:t>0</w:t>
      </w:r>
      <w:r>
        <w:t>万元，其中：因公出国（境）费0万元；</w:t>
      </w:r>
      <w:r>
        <w:rPr>
          <w:highlight w:val="none"/>
        </w:rPr>
        <w:t>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w:t>
      </w:r>
      <w:r>
        <w:t>其中公务接待费0万元。</w:t>
      </w:r>
      <w:r>
        <w:rPr>
          <w:highlight w:val="none"/>
        </w:rPr>
        <w:t>“三公”经费比上年</w:t>
      </w:r>
      <w:r>
        <w:rPr>
          <w:rFonts w:hint="eastAsia"/>
          <w:highlight w:val="none"/>
          <w:lang w:eastAsia="zh-CN"/>
        </w:rPr>
        <w:t>减少</w:t>
      </w:r>
      <w:r>
        <w:rPr>
          <w:rFonts w:hint="eastAsia"/>
          <w:highlight w:val="none"/>
          <w:lang w:val="en-US" w:eastAsia="zh-CN"/>
        </w:rPr>
        <w:t>3</w:t>
      </w:r>
      <w:r>
        <w:rPr>
          <w:highlight w:val="none"/>
        </w:rPr>
        <w:t>万元，主要是</w:t>
      </w:r>
      <w:r>
        <w:rPr>
          <w:rFonts w:hint="eastAsia"/>
          <w:highlight w:val="none"/>
          <w:lang w:eastAsia="zh-CN"/>
        </w:rPr>
        <w:t>今</w:t>
      </w:r>
      <w:r>
        <w:rPr>
          <w:highlight w:val="none"/>
        </w:rPr>
        <w:t>年未安排公车运行维护费。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1、关于提前下达2022年自然灾害救助专项资金绩效目标表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1.防止减少灾害损失</w:t>
            </w:r>
          </w:p>
          <w:p>
            <w:pPr>
              <w:pStyle w:val="16"/>
            </w:pPr>
            <w:r>
              <w:t>2.保障我县农房保险工作</w:t>
            </w:r>
          </w:p>
          <w:p>
            <w:pPr>
              <w:pStyle w:val="16"/>
            </w:pPr>
            <w:r>
              <w:t>3.提升我县自然灾害保障能力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防止和减少灾害损失情况</w:t>
            </w:r>
          </w:p>
        </w:tc>
        <w:tc>
          <w:tcPr>
            <w:tcW w:w="2466" w:type="dxa"/>
            <w:vAlign w:val="center"/>
          </w:tcPr>
          <w:p>
            <w:pPr>
              <w:pStyle w:val="16"/>
            </w:pPr>
            <w:r>
              <w:t>防止和减少灾害损失情况</w:t>
            </w:r>
          </w:p>
        </w:tc>
        <w:tc>
          <w:tcPr>
            <w:tcW w:w="2466" w:type="dxa"/>
            <w:vAlign w:val="center"/>
          </w:tcPr>
          <w:p>
            <w:pPr>
              <w:pStyle w:val="16"/>
            </w:pPr>
            <w:r>
              <w:t>≥90%</w:t>
            </w:r>
          </w:p>
        </w:tc>
        <w:tc>
          <w:tcPr>
            <w:tcW w:w="2466" w:type="dxa"/>
            <w:vAlign w:val="center"/>
          </w:tcPr>
          <w:p>
            <w:pPr>
              <w:pStyle w:val="16"/>
            </w:pPr>
            <w:r>
              <w:t>防止和减少灾害损失情况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保障我县农房保险工作</w:t>
            </w:r>
          </w:p>
        </w:tc>
        <w:tc>
          <w:tcPr>
            <w:tcW w:w="2466" w:type="dxa"/>
            <w:vAlign w:val="center"/>
          </w:tcPr>
          <w:p>
            <w:pPr>
              <w:pStyle w:val="16"/>
            </w:pPr>
            <w:r>
              <w:t>保障我县农房保险工作</w:t>
            </w:r>
          </w:p>
        </w:tc>
        <w:tc>
          <w:tcPr>
            <w:tcW w:w="2466" w:type="dxa"/>
            <w:vAlign w:val="center"/>
          </w:tcPr>
          <w:p>
            <w:pPr>
              <w:pStyle w:val="16"/>
            </w:pPr>
            <w:r>
              <w:t>≥90%</w:t>
            </w:r>
          </w:p>
        </w:tc>
        <w:tc>
          <w:tcPr>
            <w:tcW w:w="2466" w:type="dxa"/>
            <w:vAlign w:val="center"/>
          </w:tcPr>
          <w:p>
            <w:pPr>
              <w:pStyle w:val="16"/>
            </w:pPr>
            <w:r>
              <w:t>保障我县农房保险工作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受灾农房保险理赔时间</w:t>
            </w:r>
          </w:p>
        </w:tc>
        <w:tc>
          <w:tcPr>
            <w:tcW w:w="2466" w:type="dxa"/>
            <w:vAlign w:val="center"/>
          </w:tcPr>
          <w:p>
            <w:pPr>
              <w:pStyle w:val="16"/>
            </w:pPr>
            <w:r>
              <w:t>受灾农房保险理赔时间</w:t>
            </w:r>
          </w:p>
        </w:tc>
        <w:tc>
          <w:tcPr>
            <w:tcW w:w="2466" w:type="dxa"/>
            <w:vAlign w:val="center"/>
          </w:tcPr>
          <w:p>
            <w:pPr>
              <w:pStyle w:val="16"/>
            </w:pPr>
            <w:r>
              <w:t>≥90%</w:t>
            </w:r>
          </w:p>
        </w:tc>
        <w:tc>
          <w:tcPr>
            <w:tcW w:w="2466" w:type="dxa"/>
            <w:vAlign w:val="center"/>
          </w:tcPr>
          <w:p>
            <w:pPr>
              <w:pStyle w:val="16"/>
            </w:pPr>
            <w:r>
              <w:t>受灾农房保险理赔时间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控制在预算成本内</w:t>
            </w:r>
          </w:p>
        </w:tc>
        <w:tc>
          <w:tcPr>
            <w:tcW w:w="2466" w:type="dxa"/>
            <w:vAlign w:val="center"/>
          </w:tcPr>
          <w:p>
            <w:pPr>
              <w:pStyle w:val="16"/>
            </w:pPr>
            <w:r>
              <w:t>控制在预算成本内</w:t>
            </w:r>
          </w:p>
        </w:tc>
        <w:tc>
          <w:tcPr>
            <w:tcW w:w="2466" w:type="dxa"/>
            <w:vAlign w:val="center"/>
          </w:tcPr>
          <w:p>
            <w:pPr>
              <w:pStyle w:val="16"/>
            </w:pPr>
            <w:r>
              <w:t>≥90%</w:t>
            </w:r>
          </w:p>
        </w:tc>
        <w:tc>
          <w:tcPr>
            <w:tcW w:w="2466" w:type="dxa"/>
            <w:vAlign w:val="center"/>
          </w:tcPr>
          <w:p>
            <w:pPr>
              <w:pStyle w:val="16"/>
            </w:pPr>
            <w:r>
              <w:t>控制在预算成本内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保障受灾农房</w:t>
            </w:r>
          </w:p>
        </w:tc>
        <w:tc>
          <w:tcPr>
            <w:tcW w:w="2466" w:type="dxa"/>
            <w:vAlign w:val="center"/>
          </w:tcPr>
          <w:p>
            <w:pPr>
              <w:pStyle w:val="16"/>
            </w:pPr>
            <w:r>
              <w:t>保障受灾农房</w:t>
            </w:r>
          </w:p>
        </w:tc>
        <w:tc>
          <w:tcPr>
            <w:tcW w:w="2466" w:type="dxa"/>
            <w:vAlign w:val="center"/>
          </w:tcPr>
          <w:p>
            <w:pPr>
              <w:pStyle w:val="16"/>
            </w:pPr>
            <w:r>
              <w:t>≥90%</w:t>
            </w:r>
          </w:p>
        </w:tc>
        <w:tc>
          <w:tcPr>
            <w:tcW w:w="2466" w:type="dxa"/>
            <w:vAlign w:val="center"/>
          </w:tcPr>
          <w:p>
            <w:pPr>
              <w:pStyle w:val="16"/>
            </w:pPr>
            <w:r>
              <w:t>保障受灾农房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对县级受灾情况影响</w:t>
            </w:r>
          </w:p>
        </w:tc>
        <w:tc>
          <w:tcPr>
            <w:tcW w:w="2466" w:type="dxa"/>
            <w:vAlign w:val="center"/>
          </w:tcPr>
          <w:p>
            <w:pPr>
              <w:pStyle w:val="16"/>
            </w:pPr>
            <w:r>
              <w:t>对县级受灾情况影响</w:t>
            </w:r>
          </w:p>
        </w:tc>
        <w:tc>
          <w:tcPr>
            <w:tcW w:w="2466" w:type="dxa"/>
            <w:vAlign w:val="center"/>
          </w:tcPr>
          <w:p>
            <w:pPr>
              <w:pStyle w:val="16"/>
            </w:pPr>
            <w:r>
              <w:t>≥90%</w:t>
            </w:r>
          </w:p>
        </w:tc>
        <w:tc>
          <w:tcPr>
            <w:tcW w:w="2466" w:type="dxa"/>
            <w:vAlign w:val="center"/>
          </w:tcPr>
          <w:p>
            <w:pPr>
              <w:pStyle w:val="16"/>
            </w:pPr>
            <w:r>
              <w:t>对县级受灾情况影响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保障受灾群众生态环境</w:t>
            </w:r>
          </w:p>
        </w:tc>
        <w:tc>
          <w:tcPr>
            <w:tcW w:w="2466" w:type="dxa"/>
            <w:vAlign w:val="center"/>
          </w:tcPr>
          <w:p>
            <w:pPr>
              <w:pStyle w:val="16"/>
            </w:pPr>
            <w:r>
              <w:t>保障受灾群众生态环境</w:t>
            </w:r>
          </w:p>
        </w:tc>
        <w:tc>
          <w:tcPr>
            <w:tcW w:w="2466" w:type="dxa"/>
            <w:vAlign w:val="center"/>
          </w:tcPr>
          <w:p>
            <w:pPr>
              <w:pStyle w:val="16"/>
            </w:pPr>
            <w:r>
              <w:t>≥90%</w:t>
            </w:r>
          </w:p>
        </w:tc>
        <w:tc>
          <w:tcPr>
            <w:tcW w:w="2466" w:type="dxa"/>
            <w:vAlign w:val="center"/>
          </w:tcPr>
          <w:p>
            <w:pPr>
              <w:pStyle w:val="16"/>
            </w:pPr>
            <w:r>
              <w:t>保障受灾群众生态环境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提升我县自然灾害保障能力</w:t>
            </w:r>
          </w:p>
        </w:tc>
        <w:tc>
          <w:tcPr>
            <w:tcW w:w="2466" w:type="dxa"/>
            <w:vAlign w:val="center"/>
          </w:tcPr>
          <w:p>
            <w:pPr>
              <w:pStyle w:val="16"/>
            </w:pPr>
            <w:r>
              <w:t>提升我县自然灾害保障能力</w:t>
            </w:r>
          </w:p>
        </w:tc>
        <w:tc>
          <w:tcPr>
            <w:tcW w:w="2466" w:type="dxa"/>
            <w:vAlign w:val="center"/>
          </w:tcPr>
          <w:p>
            <w:pPr>
              <w:pStyle w:val="16"/>
            </w:pPr>
            <w:r>
              <w:t>≥90%</w:t>
            </w:r>
          </w:p>
        </w:tc>
        <w:tc>
          <w:tcPr>
            <w:tcW w:w="2466" w:type="dxa"/>
            <w:vAlign w:val="center"/>
          </w:tcPr>
          <w:p>
            <w:pPr>
              <w:pStyle w:val="16"/>
            </w:pPr>
            <w:r>
              <w:t>提升我县自然灾害保障能力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受灾群众对救助满意度</w:t>
            </w:r>
          </w:p>
        </w:tc>
        <w:tc>
          <w:tcPr>
            <w:tcW w:w="2466" w:type="dxa"/>
            <w:vAlign w:val="center"/>
          </w:tcPr>
          <w:p>
            <w:pPr>
              <w:pStyle w:val="16"/>
            </w:pPr>
            <w:r>
              <w:t>受灾群众对救助满意度</w:t>
            </w:r>
          </w:p>
        </w:tc>
        <w:tc>
          <w:tcPr>
            <w:tcW w:w="2466" w:type="dxa"/>
            <w:vAlign w:val="center"/>
          </w:tcPr>
          <w:p>
            <w:pPr>
              <w:pStyle w:val="16"/>
            </w:pPr>
            <w:r>
              <w:t>≥90%</w:t>
            </w:r>
          </w:p>
        </w:tc>
        <w:tc>
          <w:tcPr>
            <w:tcW w:w="2466" w:type="dxa"/>
            <w:vAlign w:val="center"/>
          </w:tcPr>
          <w:p>
            <w:pPr>
              <w:pStyle w:val="16"/>
            </w:pPr>
            <w:r>
              <w:t>受灾群众对救助满意度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2022年，无极县应急管理局本级安排政府采购预算0.00万元。具体内容见下表。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vAlign w:val="center"/>
          </w:tcPr>
          <w:p>
            <w:pPr>
              <w:pStyle w:val="28"/>
            </w:pPr>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政府采购项目来源</w:t>
            </w:r>
          </w:p>
        </w:tc>
        <w:tc>
          <w:tcPr>
            <w:tcW w:w="924" w:type="dxa"/>
          </w:tcP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924" w:type="dxa"/>
            <w:vAlign w:val="center"/>
          </w:tcPr>
          <w:p>
            <w:pPr>
              <w:pStyle w:val="14"/>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无极县应急管理局本级上年末固定资产金额为83.09万元（详见下表）。本年度拟购置固定资产总额为0.00万元，已按要求列入政府采购预算，详见政府采购预算表。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83.09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2</w:t>
            </w:r>
          </w:p>
        </w:tc>
        <w:tc>
          <w:tcPr>
            <w:tcW w:w="4933" w:type="dxa"/>
            <w:vAlign w:val="center"/>
          </w:tcPr>
          <w:p>
            <w:pPr>
              <w:pStyle w:val="15"/>
            </w:pPr>
            <w:r>
              <w:t>24.38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17</w:t>
            </w:r>
          </w:p>
        </w:tc>
        <w:tc>
          <w:tcPr>
            <w:tcW w:w="4933" w:type="dxa"/>
            <w:vAlign w:val="center"/>
          </w:tcPr>
          <w:p>
            <w:pPr>
              <w:pStyle w:val="15"/>
            </w:pPr>
            <w:r>
              <w:t>58.71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57421D7"/>
    <w:rsid w:val="06AD0181"/>
    <w:rsid w:val="08614263"/>
    <w:rsid w:val="09A43E33"/>
    <w:rsid w:val="0AB35E1D"/>
    <w:rsid w:val="0C321DFD"/>
    <w:rsid w:val="10C64A93"/>
    <w:rsid w:val="162639BD"/>
    <w:rsid w:val="1636067D"/>
    <w:rsid w:val="16556431"/>
    <w:rsid w:val="165C1D3E"/>
    <w:rsid w:val="183945CA"/>
    <w:rsid w:val="18950986"/>
    <w:rsid w:val="1C26713F"/>
    <w:rsid w:val="1CDE7D80"/>
    <w:rsid w:val="214210A0"/>
    <w:rsid w:val="23C87262"/>
    <w:rsid w:val="286C4F60"/>
    <w:rsid w:val="2B11298B"/>
    <w:rsid w:val="2B5528CD"/>
    <w:rsid w:val="2CFF49DE"/>
    <w:rsid w:val="2EE62680"/>
    <w:rsid w:val="32855FEF"/>
    <w:rsid w:val="328C597A"/>
    <w:rsid w:val="33E55013"/>
    <w:rsid w:val="35B501C1"/>
    <w:rsid w:val="35EA2F9C"/>
    <w:rsid w:val="37B855F7"/>
    <w:rsid w:val="38D11947"/>
    <w:rsid w:val="394B230B"/>
    <w:rsid w:val="3AD0140D"/>
    <w:rsid w:val="3D4B049C"/>
    <w:rsid w:val="425F778B"/>
    <w:rsid w:val="44152BB4"/>
    <w:rsid w:val="51024D13"/>
    <w:rsid w:val="56C553EB"/>
    <w:rsid w:val="56DA14B4"/>
    <w:rsid w:val="5ED42BA2"/>
    <w:rsid w:val="5F067DDB"/>
    <w:rsid w:val="5FFE3589"/>
    <w:rsid w:val="603160D8"/>
    <w:rsid w:val="643A5692"/>
    <w:rsid w:val="67837EE3"/>
    <w:rsid w:val="683A3D2B"/>
    <w:rsid w:val="6FFD3FBC"/>
    <w:rsid w:val="738B299C"/>
    <w:rsid w:val="77DF61B9"/>
    <w:rsid w:val="7B1E0809"/>
    <w:rsid w:val="7D7E706F"/>
    <w:rsid w:val="7E3F19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2022-06-22T18:28:57Z</dcterms:created>
  <dcterms:modified xsi:type="dcterms:W3CDTF">2022-06-22T10:28:57Z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2022-06-22T18:28:57Z</dcterms:created>
  <dcterms:modified xsi:type="dcterms:W3CDTF">2022-06-22T10:28:57Z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2022-06-22T18:28:57Z</dcterms:created>
  <dcterms:modified xsi:type="dcterms:W3CDTF">2022-06-22T10:28:57Z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2022-06-22T18:28:59Z</dcterms:created>
  <dcterms:modified xsi:type="dcterms:W3CDTF">2022-06-22T10:28:59Z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2022-06-22T18:28:57Z</dcterms:created>
  <dcterms:modified xsi:type="dcterms:W3CDTF">2022-06-22T10:28:57Z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2022-06-22T18:28:59Z</dcterms:created>
  <dcterms:modified xsi:type="dcterms:W3CDTF">2022-06-22T10:28:59Z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2022-06-22T18:28:59Z</dcterms:created>
  <dcterms:modified xsi:type="dcterms:W3CDTF">2022-06-22T10:28:59Z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e85d924-f3cf-4e35-9754-9239113eb5ff}">
  <ds:schemaRefs/>
</ds:datastoreItem>
</file>

<file path=customXml/itemProps11.xml><?xml version="1.0" encoding="utf-8"?>
<ds:datastoreItem xmlns:ds="http://schemas.openxmlformats.org/officeDocument/2006/customXml" ds:itemID="{a68830eb-b5c4-4433-b516-293e8d29d27d}">
  <ds:schemaRefs/>
</ds:datastoreItem>
</file>

<file path=customXml/itemProps12.xml><?xml version="1.0" encoding="utf-8"?>
<ds:datastoreItem xmlns:ds="http://schemas.openxmlformats.org/officeDocument/2006/customXml" ds:itemID="{ea8f500d-59f3-4746-a447-1b477cc93b04}">
  <ds:schemaRefs/>
</ds:datastoreItem>
</file>

<file path=customXml/itemProps13.xml><?xml version="1.0" encoding="utf-8"?>
<ds:datastoreItem xmlns:ds="http://schemas.openxmlformats.org/officeDocument/2006/customXml" ds:itemID="{b20034f9-f131-4e1c-bdc9-2a4284ab8957}">
  <ds:schemaRefs/>
</ds:datastoreItem>
</file>

<file path=customXml/itemProps14.xml><?xml version="1.0" encoding="utf-8"?>
<ds:datastoreItem xmlns:ds="http://schemas.openxmlformats.org/officeDocument/2006/customXml" ds:itemID="{bbf07b96-d361-47cf-905f-d9290a9f15ce}">
  <ds:schemaRefs/>
</ds:datastoreItem>
</file>

<file path=customXml/itemProps15.xml><?xml version="1.0" encoding="utf-8"?>
<ds:datastoreItem xmlns:ds="http://schemas.openxmlformats.org/officeDocument/2006/customXml" ds:itemID="{925d01d8-63bd-4cf3-8ae4-61197f05066d}">
  <ds:schemaRefs/>
</ds:datastoreItem>
</file>

<file path=customXml/itemProps2.xml><?xml version="1.0" encoding="utf-8"?>
<ds:datastoreItem xmlns:ds="http://schemas.openxmlformats.org/officeDocument/2006/customXml" ds:itemID="{f4d93c9a-317f-4462-b96d-602ff4c49641}">
  <ds:schemaRefs/>
</ds:datastoreItem>
</file>

<file path=customXml/itemProps3.xml><?xml version="1.0" encoding="utf-8"?>
<ds:datastoreItem xmlns:ds="http://schemas.openxmlformats.org/officeDocument/2006/customXml" ds:itemID="{cb600fbf-d752-40f4-8887-0bcbaa674541}">
  <ds:schemaRefs/>
</ds:datastoreItem>
</file>

<file path=customXml/itemProps4.xml><?xml version="1.0" encoding="utf-8"?>
<ds:datastoreItem xmlns:ds="http://schemas.openxmlformats.org/officeDocument/2006/customXml" ds:itemID="{cb4f7d7d-87aa-493c-a1b8-1df0a6151edc}">
  <ds:schemaRefs/>
</ds:datastoreItem>
</file>

<file path=customXml/itemProps5.xml><?xml version="1.0" encoding="utf-8"?>
<ds:datastoreItem xmlns:ds="http://schemas.openxmlformats.org/officeDocument/2006/customXml" ds:itemID="{abce5db8-05f9-4cd6-b959-2bc0c6a41be4}">
  <ds:schemaRefs/>
</ds:datastoreItem>
</file>

<file path=customXml/itemProps6.xml><?xml version="1.0" encoding="utf-8"?>
<ds:datastoreItem xmlns:ds="http://schemas.openxmlformats.org/officeDocument/2006/customXml" ds:itemID="{d153cae6-be90-452c-a386-ce691c229a5a}">
  <ds:schemaRefs/>
</ds:datastoreItem>
</file>

<file path=customXml/itemProps7.xml><?xml version="1.0" encoding="utf-8"?>
<ds:datastoreItem xmlns:ds="http://schemas.openxmlformats.org/officeDocument/2006/customXml" ds:itemID="{95be992a-c409-49ec-aad9-e7cee76b9f49}">
  <ds:schemaRefs/>
</ds:datastoreItem>
</file>

<file path=customXml/itemProps8.xml><?xml version="1.0" encoding="utf-8"?>
<ds:datastoreItem xmlns:ds="http://schemas.openxmlformats.org/officeDocument/2006/customXml" ds:itemID="{57efb787-fc49-4ad4-bc22-838fc53dfa4d}">
  <ds:schemaRefs/>
</ds:datastoreItem>
</file>

<file path=customXml/itemProps9.xml><?xml version="1.0" encoding="utf-8"?>
<ds:datastoreItem xmlns:ds="http://schemas.openxmlformats.org/officeDocument/2006/customXml" ds:itemID="{f5a01cc6-7725-4968-a8f2-a7e04d7d476d}">
  <ds:schemaRefs/>
</ds:datastoreItem>
</file>

<file path=docProps/app.xml><?xml version="1.0" encoding="utf-8"?>
<Properties xmlns="http://schemas.openxmlformats.org/officeDocument/2006/extended-properties" xmlns:vt="http://schemas.openxmlformats.org/officeDocument/2006/docPropsVTypes">
  <Pages>75</Pages>
  <Words>14838</Words>
  <Characters>17023</Characters>
  <TotalTime>0</TotalTime>
  <ScaleCrop>false</ScaleCrop>
  <LinksUpToDate>false</LinksUpToDate>
  <CharactersWithSpaces>17296</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2022-06-22T18:28:00Z</dcterms:created>
  <dc:creator>Administrator</dc:creator>
  <cp:lastModifiedBy>Administrator</cp:lastModifiedBy>
  <dcterms:modified xsi:type="dcterms:W3CDTF">2024-01-16T05:53:24Z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0939FEC191134B2396FC203C54713A0C</vt:lpwstr>
  </property>
</Properties>
</file>