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adjustRightInd w:val="0"/>
        <w:snapToGrid w:val="0"/>
        <w:jc w:val="center"/>
        <w:rPr>
          <w:rFonts w:ascii="宋体" w:hAnsi="宋体" w:cs="宋体"/>
          <w:b/>
          <w:bCs/>
          <w:sz w:val="44"/>
          <w:szCs w:val="44"/>
        </w:rPr>
      </w:pPr>
      <w:bookmarkStart w:id="16" w:name="_GoBack"/>
      <w:bookmarkEnd w:id="16"/>
      <w:r>
        <w:rPr>
          <w:rFonts w:hint="eastAsia" w:ascii="宋体" w:hAnsi="宋体" w:cs="宋体"/>
          <w:b/>
          <w:bCs/>
          <w:sz w:val="44"/>
          <w:szCs w:val="44"/>
        </w:rPr>
        <w:t>无极县应急管理局</w:t>
      </w:r>
    </w:p>
    <w:p>
      <w:pPr>
        <w:adjustRightInd w:val="0"/>
        <w:snapToGrid w:val="0"/>
        <w:jc w:val="center"/>
        <w:rPr>
          <w:rFonts w:ascii="方正小标宋_GBK" w:hAnsi="Times New Roman" w:eastAsia="方正小标宋_GBK" w:cs="Times New Roman"/>
          <w:bCs/>
          <w:sz w:val="44"/>
          <w:szCs w:val="44"/>
        </w:rPr>
      </w:pPr>
      <w:r>
        <w:rPr>
          <w:rFonts w:hint="eastAsia" w:ascii="方正小标宋_GBK" w:hAnsi="Times New Roman" w:eastAsia="方正小标宋_GBK" w:cs="Times New Roman"/>
          <w:bCs/>
          <w:sz w:val="44"/>
          <w:szCs w:val="44"/>
        </w:rPr>
        <w:t>2020年部门预算信息公开情况说明</w:t>
      </w:r>
    </w:p>
    <w:p>
      <w:pPr>
        <w:ind w:firstLine="640"/>
        <w:rPr>
          <w:rFonts w:ascii="Times New Roman" w:hAnsi="Times New Roman" w:eastAsia="仿宋" w:cs="Times New Roman"/>
          <w:sz w:val="32"/>
          <w:szCs w:val="32"/>
        </w:rPr>
      </w:pP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按照</w:t>
      </w:r>
      <w:r>
        <w:rPr>
          <w:rFonts w:hint="eastAsia" w:ascii="Times New Roman" w:hAnsi="Times New Roman" w:eastAsia="仿宋" w:cs="Times New Roman"/>
          <w:sz w:val="32"/>
          <w:szCs w:val="32"/>
          <w:lang w:eastAsia="zh-CN"/>
        </w:rPr>
        <w:t>《中华人民共和国预算法》</w:t>
      </w:r>
      <w:r>
        <w:rPr>
          <w:rFonts w:hint="eastAsia" w:ascii="Times New Roman" w:hAnsi="Times New Roman" w:eastAsia="仿宋" w:cs="Times New Roman"/>
          <w:sz w:val="32"/>
          <w:szCs w:val="32"/>
        </w:rPr>
        <w:t>、《地方预决算公开操作规程》和《无极县县级预算公开办法》规定，现将无极县应急管理局2020年部门预算公开如下：</w:t>
      </w:r>
    </w:p>
    <w:p>
      <w:pPr>
        <w:ind w:firstLine="640"/>
        <w:rPr>
          <w:rFonts w:ascii="黑体" w:hAnsi="黑体" w:eastAsia="黑体" w:cs="Times New Roman"/>
          <w:sz w:val="32"/>
          <w:szCs w:val="32"/>
        </w:rPr>
      </w:pPr>
      <w:r>
        <w:rPr>
          <w:rFonts w:hint="eastAsia" w:ascii="黑体" w:hAnsi="黑体" w:eastAsia="黑体" w:cs="Times New Roman"/>
          <w:sz w:val="32"/>
          <w:szCs w:val="32"/>
        </w:rPr>
        <w:t>一、部门职责及机构设置情况</w:t>
      </w:r>
    </w:p>
    <w:p>
      <w:pPr>
        <w:ind w:firstLine="640"/>
        <w:rPr>
          <w:rFonts w:ascii="Times New Roman" w:hAnsi="Times New Roman" w:eastAsia="仿宋" w:cs="Times New Roman"/>
          <w:sz w:val="32"/>
          <w:szCs w:val="32"/>
        </w:rPr>
      </w:pPr>
      <w:r>
        <w:rPr>
          <w:rFonts w:hint="eastAsia" w:ascii="仿宋" w:hAnsi="仿宋" w:eastAsia="仿宋" w:cs="Times New Roman"/>
          <w:b/>
          <w:sz w:val="32"/>
          <w:szCs w:val="32"/>
        </w:rPr>
        <w:t>部门</w:t>
      </w:r>
      <w:r>
        <w:rPr>
          <w:rFonts w:ascii="仿宋" w:hAnsi="仿宋" w:eastAsia="仿宋" w:cs="Times New Roman"/>
          <w:b/>
          <w:sz w:val="32"/>
          <w:szCs w:val="32"/>
        </w:rPr>
        <w:t>职责：</w:t>
      </w:r>
    </w:p>
    <w:p>
      <w:pPr>
        <w:numPr>
          <w:ilvl w:val="0"/>
          <w:numId w:val="1"/>
        </w:num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负责应急管理工作。负责全县各部门应对安全生产类、自然灾害类等突发事件和综合防灾减灾救灾工作；负责安全生产综合监督管理和工矿商贸行业安全生产监督管理工作。</w:t>
      </w:r>
    </w:p>
    <w:p>
      <w:pPr>
        <w:numPr>
          <w:ilvl w:val="0"/>
          <w:numId w:val="1"/>
        </w:num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拟定县级应急管理、安全生产等政策规定拟订县级应急管理、安全生产等政策规定的组织实施意见，组织编制县应急体系建设、安全生产和综合防灾减灾规划，组织制定相关具体规程并监督实施。</w:t>
      </w:r>
    </w:p>
    <w:p>
      <w:pPr>
        <w:numPr>
          <w:ilvl w:val="0"/>
          <w:numId w:val="1"/>
        </w:num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 xml:space="preserve"> 负责应急预案体系建设，落实完善事故灾难和自然灾害分级应对制度，组织编制县总体应急预案和安全生产类、自然灾害类专项预案，综合协调应急预案衔接工作，组织开展预案演练，推动应急避难设施建设。</w:t>
      </w:r>
    </w:p>
    <w:p>
      <w:pPr>
        <w:numPr>
          <w:ilvl w:val="0"/>
          <w:numId w:val="1"/>
        </w:num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与国家和省市系统对接、建立完善全县应急管理信息系统，负责管辖范内的信息传输的规划和布局;建立监测预警和灾情报告制度，健全自然灾害信息资源获取和共享机制依法统一发布灾情。</w:t>
      </w:r>
    </w:p>
    <w:p>
      <w:pPr>
        <w:numPr>
          <w:ilvl w:val="0"/>
          <w:numId w:val="1"/>
        </w:num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组织协调安全生产类、自然灾害类等突发事件应急救援，综合研判突发事件发展态势并提出应对建议，协助县委、县政府指定的负责同志组织重大灾害应急处置工作。</w:t>
      </w:r>
    </w:p>
    <w:p>
      <w:pPr>
        <w:numPr>
          <w:ilvl w:val="0"/>
          <w:numId w:val="1"/>
        </w:num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统一协调指挥各类应急专业队伍、建立应急协调联动机制，推进指挥平台对接，接相关部门和专业队伍参与应急救援工作。</w:t>
      </w:r>
    </w:p>
    <w:p>
      <w:pPr>
        <w:numPr>
          <w:ilvl w:val="0"/>
          <w:numId w:val="1"/>
        </w:num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统筹应急救援力量建设，负责消防火灾扑救、抗洪抢险、地震和地质灾害救援、生产安全事故救援等专业应急救援力量建设，综合协调应急救援队伍，指导全县及社会应急救投力量建设。</w:t>
      </w:r>
    </w:p>
    <w:p>
      <w:pPr>
        <w:numPr>
          <w:ilvl w:val="0"/>
          <w:numId w:val="1"/>
        </w:num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组织协调消防工作，负责全县消防监督、火灾预防火灾扑救等工作。</w:t>
      </w:r>
    </w:p>
    <w:p>
      <w:pPr>
        <w:numPr>
          <w:ilvl w:val="0"/>
          <w:numId w:val="1"/>
        </w:num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组织协调森林和草原火灾、水早灾害、地震和地质灾害等防治工作，负责自然灾害综合监測预警工作;会同有关部门做好自然灾害综合风险评估工作。</w:t>
      </w:r>
    </w:p>
    <w:p>
      <w:pPr>
        <w:numPr>
          <w:ilvl w:val="0"/>
          <w:numId w:val="1"/>
        </w:num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负责应急管理、安全生产宣传教育和培训工作，负责应急管理、安全生产科技成果推广应用和信息化建设工作。</w:t>
      </w:r>
    </w:p>
    <w:p>
      <w:pPr>
        <w:numPr>
          <w:ilvl w:val="0"/>
          <w:numId w:val="1"/>
        </w:num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负责协调、指导监督全县安全生产行政执法工作，组织开展对县域企业执法检查，组织开展对辖区安全生产重点企业的执法抽查。</w:t>
      </w:r>
    </w:p>
    <w:p>
      <w:pPr>
        <w:numPr>
          <w:ilvl w:val="0"/>
          <w:numId w:val="1"/>
        </w:num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组织开展应急管理方面的区域交流与合作。</w:t>
      </w:r>
    </w:p>
    <w:p>
      <w:pPr>
        <w:numPr>
          <w:ilvl w:val="0"/>
          <w:numId w:val="1"/>
        </w:num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完成县委、县政府交办的其他任务。</w:t>
      </w:r>
    </w:p>
    <w:p>
      <w:pPr>
        <w:rPr>
          <w:rFonts w:ascii="仿宋" w:hAnsi="仿宋" w:eastAsia="仿宋" w:cs="Times New Roman"/>
          <w:sz w:val="32"/>
          <w:szCs w:val="32"/>
        </w:rPr>
      </w:pPr>
    </w:p>
    <w:p>
      <w:pPr>
        <w:ind w:firstLine="643" w:firstLineChars="200"/>
        <w:rPr>
          <w:rFonts w:ascii="仿宋" w:hAnsi="仿宋" w:eastAsia="仿宋" w:cs="Times New Roman"/>
          <w:b/>
          <w:sz w:val="32"/>
          <w:szCs w:val="32"/>
        </w:rPr>
      </w:pPr>
      <w:r>
        <w:rPr>
          <w:rFonts w:hint="eastAsia" w:ascii="仿宋" w:hAnsi="仿宋" w:eastAsia="仿宋" w:cs="Times New Roman"/>
          <w:b/>
          <w:sz w:val="32"/>
          <w:szCs w:val="32"/>
        </w:rPr>
        <w:t>机构设置：</w:t>
      </w:r>
    </w:p>
    <w:p>
      <w:pPr>
        <w:jc w:val="center"/>
        <w:outlineLvl w:val="0"/>
        <w:rPr>
          <w:rFonts w:ascii="Times New Roman" w:hAnsi="Times New Roman" w:eastAsia="方正小标宋_GBK" w:cs="Times New Roman"/>
          <w:sz w:val="32"/>
          <w:szCs w:val="24"/>
        </w:rPr>
      </w:pPr>
      <w:r>
        <w:rPr>
          <w:rFonts w:ascii="Times New Roman" w:hAnsi="Times New Roman" w:eastAsia="方正小标宋_GBK" w:cs="Times New Roman"/>
          <w:sz w:val="32"/>
          <w:szCs w:val="24"/>
        </w:rPr>
        <w:t>部门</w:t>
      </w:r>
      <w:r>
        <w:rPr>
          <w:rFonts w:hint="eastAsia" w:ascii="Times New Roman" w:hAnsi="Times New Roman" w:eastAsia="方正小标宋_GBK" w:cs="Times New Roman"/>
          <w:sz w:val="32"/>
          <w:szCs w:val="24"/>
        </w:rPr>
        <w:t>机构设置情况</w:t>
      </w:r>
    </w:p>
    <w:tbl>
      <w:tblPr>
        <w:tblStyle w:val="7"/>
        <w:tblW w:w="97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417"/>
        <w:gridCol w:w="1134"/>
        <w:gridCol w:w="1276"/>
        <w:gridCol w:w="29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0" w:hRule="atLeast"/>
          <w:tblHeader/>
          <w:jc w:val="center"/>
        </w:trPr>
        <w:tc>
          <w:tcPr>
            <w:tcW w:w="4417" w:type="dxa"/>
            <w:vMerge w:val="restart"/>
            <w:vAlign w:val="center"/>
          </w:tcPr>
          <w:p>
            <w:pPr>
              <w:spacing w:line="300" w:lineRule="exact"/>
              <w:jc w:val="center"/>
              <w:rPr>
                <w:rFonts w:ascii="Times New Roman" w:hAnsi="Times New Roman" w:eastAsia="方正书宋_GBK" w:cs="Times New Roman"/>
                <w:b/>
                <w:szCs w:val="24"/>
              </w:rPr>
            </w:pPr>
            <w:r>
              <w:rPr>
                <w:rFonts w:ascii="Times New Roman" w:hAnsi="Times New Roman" w:eastAsia="方正书宋_GBK" w:cs="Times New Roman"/>
                <w:b/>
                <w:szCs w:val="24"/>
              </w:rPr>
              <w:t>单位名称</w:t>
            </w:r>
          </w:p>
        </w:tc>
        <w:tc>
          <w:tcPr>
            <w:tcW w:w="1134" w:type="dxa"/>
            <w:vMerge w:val="restart"/>
            <w:vAlign w:val="center"/>
          </w:tcPr>
          <w:p>
            <w:pPr>
              <w:spacing w:line="300" w:lineRule="exact"/>
              <w:jc w:val="center"/>
              <w:rPr>
                <w:rFonts w:ascii="Times New Roman" w:hAnsi="Times New Roman" w:eastAsia="方正书宋_GBK" w:cs="Times New Roman"/>
                <w:b/>
                <w:szCs w:val="24"/>
              </w:rPr>
            </w:pPr>
            <w:r>
              <w:rPr>
                <w:rFonts w:ascii="Times New Roman" w:hAnsi="Times New Roman" w:eastAsia="方正书宋_GBK" w:cs="Times New Roman"/>
                <w:b/>
                <w:szCs w:val="24"/>
              </w:rPr>
              <w:t>单位性质</w:t>
            </w:r>
          </w:p>
        </w:tc>
        <w:tc>
          <w:tcPr>
            <w:tcW w:w="1276" w:type="dxa"/>
            <w:vMerge w:val="restart"/>
            <w:vAlign w:val="center"/>
          </w:tcPr>
          <w:p>
            <w:pPr>
              <w:spacing w:line="300" w:lineRule="exact"/>
              <w:jc w:val="center"/>
              <w:rPr>
                <w:rFonts w:ascii="Times New Roman" w:hAnsi="Times New Roman" w:eastAsia="方正书宋_GBK" w:cs="Times New Roman"/>
                <w:b/>
                <w:szCs w:val="24"/>
              </w:rPr>
            </w:pPr>
            <w:r>
              <w:rPr>
                <w:rFonts w:ascii="Times New Roman" w:hAnsi="Times New Roman" w:eastAsia="方正书宋_GBK" w:cs="Times New Roman"/>
                <w:b/>
                <w:szCs w:val="24"/>
              </w:rPr>
              <w:t>单位规格</w:t>
            </w:r>
          </w:p>
        </w:tc>
        <w:tc>
          <w:tcPr>
            <w:tcW w:w="2902" w:type="dxa"/>
            <w:vMerge w:val="restart"/>
            <w:vAlign w:val="center"/>
          </w:tcPr>
          <w:p>
            <w:pPr>
              <w:spacing w:line="300" w:lineRule="exact"/>
              <w:jc w:val="center"/>
              <w:rPr>
                <w:rFonts w:ascii="Times New Roman" w:hAnsi="Times New Roman" w:eastAsia="方正书宋_GBK" w:cs="Times New Roman"/>
                <w:b/>
                <w:szCs w:val="24"/>
              </w:rPr>
            </w:pPr>
            <w:r>
              <w:rPr>
                <w:rFonts w:ascii="Times New Roman" w:hAnsi="Times New Roman" w:eastAsia="方正书宋_GBK" w:cs="Times New Roman"/>
                <w:b/>
                <w:szCs w:val="24"/>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0" w:hRule="atLeast"/>
          <w:tblHeader/>
          <w:jc w:val="center"/>
        </w:trPr>
        <w:tc>
          <w:tcPr>
            <w:tcW w:w="4417" w:type="dxa"/>
            <w:vMerge w:val="continue"/>
            <w:vAlign w:val="center"/>
          </w:tcPr>
          <w:p>
            <w:pPr>
              <w:spacing w:line="300" w:lineRule="exact"/>
              <w:jc w:val="left"/>
              <w:outlineLvl w:val="0"/>
              <w:rPr>
                <w:rFonts w:ascii="Times New Roman" w:hAnsi="Times New Roman" w:cs="Times New Roman"/>
                <w:szCs w:val="24"/>
              </w:rPr>
            </w:pPr>
          </w:p>
        </w:tc>
        <w:tc>
          <w:tcPr>
            <w:tcW w:w="1134" w:type="dxa"/>
            <w:vMerge w:val="continue"/>
            <w:vAlign w:val="center"/>
          </w:tcPr>
          <w:p>
            <w:pPr>
              <w:spacing w:line="300" w:lineRule="exact"/>
              <w:jc w:val="left"/>
              <w:outlineLvl w:val="0"/>
              <w:rPr>
                <w:rFonts w:ascii="Times New Roman" w:hAnsi="Times New Roman" w:cs="Times New Roman"/>
                <w:szCs w:val="24"/>
              </w:rPr>
            </w:pPr>
          </w:p>
        </w:tc>
        <w:tc>
          <w:tcPr>
            <w:tcW w:w="1276" w:type="dxa"/>
            <w:vMerge w:val="continue"/>
            <w:vAlign w:val="center"/>
          </w:tcPr>
          <w:p>
            <w:pPr>
              <w:spacing w:line="300" w:lineRule="exact"/>
              <w:jc w:val="left"/>
              <w:outlineLvl w:val="0"/>
              <w:rPr>
                <w:rFonts w:ascii="Times New Roman" w:hAnsi="Times New Roman" w:cs="Times New Roman"/>
                <w:szCs w:val="24"/>
              </w:rPr>
            </w:pPr>
          </w:p>
        </w:tc>
        <w:tc>
          <w:tcPr>
            <w:tcW w:w="2902" w:type="dxa"/>
            <w:vMerge w:val="continue"/>
            <w:vAlign w:val="center"/>
          </w:tcPr>
          <w:p>
            <w:pPr>
              <w:spacing w:line="300" w:lineRule="exact"/>
              <w:jc w:val="left"/>
              <w:outlineLvl w:val="0"/>
              <w:rPr>
                <w:rFonts w:ascii="Times New Roman" w:hAnsi="Times New Roman" w:cs="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417" w:type="dxa"/>
            <w:vAlign w:val="center"/>
          </w:tcPr>
          <w:p>
            <w:pPr>
              <w:spacing w:line="300" w:lineRule="exact"/>
              <w:jc w:val="left"/>
              <w:rPr>
                <w:rFonts w:ascii="Times New Roman" w:hAnsi="Times New Roman" w:eastAsia="方正书宋_GBK" w:cs="Times New Roman"/>
                <w:szCs w:val="24"/>
              </w:rPr>
            </w:pPr>
            <w:r>
              <w:rPr>
                <w:rFonts w:hint="eastAsia" w:ascii="方正书宋_GBK" w:eastAsia="方正书宋_GBK"/>
              </w:rPr>
              <w:t>无极县应急管理局</w:t>
            </w:r>
          </w:p>
        </w:tc>
        <w:tc>
          <w:tcPr>
            <w:tcW w:w="1134" w:type="dxa"/>
            <w:vAlign w:val="center"/>
          </w:tcPr>
          <w:p>
            <w:pPr>
              <w:spacing w:line="300" w:lineRule="exact"/>
              <w:jc w:val="center"/>
              <w:rPr>
                <w:rFonts w:ascii="Times New Roman" w:hAnsi="Times New Roman" w:eastAsia="方正书宋_GBK" w:cs="Times New Roman"/>
                <w:szCs w:val="24"/>
              </w:rPr>
            </w:pPr>
            <w:r>
              <w:rPr>
                <w:rFonts w:hint="eastAsia" w:ascii="方正书宋_GBK" w:eastAsia="方正书宋_GBK"/>
              </w:rPr>
              <w:t>行政</w:t>
            </w:r>
          </w:p>
        </w:tc>
        <w:tc>
          <w:tcPr>
            <w:tcW w:w="1276" w:type="dxa"/>
            <w:vAlign w:val="center"/>
          </w:tcPr>
          <w:p>
            <w:pPr>
              <w:spacing w:line="300" w:lineRule="exact"/>
              <w:jc w:val="center"/>
              <w:rPr>
                <w:rFonts w:ascii="Times New Roman" w:hAnsi="Times New Roman" w:eastAsia="方正书宋_GBK" w:cs="Times New Roman"/>
                <w:szCs w:val="24"/>
              </w:rPr>
            </w:pPr>
            <w:r>
              <w:rPr>
                <w:rFonts w:hint="eastAsia" w:ascii="方正书宋_GBK" w:eastAsia="方正书宋_GBK"/>
              </w:rPr>
              <w:t>正科级</w:t>
            </w:r>
          </w:p>
        </w:tc>
        <w:tc>
          <w:tcPr>
            <w:tcW w:w="2902" w:type="dxa"/>
            <w:vAlign w:val="center"/>
          </w:tcPr>
          <w:p>
            <w:pPr>
              <w:spacing w:line="300" w:lineRule="exact"/>
              <w:jc w:val="center"/>
              <w:rPr>
                <w:rFonts w:ascii="Times New Roman" w:hAnsi="Times New Roman" w:eastAsia="方正书宋_GBK" w:cs="Times New Roman"/>
                <w:szCs w:val="24"/>
              </w:rPr>
            </w:pPr>
            <w:r>
              <w:rPr>
                <w:rFonts w:hint="eastAsia" w:ascii="方正书宋_GBK" w:eastAsia="方正书宋_GBK"/>
              </w:rPr>
              <w:t>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417" w:type="dxa"/>
            <w:vAlign w:val="center"/>
          </w:tcPr>
          <w:p>
            <w:pPr>
              <w:spacing w:line="300" w:lineRule="exact"/>
              <w:jc w:val="left"/>
              <w:rPr>
                <w:rFonts w:ascii="Times New Roman" w:hAnsi="Times New Roman" w:eastAsia="方正书宋_GBK" w:cs="Times New Roman"/>
                <w:szCs w:val="24"/>
              </w:rPr>
            </w:pPr>
          </w:p>
        </w:tc>
        <w:tc>
          <w:tcPr>
            <w:tcW w:w="1134" w:type="dxa"/>
            <w:vAlign w:val="center"/>
          </w:tcPr>
          <w:p>
            <w:pPr>
              <w:spacing w:line="300" w:lineRule="exact"/>
              <w:jc w:val="center"/>
              <w:rPr>
                <w:rFonts w:ascii="Times New Roman" w:hAnsi="Times New Roman" w:eastAsia="方正书宋_GBK" w:cs="Times New Roman"/>
                <w:szCs w:val="24"/>
              </w:rPr>
            </w:pPr>
          </w:p>
        </w:tc>
        <w:tc>
          <w:tcPr>
            <w:tcW w:w="1276" w:type="dxa"/>
            <w:vAlign w:val="center"/>
          </w:tcPr>
          <w:p>
            <w:pPr>
              <w:spacing w:line="300" w:lineRule="exact"/>
              <w:jc w:val="center"/>
              <w:rPr>
                <w:rFonts w:ascii="Times New Roman" w:hAnsi="Times New Roman" w:eastAsia="方正书宋_GBK" w:cs="Times New Roman"/>
                <w:szCs w:val="24"/>
              </w:rPr>
            </w:pPr>
          </w:p>
        </w:tc>
        <w:tc>
          <w:tcPr>
            <w:tcW w:w="2902" w:type="dxa"/>
            <w:vAlign w:val="center"/>
          </w:tcPr>
          <w:p>
            <w:pPr>
              <w:spacing w:line="300" w:lineRule="exact"/>
              <w:jc w:val="center"/>
              <w:rPr>
                <w:rFonts w:ascii="Times New Roman" w:hAnsi="Times New Roman" w:eastAsia="方正书宋_GBK" w:cs="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417" w:type="dxa"/>
            <w:vAlign w:val="center"/>
          </w:tcPr>
          <w:p>
            <w:pPr>
              <w:spacing w:line="300" w:lineRule="exact"/>
              <w:jc w:val="left"/>
              <w:rPr>
                <w:rFonts w:ascii="Times New Roman" w:hAnsi="Times New Roman" w:eastAsia="方正书宋_GBK" w:cs="Times New Roman"/>
                <w:szCs w:val="24"/>
              </w:rPr>
            </w:pPr>
          </w:p>
        </w:tc>
        <w:tc>
          <w:tcPr>
            <w:tcW w:w="1134" w:type="dxa"/>
            <w:vAlign w:val="center"/>
          </w:tcPr>
          <w:p>
            <w:pPr>
              <w:spacing w:line="300" w:lineRule="exact"/>
              <w:jc w:val="center"/>
              <w:rPr>
                <w:rFonts w:ascii="Times New Roman" w:hAnsi="Times New Roman" w:eastAsia="方正书宋_GBK" w:cs="Times New Roman"/>
                <w:szCs w:val="24"/>
              </w:rPr>
            </w:pPr>
          </w:p>
        </w:tc>
        <w:tc>
          <w:tcPr>
            <w:tcW w:w="1276" w:type="dxa"/>
            <w:vAlign w:val="center"/>
          </w:tcPr>
          <w:p>
            <w:pPr>
              <w:spacing w:line="300" w:lineRule="exact"/>
              <w:jc w:val="center"/>
              <w:rPr>
                <w:rFonts w:ascii="Times New Roman" w:hAnsi="Times New Roman" w:eastAsia="方正书宋_GBK" w:cs="Times New Roman"/>
                <w:szCs w:val="24"/>
              </w:rPr>
            </w:pPr>
          </w:p>
        </w:tc>
        <w:tc>
          <w:tcPr>
            <w:tcW w:w="2902" w:type="dxa"/>
            <w:vAlign w:val="center"/>
          </w:tcPr>
          <w:p>
            <w:pPr>
              <w:spacing w:line="300" w:lineRule="exact"/>
              <w:jc w:val="center"/>
              <w:rPr>
                <w:rFonts w:ascii="Times New Roman" w:hAnsi="Times New Roman" w:eastAsia="方正书宋_GBK" w:cs="Times New Roman"/>
                <w:szCs w:val="24"/>
              </w:rPr>
            </w:pPr>
          </w:p>
        </w:tc>
      </w:tr>
    </w:tbl>
    <w:p/>
    <w:p>
      <w:pPr>
        <w:ind w:firstLine="640"/>
        <w:rPr>
          <w:rFonts w:ascii="黑体" w:hAnsi="黑体" w:eastAsia="黑体" w:cs="Times New Roman"/>
          <w:sz w:val="32"/>
          <w:szCs w:val="32"/>
        </w:rPr>
      </w:pPr>
      <w:r>
        <w:rPr>
          <w:rFonts w:hint="eastAsia" w:ascii="黑体" w:hAnsi="黑体" w:eastAsia="黑体" w:cs="Times New Roman"/>
          <w:sz w:val="32"/>
          <w:szCs w:val="32"/>
        </w:rPr>
        <w:t>二、部门预算安排的总体情况</w:t>
      </w:r>
    </w:p>
    <w:p>
      <w:pPr>
        <w:ind w:firstLine="640"/>
        <w:rPr>
          <w:rFonts w:ascii="Times New Roman" w:hAnsi="Times New Roman" w:eastAsia="仿宋" w:cs="Times New Roman"/>
          <w:sz w:val="32"/>
          <w:szCs w:val="32"/>
        </w:rPr>
      </w:pPr>
      <w:r>
        <w:rPr>
          <w:rFonts w:ascii="Times New Roman" w:hAnsi="Times New Roman" w:eastAsia="仿宋" w:cs="Times New Roman"/>
          <w:sz w:val="32"/>
          <w:szCs w:val="32"/>
        </w:rPr>
        <w:t>按照预算管理有关规定，目前我</w:t>
      </w:r>
      <w:r>
        <w:rPr>
          <w:rFonts w:hint="eastAsia" w:ascii="Times New Roman" w:hAnsi="Times New Roman" w:eastAsia="仿宋" w:cs="Times New Roman"/>
          <w:sz w:val="32"/>
          <w:szCs w:val="32"/>
        </w:rPr>
        <w:t>县</w:t>
      </w:r>
      <w:r>
        <w:rPr>
          <w:rFonts w:ascii="Times New Roman" w:hAnsi="Times New Roman" w:eastAsia="仿宋" w:cs="Times New Roman"/>
          <w:sz w:val="32"/>
          <w:szCs w:val="32"/>
        </w:rPr>
        <w:t>部门预算的编制实行综合预算</w:t>
      </w:r>
      <w:r>
        <w:rPr>
          <w:rFonts w:hint="eastAsia" w:ascii="Times New Roman" w:hAnsi="Times New Roman" w:eastAsia="仿宋" w:cs="Times New Roman"/>
          <w:sz w:val="32"/>
          <w:szCs w:val="32"/>
        </w:rPr>
        <w:t>管理</w:t>
      </w:r>
      <w:r>
        <w:rPr>
          <w:rFonts w:ascii="Times New Roman" w:hAnsi="Times New Roman" w:eastAsia="仿宋" w:cs="Times New Roman"/>
          <w:sz w:val="32"/>
          <w:szCs w:val="32"/>
        </w:rPr>
        <w:t>，即全部收入和支出都反映的预算中。</w:t>
      </w:r>
      <w:r>
        <w:rPr>
          <w:rFonts w:hint="eastAsia" w:ascii="仿宋" w:hAnsi="仿宋" w:eastAsia="仿宋" w:cs="仿宋_GB2312"/>
          <w:sz w:val="32"/>
          <w:szCs w:val="32"/>
        </w:rPr>
        <w:t>我部门及所属单位所有收支都包含在部门预算中</w:t>
      </w:r>
      <w:r>
        <w:rPr>
          <w:rFonts w:hint="eastAsia" w:ascii="黑体" w:hAnsi="仿宋_GB2312" w:eastAsia="黑体" w:cs="仿宋_GB2312"/>
          <w:sz w:val="30"/>
          <w:szCs w:val="30"/>
        </w:rPr>
        <w:t>。</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1、</w:t>
      </w:r>
      <w:r>
        <w:rPr>
          <w:rFonts w:ascii="Times New Roman" w:hAnsi="Times New Roman" w:eastAsia="仿宋" w:cs="Times New Roman"/>
          <w:sz w:val="32"/>
          <w:szCs w:val="32"/>
        </w:rPr>
        <w:t>收入说明</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反映本部门当年全部收入。2020年预算收入850.2万元，其中：一般公共预算收入829.2万元，基金预算收入0万元，财政专户核拨收入0万元，上级拨款21万元，其他来源收入0万元。</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2、</w:t>
      </w:r>
      <w:r>
        <w:rPr>
          <w:rFonts w:ascii="Times New Roman" w:hAnsi="Times New Roman" w:eastAsia="仿宋" w:cs="Times New Roman"/>
          <w:sz w:val="32"/>
          <w:szCs w:val="32"/>
        </w:rPr>
        <w:t>支出说明</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收支预算总表支出栏、基本支出表、项目支出表按经济分类和支出功能分类科目编制，反映无极县应急管理局年度部门预算中支出预算的总体情况。2020年部门支出预算为850.2万元，其中基本支出543.4万元，包括人员经费449.18万元和日常公用经费94.22万元；项目支出306.8万元，主要安全生产监管执法经费支出10万元，安全生产目标管理优秀单位奖励及有关费用支出16万元，安全生产培训费支出20万元，安全月法律法规宣传费支出20万元，关于提前下达2020年自然灾害救助专项资金21万元；举报费支出10万元；农房保险县级配套资金5万元；网络信息化平台12万元；无极县突发事件总体应急预案及7个县级自然灾害和事故灾难专项分类应急预案6个部门级自然灾害和事故灾难应急预案30万元；乡镇基层安监人员岗位津贴12.8万元；应急指挥中心平台建设费用120万元；政府购买安全生产服务费用（专家费）30万元</w:t>
      </w:r>
      <w:r>
        <w:rPr>
          <w:rFonts w:hint="eastAsia" w:ascii="方正书宋_GBK" w:eastAsia="方正书宋_GBK"/>
        </w:rPr>
        <w:t>；</w:t>
      </w:r>
      <w:r>
        <w:rPr>
          <w:rFonts w:hint="eastAsia" w:ascii="Times New Roman" w:hAnsi="Times New Roman" w:eastAsia="仿宋" w:cs="Times New Roman"/>
          <w:sz w:val="32"/>
          <w:szCs w:val="32"/>
        </w:rPr>
        <w:t>其他支出0万元。</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3、</w:t>
      </w:r>
      <w:r>
        <w:rPr>
          <w:rFonts w:ascii="Times New Roman" w:hAnsi="Times New Roman" w:eastAsia="仿宋" w:cs="Times New Roman"/>
          <w:sz w:val="32"/>
          <w:szCs w:val="32"/>
        </w:rPr>
        <w:t>比上年增减情况</w:t>
      </w:r>
    </w:p>
    <w:p>
      <w:pPr>
        <w:ind w:firstLine="640"/>
        <w:rPr>
          <w:rFonts w:ascii="Times New Roman" w:hAnsi="Times New Roman" w:eastAsia="仿宋" w:cs="Times New Roman"/>
          <w:sz w:val="32"/>
          <w:szCs w:val="32"/>
        </w:rPr>
      </w:pPr>
      <w:r>
        <w:rPr>
          <w:rFonts w:hint="eastAsia" w:ascii="Times New Roman" w:hAnsi="Times New Roman" w:eastAsia="仿宋" w:cs="Times New Roman"/>
          <w:color w:val="000000"/>
          <w:sz w:val="32"/>
          <w:szCs w:val="32"/>
        </w:rPr>
        <w:t>2020年部门预算收支安排</w:t>
      </w:r>
      <w:r>
        <w:rPr>
          <w:rFonts w:hint="eastAsia" w:ascii="Times New Roman" w:hAnsi="Times New Roman" w:eastAsia="仿宋" w:cs="Times New Roman"/>
          <w:sz w:val="32"/>
          <w:szCs w:val="32"/>
        </w:rPr>
        <w:t>850.2</w:t>
      </w:r>
      <w:r>
        <w:rPr>
          <w:rFonts w:hint="eastAsia" w:ascii="Times New Roman" w:hAnsi="Times New Roman" w:eastAsia="仿宋" w:cs="Times New Roman"/>
          <w:color w:val="000000"/>
          <w:sz w:val="32"/>
          <w:szCs w:val="32"/>
        </w:rPr>
        <w:t>万元，</w:t>
      </w:r>
      <w:r>
        <w:rPr>
          <w:rFonts w:hint="eastAsia" w:ascii="Times New Roman" w:hAnsi="Times New Roman" w:eastAsia="仿宋" w:cs="Times New Roman"/>
          <w:sz w:val="32"/>
          <w:szCs w:val="32"/>
        </w:rPr>
        <w:t>较2019年增加</w:t>
      </w:r>
      <w:r>
        <w:rPr>
          <w:rFonts w:hint="eastAsia" w:ascii="仿宋_GB2312" w:hAnsi="仿宋_GB2312" w:eastAsia="仿宋_GB2312" w:cs="仿宋_GB2312"/>
          <w:sz w:val="32"/>
          <w:szCs w:val="32"/>
        </w:rPr>
        <w:t>436.73</w:t>
      </w:r>
      <w:r>
        <w:rPr>
          <w:rFonts w:hint="eastAsia" w:ascii="Times New Roman" w:hAnsi="Times New Roman" w:eastAsia="仿宋" w:cs="Times New Roman"/>
          <w:sz w:val="32"/>
          <w:szCs w:val="32"/>
        </w:rPr>
        <w:t>万元，其中：基本支出增加355.93万元，主要是机构改革，人员增加，相应增加人员经费和日常公用经费；项目支出增加80.8万元，主要是机构改革项目增加；其他支出无增减变化。</w:t>
      </w:r>
    </w:p>
    <w:p>
      <w:pPr>
        <w:autoSpaceDE w:val="0"/>
        <w:autoSpaceDN w:val="0"/>
        <w:adjustRightInd w:val="0"/>
        <w:ind w:firstLine="960" w:firstLineChars="300"/>
        <w:jc w:val="left"/>
        <w:rPr>
          <w:rFonts w:ascii="黑体" w:hAnsi="黑体" w:eastAsia="黑体" w:cs="Times New Roman"/>
          <w:sz w:val="32"/>
          <w:szCs w:val="32"/>
        </w:rPr>
      </w:pPr>
      <w:r>
        <w:rPr>
          <w:rFonts w:hint="eastAsia" w:ascii="黑体" w:hAnsi="黑体" w:eastAsia="黑体" w:cs="Times New Roman"/>
          <w:sz w:val="32"/>
          <w:szCs w:val="32"/>
        </w:rPr>
        <w:t>三、机关运行经费安排情况</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2020年，我部门机关运行经费共计安排94.22万元，主要用于保证机关正常运转的办公及印刷费、邮电费、差旅费、会议费、福利费、专用材料及一般设备购置费、办公用房水电费、办公用房取暖费、日常维修费、办公楼物业管理费、公务车运行维护费等支出。</w:t>
      </w:r>
    </w:p>
    <w:p>
      <w:pPr>
        <w:autoSpaceDE w:val="0"/>
        <w:autoSpaceDN w:val="0"/>
        <w:adjustRightInd w:val="0"/>
        <w:ind w:left="198" w:firstLine="640" w:firstLineChars="200"/>
        <w:jc w:val="left"/>
        <w:rPr>
          <w:rFonts w:ascii="黑体" w:hAnsi="黑体" w:eastAsia="黑体" w:cs="Times New Roman"/>
          <w:sz w:val="32"/>
          <w:szCs w:val="32"/>
        </w:rPr>
      </w:pPr>
      <w:r>
        <w:rPr>
          <w:rFonts w:hint="eastAsia" w:ascii="黑体" w:hAnsi="黑体" w:eastAsia="黑体" w:cs="Times New Roman"/>
          <w:sz w:val="32"/>
          <w:szCs w:val="32"/>
        </w:rPr>
        <w:t>四、财政拨款</w:t>
      </w:r>
      <w:r>
        <w:rPr>
          <w:rFonts w:ascii="黑体" w:hAnsi="黑体" w:eastAsia="黑体" w:cs="Times New Roman"/>
          <w:sz w:val="32"/>
          <w:szCs w:val="32"/>
        </w:rPr>
        <w:t>“</w:t>
      </w:r>
      <w:r>
        <w:rPr>
          <w:rFonts w:hint="eastAsia" w:ascii="黑体" w:hAnsi="黑体" w:eastAsia="黑体" w:cs="Times New Roman"/>
          <w:sz w:val="32"/>
          <w:szCs w:val="32"/>
        </w:rPr>
        <w:t>三公</w:t>
      </w:r>
      <w:r>
        <w:rPr>
          <w:rFonts w:ascii="黑体" w:hAnsi="黑体" w:eastAsia="黑体" w:cs="Times New Roman"/>
          <w:sz w:val="32"/>
          <w:szCs w:val="32"/>
        </w:rPr>
        <w:t>”</w:t>
      </w:r>
      <w:r>
        <w:rPr>
          <w:rFonts w:hint="eastAsia" w:ascii="黑体" w:hAnsi="黑体" w:eastAsia="黑体" w:cs="Times New Roman"/>
          <w:sz w:val="32"/>
          <w:szCs w:val="32"/>
        </w:rPr>
        <w:t>经费预算情况及增减变化原因</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2020年，财政拨款“三公”经费预算安排3万元，其中：因公出国（境）费0万元；公务用车购置及运维费3万元（其中：公务用车购置费0万元，公务用车运行维护费3万元)；公务接待费0万元。     2020年“三公”经费与上年持平，</w:t>
      </w:r>
      <w:r>
        <w:rPr>
          <w:rFonts w:hint="eastAsia" w:eastAsia="仿宋" w:cs="Times New Roman"/>
          <w:sz w:val="32"/>
          <w:szCs w:val="32"/>
        </w:rPr>
        <w:t>其中：因公出国（境）费与上年持平，</w:t>
      </w:r>
      <w:r>
        <w:rPr>
          <w:rFonts w:hint="eastAsia" w:ascii="Times New Roman" w:hAnsi="Times New Roman" w:eastAsia="仿宋" w:cs="Times New Roman"/>
          <w:sz w:val="32"/>
          <w:szCs w:val="32"/>
        </w:rPr>
        <w:t>无增减变化</w:t>
      </w:r>
      <w:r>
        <w:rPr>
          <w:rFonts w:hint="eastAsia" w:eastAsia="仿宋" w:cs="Times New Roman"/>
          <w:sz w:val="32"/>
          <w:szCs w:val="32"/>
        </w:rPr>
        <w:t>；</w:t>
      </w:r>
      <w:r>
        <w:rPr>
          <w:rFonts w:hint="eastAsia" w:ascii="Times New Roman" w:hAnsi="Times New Roman" w:eastAsia="仿宋" w:cs="Times New Roman"/>
          <w:sz w:val="32"/>
          <w:szCs w:val="32"/>
        </w:rPr>
        <w:t>公务用车购置及运维费</w:t>
      </w:r>
      <w:r>
        <w:rPr>
          <w:rFonts w:hint="eastAsia" w:eastAsia="仿宋" w:cs="Times New Roman"/>
          <w:sz w:val="32"/>
          <w:szCs w:val="32"/>
        </w:rPr>
        <w:t>与上年持平，无增减变化；</w:t>
      </w:r>
      <w:r>
        <w:rPr>
          <w:rFonts w:hint="eastAsia" w:ascii="Times New Roman" w:hAnsi="Times New Roman" w:eastAsia="仿宋" w:cs="Times New Roman"/>
          <w:sz w:val="32"/>
          <w:szCs w:val="32"/>
        </w:rPr>
        <w:t>公务接待费</w:t>
      </w:r>
      <w:r>
        <w:rPr>
          <w:rFonts w:hint="eastAsia" w:eastAsia="仿宋" w:cs="Times New Roman"/>
          <w:sz w:val="32"/>
          <w:szCs w:val="32"/>
        </w:rPr>
        <w:t>与上年持平，</w:t>
      </w:r>
      <w:r>
        <w:rPr>
          <w:rFonts w:hint="eastAsia" w:ascii="Times New Roman" w:hAnsi="Times New Roman" w:eastAsia="仿宋" w:cs="Times New Roman"/>
          <w:sz w:val="32"/>
          <w:szCs w:val="32"/>
        </w:rPr>
        <w:t>无增减变化</w:t>
      </w:r>
      <w:r>
        <w:rPr>
          <w:rFonts w:hint="eastAsia" w:eastAsia="仿宋" w:cs="Times New Roman"/>
          <w:sz w:val="32"/>
          <w:szCs w:val="32"/>
        </w:rPr>
        <w:t>。</w:t>
      </w:r>
    </w:p>
    <w:p>
      <w:pPr>
        <w:autoSpaceDE w:val="0"/>
        <w:autoSpaceDN w:val="0"/>
        <w:adjustRightInd w:val="0"/>
        <w:ind w:left="198" w:firstLine="640" w:firstLineChars="200"/>
        <w:jc w:val="left"/>
        <w:rPr>
          <w:rFonts w:ascii="黑体" w:hAnsi="黑体" w:eastAsia="黑体" w:cs="Times New Roman"/>
          <w:sz w:val="32"/>
          <w:szCs w:val="32"/>
        </w:rPr>
      </w:pPr>
      <w:r>
        <w:rPr>
          <w:rFonts w:hint="eastAsia" w:ascii="黑体" w:hAnsi="黑体" w:eastAsia="黑体" w:cs="Times New Roman"/>
          <w:sz w:val="32"/>
          <w:szCs w:val="32"/>
        </w:rPr>
        <w:t>五、预算绩效信息</w:t>
      </w:r>
    </w:p>
    <w:p>
      <w:pPr>
        <w:ind w:firstLine="643" w:firstLineChars="200"/>
        <w:jc w:val="left"/>
        <w:rPr>
          <w:rFonts w:ascii="仿宋" w:hAnsi="仿宋" w:eastAsia="仿宋" w:cs="仿宋"/>
          <w:sz w:val="32"/>
          <w:szCs w:val="32"/>
        </w:rPr>
      </w:pPr>
      <w:bookmarkStart w:id="0" w:name="_Toc471398463"/>
      <w:r>
        <w:rPr>
          <w:rFonts w:hint="eastAsia" w:ascii="仿宋" w:hAnsi="仿宋" w:eastAsia="仿宋" w:cs="仿宋"/>
          <w:b/>
          <w:sz w:val="32"/>
          <w:szCs w:val="32"/>
        </w:rPr>
        <w:t>第一部分  部门整体绩效目标</w:t>
      </w:r>
    </w:p>
    <w:p>
      <w:pPr>
        <w:autoSpaceDE w:val="0"/>
        <w:autoSpaceDN w:val="0"/>
        <w:adjustRightInd w:val="0"/>
        <w:ind w:left="198" w:firstLine="643" w:firstLineChars="200"/>
        <w:jc w:val="left"/>
        <w:rPr>
          <w:rFonts w:ascii="仿宋" w:hAnsi="仿宋" w:eastAsia="仿宋" w:cs="仿宋"/>
          <w:b/>
          <w:sz w:val="32"/>
          <w:szCs w:val="32"/>
        </w:rPr>
      </w:pPr>
      <w:r>
        <w:rPr>
          <w:rFonts w:hint="eastAsia" w:ascii="仿宋" w:hAnsi="仿宋" w:eastAsia="仿宋" w:cs="仿宋"/>
          <w:b/>
          <w:sz w:val="32"/>
          <w:szCs w:val="32"/>
        </w:rPr>
        <w:t>（一）总体绩效目标</w:t>
      </w:r>
      <w:r>
        <w:rPr>
          <w:rFonts w:hint="eastAsia" w:ascii="仿宋" w:hAnsi="仿宋" w:eastAsia="仿宋" w:cs="仿宋"/>
          <w:b/>
          <w:sz w:val="32"/>
          <w:szCs w:val="32"/>
        </w:rPr>
        <w:fldChar w:fldCharType="begin"/>
      </w:r>
      <w:r>
        <w:rPr>
          <w:rFonts w:hint="eastAsia" w:ascii="仿宋" w:hAnsi="仿宋" w:eastAsia="仿宋" w:cs="仿宋"/>
          <w:b/>
          <w:sz w:val="32"/>
          <w:szCs w:val="32"/>
        </w:rPr>
        <w:instrText xml:space="preserve"> TC </w:instrText>
      </w:r>
      <w:bookmarkStart w:id="1" w:name="_Toc29484628"/>
      <w:r>
        <w:rPr>
          <w:rFonts w:hint="eastAsia" w:ascii="仿宋" w:hAnsi="仿宋" w:eastAsia="仿宋" w:cs="仿宋"/>
          <w:b/>
          <w:sz w:val="32"/>
          <w:szCs w:val="32"/>
        </w:rPr>
        <w:instrText xml:space="preserve">总体绩效目标</w:instrText>
      </w:r>
      <w:bookmarkEnd w:id="1"/>
      <w:r>
        <w:rPr>
          <w:rFonts w:hint="eastAsia" w:ascii="仿宋" w:hAnsi="仿宋" w:eastAsia="仿宋" w:cs="仿宋"/>
          <w:b/>
          <w:sz w:val="32"/>
          <w:szCs w:val="32"/>
        </w:rPr>
        <w:instrText xml:space="preserve"> \f A \l 1 </w:instrText>
      </w:r>
      <w:r>
        <w:rPr>
          <w:rFonts w:hint="eastAsia" w:ascii="仿宋" w:hAnsi="仿宋" w:eastAsia="仿宋" w:cs="仿宋"/>
          <w:b/>
          <w:sz w:val="32"/>
          <w:szCs w:val="32"/>
        </w:rPr>
        <w:fldChar w:fldCharType="end"/>
      </w:r>
    </w:p>
    <w:p>
      <w:pPr>
        <w:spacing w:line="50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在县委、县政府的领导下，在上级部门的大力支持下，以习近平新时代中国特色社会主义思想为指引，牢固树立安全发展理念，弘扬生命至上、安全第一的思想，紧紧围绕年度安全生产工作重点，转变职能，改革创新，加强组织领导，狠抓双控机制建设，强化执法检查，扎实开展安全生产领域风险防范整治工作和化工行业安全生产整治攻坚行动，有效防范各类安全事故的发生，确保了全县安全生产形势的持续稳定。</w:t>
      </w:r>
    </w:p>
    <w:p>
      <w:pPr>
        <w:spacing w:line="50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一是完善安全生产考核办法，突出抓好2020年安全生产目标管理考核工作。</w:t>
      </w:r>
    </w:p>
    <w:p>
      <w:pPr>
        <w:spacing w:line="50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二是加快机构改革后安委会成员单位安全生产监管职责调整，抓好各级、各部门落实安全生产责任。</w:t>
      </w:r>
    </w:p>
    <w:p>
      <w:pPr>
        <w:spacing w:line="50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三是强力推进安全生产风险辨识管控和隐患排查整治双重预防机制建设，在全县所有生产经营单位的落实。试点单位“双控”机制建设完成后，适时组织同行业企业负责人和安全管理人员在试点企业现场观摩学习，对标创建。</w:t>
      </w:r>
    </w:p>
    <w:p>
      <w:pPr>
        <w:spacing w:line="50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四是深入开展化工行业安全生产整治攻坚行动，严格落实“四个一批”有关要求。</w:t>
      </w:r>
    </w:p>
    <w:p>
      <w:pPr>
        <w:spacing w:line="50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五是继续深入开展危险化学品“打非治违”专项行动，对重点区域、重点行业、重点企业开展拉网式集中执法检查，集中打击整治一批非法违法行为。</w:t>
      </w:r>
    </w:p>
    <w:p>
      <w:pPr>
        <w:spacing w:line="50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六是扎实开展有限空间作业专项整治，加大执法检查力度，督促企业认真汲取事故教训，落实主体责任，全面辨识有限空间作业风险，集中整治一批违法违规行为，防范有限空间作业事故的发生。</w:t>
      </w:r>
    </w:p>
    <w:p>
      <w:pPr>
        <w:spacing w:line="50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七是加快推进应急信息化平台建设。推进危险化学品安全生产风险监测预警系统建设，实现对全县危险化学品企业罐区、生产作业场所、危险源点监测、监控的联通。</w:t>
      </w:r>
    </w:p>
    <w:p>
      <w:pPr>
        <w:spacing w:line="50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八是做好我县各类突发事件应急预案编制工作；政府、部门及企业层面的安全生产事故救援应急演练工作；做好应急救援队伍的建设工作。</w:t>
      </w:r>
    </w:p>
    <w:p>
      <w:pPr>
        <w:spacing w:line="50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九是加大安全生产宣传力度，不断推进安全生产宣传进企业、进学校、进社区、进农村活动，扩大人民群众对国家安全生产的方针政策、法律法规的知晓度，增强安全意识和防伤害能力。</w:t>
      </w:r>
    </w:p>
    <w:p>
      <w:pPr>
        <w:spacing w:line="50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十是做好2020年防汛应急演练，灾害信息员培训，制定各种预案，保障地震监测井“极12井”正常运转。</w:t>
      </w:r>
    </w:p>
    <w:p>
      <w:pPr>
        <w:spacing w:line="50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十一是根据省市安排部署，在全县危险化学品、烟花爆竹、交通运输、建筑施工等高危行业领域强制实施安全生产责任保险，发挥保险机构的社会责任和管理功能，增强企业风险意识，提升企业事故预防能力，促使企业进一步落实安全生产主体责任。</w:t>
      </w:r>
    </w:p>
    <w:p>
      <w:pPr>
        <w:spacing w:line="50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 xml:space="preserve">     十二是进一步深化安全生产领域风险防范整治工作，在危险化学品、道路交通、建筑施工、水利工程、城镇燃气、市政工程、特种设备、人员密集场所等行业领域，深入开展隐患大排查大整治活动，确保全县安全生产形势持续稳定。</w:t>
      </w:r>
    </w:p>
    <w:p>
      <w:pPr>
        <w:autoSpaceDE w:val="0"/>
        <w:autoSpaceDN w:val="0"/>
        <w:adjustRightInd w:val="0"/>
        <w:ind w:left="198" w:firstLine="643" w:firstLineChars="200"/>
        <w:jc w:val="left"/>
        <w:rPr>
          <w:rFonts w:ascii="仿宋" w:hAnsi="仿宋" w:eastAsia="仿宋" w:cs="仿宋"/>
          <w:b/>
          <w:sz w:val="32"/>
          <w:szCs w:val="32"/>
        </w:rPr>
      </w:pPr>
      <w:r>
        <w:rPr>
          <w:rFonts w:hint="eastAsia" w:ascii="仿宋" w:hAnsi="仿宋" w:eastAsia="仿宋" w:cs="仿宋"/>
          <w:b/>
          <w:sz w:val="32"/>
          <w:szCs w:val="32"/>
        </w:rPr>
        <w:t>（二）分项绩效目标</w:t>
      </w:r>
      <w:r>
        <w:rPr>
          <w:rFonts w:hint="eastAsia" w:ascii="仿宋" w:hAnsi="仿宋" w:eastAsia="仿宋" w:cs="仿宋"/>
          <w:b/>
          <w:sz w:val="32"/>
          <w:szCs w:val="32"/>
        </w:rPr>
        <w:fldChar w:fldCharType="begin"/>
      </w:r>
      <w:r>
        <w:rPr>
          <w:rFonts w:hint="eastAsia" w:ascii="仿宋" w:hAnsi="仿宋" w:eastAsia="仿宋" w:cs="仿宋"/>
          <w:b/>
          <w:sz w:val="32"/>
          <w:szCs w:val="32"/>
        </w:rPr>
        <w:instrText xml:space="preserve"> TC </w:instrText>
      </w:r>
      <w:bookmarkStart w:id="2" w:name="_Toc29484629"/>
      <w:r>
        <w:rPr>
          <w:rFonts w:hint="eastAsia" w:ascii="仿宋" w:hAnsi="仿宋" w:eastAsia="仿宋" w:cs="仿宋"/>
          <w:b/>
          <w:sz w:val="32"/>
          <w:szCs w:val="32"/>
        </w:rPr>
        <w:instrText xml:space="preserve">分项绩效目标</w:instrText>
      </w:r>
      <w:bookmarkEnd w:id="2"/>
      <w:r>
        <w:rPr>
          <w:rFonts w:hint="eastAsia" w:ascii="仿宋" w:hAnsi="仿宋" w:eastAsia="仿宋" w:cs="仿宋"/>
          <w:b/>
          <w:sz w:val="32"/>
          <w:szCs w:val="32"/>
        </w:rPr>
        <w:instrText xml:space="preserve"> \f A \l 1 </w:instrText>
      </w:r>
      <w:r>
        <w:rPr>
          <w:rFonts w:hint="eastAsia" w:ascii="仿宋" w:hAnsi="仿宋" w:eastAsia="仿宋" w:cs="仿宋"/>
          <w:b/>
          <w:sz w:val="32"/>
          <w:szCs w:val="32"/>
        </w:rPr>
        <w:fldChar w:fldCharType="end"/>
      </w:r>
    </w:p>
    <w:p>
      <w:pPr>
        <w:spacing w:line="50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（一）完善制度，落实责任，实现无缝隙安全监管</w:t>
      </w:r>
    </w:p>
    <w:p>
      <w:pPr>
        <w:spacing w:line="50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绩效目标：建立和完善五级保障制度，落实责任考核</w:t>
      </w:r>
    </w:p>
    <w:p>
      <w:pPr>
        <w:spacing w:line="50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绩效指标：通过建立五级保障制度，形成排查与巡查相结合的排查体系，确保做到“排查一个不漏，隐患一个不丢”，实现了隐患动态归零的行动目标。</w:t>
      </w:r>
    </w:p>
    <w:p>
      <w:pPr>
        <w:spacing w:line="50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（二）多措并举，遏制安全生产事故发生</w:t>
      </w:r>
    </w:p>
    <w:p>
      <w:pPr>
        <w:spacing w:line="50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绩效目标：安全生产控制目标完成情况</w:t>
      </w:r>
    </w:p>
    <w:p>
      <w:pPr>
        <w:spacing w:line="50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绩效指标：推动风险分级辨识与隐患排查治理，安全生产大排查大整治攻坚行动，开展安全生产专项整治</w:t>
      </w:r>
    </w:p>
    <w:p>
      <w:pPr>
        <w:spacing w:line="50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（三）防灾减灾活动</w:t>
      </w:r>
    </w:p>
    <w:p>
      <w:pPr>
        <w:spacing w:line="50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绩效目标：有效开展防灾减灾活动</w:t>
      </w:r>
    </w:p>
    <w:p>
      <w:pPr>
        <w:spacing w:line="50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绩效指标：建立自然灾害防治统筹协调机制；准确把握各类风险因素情况、防御设施情况、隐患排查治理情况，严格监管，加大执法力度，开展打击非法违法专项行动。</w:t>
      </w:r>
    </w:p>
    <w:p>
      <w:pPr>
        <w:spacing w:line="50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（四）建立应急管理信息化建设</w:t>
      </w:r>
    </w:p>
    <w:p>
      <w:pPr>
        <w:spacing w:line="50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绩效目标：建设无极县应急指挥中心</w:t>
      </w:r>
    </w:p>
    <w:p>
      <w:pPr>
        <w:spacing w:line="50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绩效指标：建成上连省应急管理厅、市应急管理局，下接重大危险源企业，横向对接消防、气象、自然资源、水利等有关单位，前端到生产企业和突发事件救援现场，互联互通、资源共享的应急管理综合信息系统。</w:t>
      </w:r>
    </w:p>
    <w:p>
      <w:pPr>
        <w:spacing w:line="50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（五）加强应急救援能力建设，提高防范和处置能力</w:t>
      </w:r>
    </w:p>
    <w:p>
      <w:pPr>
        <w:spacing w:line="50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绩效目标：完善安全生产应急预案</w:t>
      </w:r>
    </w:p>
    <w:p>
      <w:pPr>
        <w:spacing w:line="50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绩效指标：落实完善事故灾难和自然灾害分级应对制度，组织编制县总体应急预案和安全生产类、自然灾害类专项预案，综合协调应急预案衔接工作，组织开展预案演练，推动应急避难设施建设。</w:t>
      </w:r>
    </w:p>
    <w:p>
      <w:pPr>
        <w:spacing w:line="50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（六）安全生产月活动</w:t>
      </w:r>
    </w:p>
    <w:p>
      <w:pPr>
        <w:spacing w:line="50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绩效目标： 扎实推进安全生产宣传教育行动，强化安全意识，提高安全技能.</w:t>
      </w:r>
    </w:p>
    <w:p>
      <w:pPr>
        <w:spacing w:line="50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绩效指标：开展安全生产月、安全生产大型咨询宣传日，抓好“三项岗位人员”的安全教育培训，开办微信公众号，开展“安全进万家、幸福你我他”主题志愿服务活动。</w:t>
      </w:r>
    </w:p>
    <w:p>
      <w:pPr>
        <w:spacing w:line="50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 xml:space="preserve">    （七）重点行业领域专项整治</w:t>
      </w:r>
    </w:p>
    <w:p>
      <w:pPr>
        <w:spacing w:line="50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绩效目标：组织聘请专家查隐患</w:t>
      </w:r>
    </w:p>
    <w:p>
      <w:pPr>
        <w:spacing w:line="50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绩效指标：持续深化重点行业领域专项整治。组织开展危险化学品“专家查隐患”，聘请专家对危化企业开展定期“查隐患”通过部门和企业联手，提高全市危化企业综合管理水平得到整体提升。</w:t>
      </w:r>
    </w:p>
    <w:p>
      <w:pPr>
        <w:spacing w:line="50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（八）综合业务管理</w:t>
      </w:r>
    </w:p>
    <w:p>
      <w:pPr>
        <w:spacing w:line="50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绩效目标：保障各业务工作畅通</w:t>
      </w:r>
    </w:p>
    <w:p>
      <w:pPr>
        <w:spacing w:line="50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绩效指标：综合业务管理工作完成率≥90%</w:t>
      </w:r>
    </w:p>
    <w:p>
      <w:pPr>
        <w:spacing w:line="50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 xml:space="preserve">    （九）综合事务管理</w:t>
      </w:r>
    </w:p>
    <w:p>
      <w:pPr>
        <w:spacing w:line="50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绩效目标：保障机关正常工作有效运转</w:t>
      </w:r>
    </w:p>
    <w:p>
      <w:pPr>
        <w:spacing w:line="50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绩效指标：综合事务管理工作完成率≥90%</w:t>
      </w:r>
    </w:p>
    <w:p>
      <w:pPr>
        <w:autoSpaceDE w:val="0"/>
        <w:autoSpaceDN w:val="0"/>
        <w:adjustRightInd w:val="0"/>
        <w:ind w:left="198" w:firstLine="643" w:firstLineChars="200"/>
        <w:jc w:val="left"/>
        <w:rPr>
          <w:rFonts w:ascii="仿宋" w:hAnsi="仿宋" w:eastAsia="仿宋" w:cs="仿宋"/>
          <w:b/>
          <w:sz w:val="32"/>
          <w:szCs w:val="32"/>
        </w:rPr>
      </w:pPr>
      <w:r>
        <w:rPr>
          <w:rFonts w:hint="eastAsia" w:ascii="仿宋" w:hAnsi="仿宋" w:eastAsia="仿宋" w:cs="仿宋"/>
          <w:b/>
          <w:sz w:val="32"/>
          <w:szCs w:val="32"/>
        </w:rPr>
        <w:t>（三）工作保障措施</w:t>
      </w:r>
      <w:r>
        <w:rPr>
          <w:rFonts w:hint="eastAsia" w:ascii="仿宋" w:hAnsi="仿宋" w:eastAsia="仿宋" w:cs="仿宋"/>
          <w:b/>
          <w:sz w:val="32"/>
          <w:szCs w:val="32"/>
        </w:rPr>
        <w:fldChar w:fldCharType="begin"/>
      </w:r>
      <w:r>
        <w:rPr>
          <w:rFonts w:hint="eastAsia" w:ascii="仿宋" w:hAnsi="仿宋" w:eastAsia="仿宋" w:cs="仿宋"/>
          <w:b/>
          <w:sz w:val="32"/>
          <w:szCs w:val="32"/>
        </w:rPr>
        <w:instrText xml:space="preserve"> TC </w:instrText>
      </w:r>
      <w:bookmarkStart w:id="3" w:name="_Toc29484630"/>
      <w:r>
        <w:rPr>
          <w:rFonts w:hint="eastAsia" w:ascii="仿宋" w:hAnsi="仿宋" w:eastAsia="仿宋" w:cs="仿宋"/>
          <w:b/>
          <w:sz w:val="32"/>
          <w:szCs w:val="32"/>
        </w:rPr>
        <w:instrText xml:space="preserve">工作保障措施</w:instrText>
      </w:r>
      <w:bookmarkEnd w:id="3"/>
      <w:r>
        <w:rPr>
          <w:rFonts w:hint="eastAsia" w:ascii="仿宋" w:hAnsi="仿宋" w:eastAsia="仿宋" w:cs="仿宋"/>
          <w:b/>
          <w:sz w:val="32"/>
          <w:szCs w:val="32"/>
        </w:rPr>
        <w:instrText xml:space="preserve"> \f A \l 1 </w:instrText>
      </w:r>
      <w:r>
        <w:rPr>
          <w:rFonts w:hint="eastAsia" w:ascii="仿宋" w:hAnsi="仿宋" w:eastAsia="仿宋" w:cs="仿宋"/>
          <w:b/>
          <w:sz w:val="32"/>
          <w:szCs w:val="32"/>
        </w:rPr>
        <w:fldChar w:fldCharType="end"/>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1、加强制度建设。建立健全机关预算绩效管理制度，为全年预算绩效目标的实现奠定制度基础。</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2、规范财务管理。进一步完善财务管理制度，通过科学编制预算、优化支出结构、加快政府采购、加快项目建设、及时拨付资金，确保经费支出进度达到规定标准。</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3、加强内部监督。加强内部监督制度建设，对绩效运行、重大支出事项、资产处置及其他重要经济业务事项决策和执行进行监督，定期开展财务内部审计，确保财政资金使用安全合规。</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4、加强绩效监控。积极开展绩效运行监控，发现问题及时采取措施，确保绩效目标如期保质实现。</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5、做好绩效自评。按要求开展部门预算绩效自评和重点项目评价工作，对评价中发现的问题及时整改。</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6、加强宣传培训。加强人员培训，加大宣传力度，强化预算绩效管理意识，促进预算绩效管理水平提升。</w:t>
      </w:r>
    </w:p>
    <w:p>
      <w:pPr>
        <w:autoSpaceDE w:val="0"/>
        <w:autoSpaceDN w:val="0"/>
        <w:adjustRightInd w:val="0"/>
        <w:ind w:left="198" w:firstLine="643" w:firstLineChars="200"/>
        <w:jc w:val="left"/>
        <w:rPr>
          <w:rFonts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第二部分  预算项目绩效目标</w:t>
      </w:r>
    </w:p>
    <w:p>
      <w:pPr>
        <w:ind w:firstLine="562" w:firstLineChars="200"/>
        <w:jc w:val="left"/>
        <w:outlineLvl w:val="1"/>
        <w:rPr>
          <w:rFonts w:hAnsi="宋体"/>
          <w:b/>
          <w:sz w:val="28"/>
        </w:rPr>
      </w:pPr>
      <w:r>
        <w:rPr>
          <w:rFonts w:hint="eastAsia" w:ascii="方正仿宋_GBK" w:eastAsia="方正仿宋_GBK"/>
          <w:b/>
          <w:sz w:val="28"/>
        </w:rPr>
        <w:t xml:space="preserve"> 1、安全生产监管执法经费绩效目标表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4" w:name="_Toc34957921"/>
      <w:r>
        <w:rPr>
          <w:rFonts w:hint="eastAsia" w:ascii="方正仿宋_GBK" w:eastAsia="方正仿宋_GBK"/>
          <w:b/>
          <w:sz w:val="28"/>
        </w:rPr>
        <w:instrText xml:space="preserve">1、安全生产监管执法经费绩效目标表</w:instrText>
      </w:r>
      <w:bookmarkEnd w:id="4"/>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426002</w:t>
            </w:r>
            <w:r>
              <w:rPr>
                <w:rFonts w:hint="eastAsia" w:ascii="方正书宋_GBK" w:eastAsia="方正书宋_GBK"/>
                <w:b/>
              </w:rPr>
              <w:t>无极县应急管理局</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426-0101-YXN-VA3S</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安全生产监管执法经费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10.00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安全生产监管工作业务量大执法工作重，保障安全生产工作执法监管工作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、安全执法力度加大，执法工作得到保障。</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、保障安全生产执法监管工作，全县安全生产工作平稳。</w:t>
            </w:r>
          </w:p>
        </w:tc>
      </w:tr>
    </w:tbl>
    <w:p>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执法处罚率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反映年内实际处罚与应处罚的比例</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执法装备配备率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反映执法人员配备执法装备的比率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检查项目完成率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反映协助检查单位实际派出人员检查的比例</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年度工作总结</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2" w:firstLineChars="200"/>
        <w:jc w:val="left"/>
        <w:outlineLvl w:val="1"/>
        <w:rPr>
          <w:rFonts w:hAnsi="宋体"/>
          <w:b/>
          <w:sz w:val="28"/>
        </w:rPr>
      </w:pPr>
      <w:r>
        <w:rPr>
          <w:rFonts w:hint="eastAsia" w:ascii="方正仿宋_GBK" w:eastAsia="方正仿宋_GBK"/>
          <w:b/>
          <w:sz w:val="28"/>
        </w:rPr>
        <w:t>2、安全生产目标管理优秀单位奖励及有关费用绩效目标表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5" w:name="_Toc34957922"/>
      <w:r>
        <w:rPr>
          <w:rFonts w:hint="eastAsia" w:ascii="方正仿宋_GBK" w:eastAsia="方正仿宋_GBK"/>
          <w:b/>
          <w:sz w:val="28"/>
        </w:rPr>
        <w:instrText xml:space="preserve">2、安全生产目标管理优秀单位奖励及有关费用绩效目标表</w:instrText>
      </w:r>
      <w:bookmarkEnd w:id="5"/>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426002</w:t>
            </w:r>
            <w:r>
              <w:rPr>
                <w:rFonts w:hint="eastAsia" w:ascii="方正书宋_GBK" w:eastAsia="方正书宋_GBK"/>
                <w:b/>
              </w:rPr>
              <w:t>无极县应急管理局</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426-0101-YXN-GNT8</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安全生产目标管理优秀单位奖励及有关费用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16.00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16.00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表彰奖励在安全生产考核中被评为优秀的单位或个人。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、表彰奖励在安全生产考核中被评为优秀的单位或个人。</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、调动安全生产工作人员的积极性，保障全县安全生产工作</w:t>
            </w:r>
          </w:p>
        </w:tc>
      </w:tr>
    </w:tbl>
    <w:p>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考核结果评定完成情况</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反映按照县政府考核工作要求完成考核结果评定工作的完成情况</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安全生产目标责任书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表彰奖励考核中优秀单位和个人</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调动安检人员积极性</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安全生产目标责任书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保障全县安全生产工作</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安全生产目标责任书</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2" w:firstLineChars="200"/>
        <w:jc w:val="left"/>
        <w:outlineLvl w:val="1"/>
        <w:rPr>
          <w:rFonts w:hAnsi="宋体"/>
          <w:b/>
          <w:sz w:val="28"/>
        </w:rPr>
      </w:pPr>
      <w:r>
        <w:rPr>
          <w:rFonts w:hint="eastAsia" w:ascii="方正仿宋_GBK" w:eastAsia="方正仿宋_GBK"/>
          <w:b/>
          <w:sz w:val="28"/>
        </w:rPr>
        <w:t>3、安全生产培训费绩效目标表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6" w:name="_Toc34957923"/>
      <w:r>
        <w:rPr>
          <w:rFonts w:hint="eastAsia" w:ascii="方正仿宋_GBK" w:eastAsia="方正仿宋_GBK"/>
          <w:b/>
          <w:sz w:val="28"/>
        </w:rPr>
        <w:instrText xml:space="preserve">3、安全生产培训费绩效目标表</w:instrText>
      </w:r>
      <w:bookmarkEnd w:id="6"/>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426002</w:t>
            </w:r>
            <w:r>
              <w:rPr>
                <w:rFonts w:hint="eastAsia" w:ascii="方正书宋_GBK" w:eastAsia="方正书宋_GBK"/>
                <w:b/>
              </w:rPr>
              <w:t>无极县应急管理局</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426-0101-YXN-RABT</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安全生产培训费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20.00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20.00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近几年在省市各类考核巡查中把安全生产培训费列为督导检查及考核的内容。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、培训乡镇安监站执法人员及安监系统干部</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、培训非高危和高危企业主要负责人和安全管理人员</w:t>
            </w:r>
          </w:p>
        </w:tc>
      </w:tr>
    </w:tbl>
    <w:p>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法制业务培训参与人数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反映参加法制业务培训的人数数量</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对危险化学生产和经营单位主要负责人进行培训的</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反映危险化学生产和经营单位主要负责人参加培训的人数</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培训人员业务知识增加</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年度工作总结</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2" w:firstLineChars="200"/>
        <w:jc w:val="left"/>
        <w:outlineLvl w:val="1"/>
        <w:rPr>
          <w:rFonts w:hAnsi="宋体"/>
          <w:b/>
          <w:sz w:val="28"/>
        </w:rPr>
      </w:pPr>
      <w:r>
        <w:rPr>
          <w:rFonts w:hint="eastAsia" w:ascii="方正仿宋_GBK" w:eastAsia="方正仿宋_GBK"/>
          <w:b/>
          <w:sz w:val="28"/>
        </w:rPr>
        <w:t>4、安全月法律法规宣传费绩效目标表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7" w:name="_Toc34957924"/>
      <w:r>
        <w:rPr>
          <w:rFonts w:hint="eastAsia" w:ascii="方正仿宋_GBK" w:eastAsia="方正仿宋_GBK"/>
          <w:b/>
          <w:sz w:val="28"/>
        </w:rPr>
        <w:instrText xml:space="preserve">4、安全月法律法规宣传费绩效目标表</w:instrText>
      </w:r>
      <w:bookmarkEnd w:id="7"/>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426002</w:t>
            </w:r>
            <w:r>
              <w:rPr>
                <w:rFonts w:hint="eastAsia" w:ascii="方正书宋_GBK" w:eastAsia="方正书宋_GBK"/>
                <w:b/>
              </w:rPr>
              <w:t>无极县应急管理局</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426-0101-YXN-GSE3</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安全月法律法规宣传费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20.00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20.00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每年</w:t>
            </w:r>
            <w:r>
              <w:rPr>
                <w:rFonts w:ascii="方正书宋_GBK" w:eastAsia="方正书宋_GBK"/>
              </w:rPr>
              <w:t>6</w:t>
            </w:r>
            <w:r>
              <w:rPr>
                <w:rFonts w:hint="eastAsia" w:ascii="方正书宋_GBK" w:eastAsia="方正书宋_GBK"/>
              </w:rPr>
              <w:t>月为安全生产宣传月，用于宣传月及各类宣传活动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、宣传安全生产工作，增强人们防范意义</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、多方面保障安全生产工作</w:t>
            </w:r>
          </w:p>
        </w:tc>
      </w:tr>
    </w:tbl>
    <w:p>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宣传目标完成率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反映已宣传任务占应宣传任务的比例</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宣传安全生产相关知识、法规</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多方面保障安全生产工作</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群众满意数量占总数的比例。</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年度工作总结</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2" w:firstLineChars="200"/>
        <w:jc w:val="left"/>
        <w:outlineLvl w:val="1"/>
        <w:rPr>
          <w:rFonts w:hAnsi="宋体"/>
          <w:b/>
          <w:sz w:val="28"/>
        </w:rPr>
      </w:pPr>
      <w:r>
        <w:rPr>
          <w:rFonts w:hint="eastAsia" w:ascii="方正仿宋_GBK" w:eastAsia="方正仿宋_GBK"/>
          <w:b/>
          <w:sz w:val="28"/>
        </w:rPr>
        <w:t>5、关于提前下达2020年自然灾害救助专项资金绩效目标表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8" w:name="_Toc34957925"/>
      <w:r>
        <w:rPr>
          <w:rFonts w:hint="eastAsia" w:ascii="方正仿宋_GBK" w:eastAsia="方正仿宋_GBK"/>
          <w:b/>
          <w:sz w:val="28"/>
        </w:rPr>
        <w:instrText xml:space="preserve">5、关于提前下达2020年自然灾害救助专项资金绩效目标表</w:instrText>
      </w:r>
      <w:bookmarkEnd w:id="8"/>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426002</w:t>
            </w:r>
            <w:r>
              <w:rPr>
                <w:rFonts w:hint="eastAsia" w:ascii="方正书宋_GBK" w:eastAsia="方正书宋_GBK"/>
                <w:b/>
              </w:rPr>
              <w:t>无极县应急管理局</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426-0601-YSN-7U3Z</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关于提前下达</w:t>
            </w:r>
            <w:r>
              <w:rPr>
                <w:rFonts w:ascii="方正书宋_GBK" w:eastAsia="方正书宋_GBK"/>
              </w:rPr>
              <w:t>2020</w:t>
            </w:r>
            <w:r>
              <w:rPr>
                <w:rFonts w:hint="eastAsia" w:ascii="方正书宋_GBK" w:eastAsia="方正书宋_GBK"/>
              </w:rPr>
              <w:t>年自然灾害救助专项资金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21.00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21.00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根据河北省财政厅关于提前下达</w:t>
            </w:r>
            <w:r>
              <w:rPr>
                <w:rFonts w:ascii="方正书宋_GBK" w:eastAsia="方正书宋_GBK"/>
              </w:rPr>
              <w:t>2020</w:t>
            </w:r>
            <w:r>
              <w:rPr>
                <w:rFonts w:hint="eastAsia" w:ascii="方正书宋_GBK" w:eastAsia="方正书宋_GBK"/>
              </w:rPr>
              <w:t>年自然灾害救助专项资金预算指标的通知，保障我县农房保险保额工作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、根据河北省财政厅关于提前下达</w:t>
            </w:r>
            <w:r>
              <w:rPr>
                <w:rFonts w:ascii="方正书宋_GBK" w:eastAsia="方正书宋_GBK"/>
              </w:rPr>
              <w:t>2020</w:t>
            </w:r>
            <w:r>
              <w:rPr>
                <w:rFonts w:hint="eastAsia" w:ascii="方正书宋_GBK" w:eastAsia="方正书宋_GBK"/>
              </w:rPr>
              <w:t>年自然灾害救助专项资金预算指标的通知，保障我县农房保险保额工作</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、根据我县实际情况，确保我县农房保险落到实处</w:t>
            </w:r>
          </w:p>
        </w:tc>
      </w:tr>
    </w:tbl>
    <w:p>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农房保险出险陪付数量占应赔付数量的比例</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反映农房保险出险赔付情况</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河北省农村住房保险试点补助资金管理办法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农房保险试点乡镇农户参保率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全县所有农房保险试点乡镇参保农户数占全部农房保险比例</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河北省农村住房保险试点补助资金管理办法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提前下达</w:t>
            </w:r>
            <w:r>
              <w:rPr>
                <w:rFonts w:ascii="方正书宋_GBK" w:eastAsia="方正书宋_GBK"/>
              </w:rPr>
              <w:t>2020</w:t>
            </w:r>
            <w:r>
              <w:rPr>
                <w:rFonts w:hint="eastAsia" w:ascii="方正书宋_GBK" w:eastAsia="方正书宋_GBK"/>
              </w:rPr>
              <w:t>年自然灾害救助专项资金</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保障我县农房保险保额工作</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河北省农村住房保险试点补助资金管理办法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受灾群众对救助满意度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反映受灾群众对救助工作的满意度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河北省自然灾害救助办法</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2" w:firstLineChars="200"/>
        <w:jc w:val="left"/>
        <w:outlineLvl w:val="1"/>
        <w:rPr>
          <w:rFonts w:hAnsi="宋体"/>
          <w:b/>
          <w:sz w:val="28"/>
        </w:rPr>
      </w:pPr>
      <w:r>
        <w:rPr>
          <w:rFonts w:hint="eastAsia" w:ascii="方正仿宋_GBK" w:eastAsia="方正仿宋_GBK"/>
          <w:b/>
          <w:sz w:val="28"/>
        </w:rPr>
        <w:t>6、举报费绩效目标表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9" w:name="_Toc34957926"/>
      <w:r>
        <w:rPr>
          <w:rFonts w:hint="eastAsia" w:ascii="方正仿宋_GBK" w:eastAsia="方正仿宋_GBK"/>
          <w:b/>
          <w:sz w:val="28"/>
        </w:rPr>
        <w:instrText xml:space="preserve">6、举报费绩效目标表</w:instrText>
      </w:r>
      <w:bookmarkEnd w:id="9"/>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426002</w:t>
            </w:r>
            <w:r>
              <w:rPr>
                <w:rFonts w:hint="eastAsia" w:ascii="方正书宋_GBK" w:eastAsia="方正书宋_GBK"/>
                <w:b/>
              </w:rPr>
              <w:t>无极县应急管理局</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426-0201-YXN-I1FW</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举报费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10.00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加大对违法违规企业安全生产工作进行监督，奖励举报人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、杜绝安全生产违法违规现象发生</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、奖励安全生产违法行为举报人</w:t>
            </w:r>
          </w:p>
        </w:tc>
      </w:tr>
    </w:tbl>
    <w:p>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奖励金额</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反映奖励举报制度落实情况</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河北省安全生产领域举报奖励办法</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2" w:firstLineChars="200"/>
        <w:jc w:val="left"/>
        <w:outlineLvl w:val="1"/>
        <w:rPr>
          <w:rFonts w:hAnsi="宋体"/>
          <w:b/>
          <w:sz w:val="28"/>
        </w:rPr>
      </w:pPr>
      <w:r>
        <w:rPr>
          <w:rFonts w:hint="eastAsia" w:ascii="方正仿宋_GBK" w:eastAsia="方正仿宋_GBK"/>
          <w:b/>
          <w:sz w:val="28"/>
        </w:rPr>
        <w:t>7、农房保险县级配套资金绩效目标表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10" w:name="_Toc34957927"/>
      <w:r>
        <w:rPr>
          <w:rFonts w:hint="eastAsia" w:ascii="方正仿宋_GBK" w:eastAsia="方正仿宋_GBK"/>
          <w:b/>
          <w:sz w:val="28"/>
        </w:rPr>
        <w:instrText xml:space="preserve">7、农房保险县级配套资金绩效目标表</w:instrText>
      </w:r>
      <w:bookmarkEnd w:id="10"/>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426002</w:t>
            </w:r>
            <w:r>
              <w:rPr>
                <w:rFonts w:hint="eastAsia" w:ascii="方正书宋_GBK" w:eastAsia="方正书宋_GBK"/>
                <w:b/>
              </w:rPr>
              <w:t>无极县应急管理局</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426-0601-YXN-6YVU</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农房保险县级配套资金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5.00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5.00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根据河北省财政厅关于提前下达</w:t>
            </w:r>
            <w:r>
              <w:rPr>
                <w:rFonts w:ascii="方正书宋_GBK" w:eastAsia="方正书宋_GBK"/>
              </w:rPr>
              <w:t>2020</w:t>
            </w:r>
            <w:r>
              <w:rPr>
                <w:rFonts w:hint="eastAsia" w:ascii="方正书宋_GBK" w:eastAsia="方正书宋_GBK"/>
              </w:rPr>
              <w:t>年自然灾害救助专项资金，现需配套</w:t>
            </w:r>
            <w:r>
              <w:rPr>
                <w:rFonts w:ascii="方正书宋_GBK" w:eastAsia="方正书宋_GBK"/>
              </w:rPr>
              <w:t>5</w:t>
            </w:r>
            <w:r>
              <w:rPr>
                <w:rFonts w:hint="eastAsia" w:ascii="方正书宋_GBK" w:eastAsia="方正书宋_GBK"/>
              </w:rPr>
              <w:t>万元用我县农房保险保额工作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、根据河北省财政厅关于提前下达</w:t>
            </w:r>
            <w:r>
              <w:rPr>
                <w:rFonts w:ascii="方正书宋_GBK" w:eastAsia="方正书宋_GBK"/>
              </w:rPr>
              <w:t>2020</w:t>
            </w:r>
            <w:r>
              <w:rPr>
                <w:rFonts w:hint="eastAsia" w:ascii="方正书宋_GBK" w:eastAsia="方正书宋_GBK"/>
              </w:rPr>
              <w:t>年自然灾害救助专项资金，现需配套</w:t>
            </w:r>
            <w:r>
              <w:rPr>
                <w:rFonts w:ascii="方正书宋_GBK" w:eastAsia="方正书宋_GBK"/>
              </w:rPr>
              <w:t>5</w:t>
            </w:r>
            <w:r>
              <w:rPr>
                <w:rFonts w:hint="eastAsia" w:ascii="方正书宋_GBK" w:eastAsia="方正书宋_GBK"/>
              </w:rPr>
              <w:t>万元用我县农房保险保额工作</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、保障我县农房保险工作落到实处</w:t>
            </w:r>
          </w:p>
        </w:tc>
      </w:tr>
    </w:tbl>
    <w:p>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农房保险出现赔付数量占应赔付数量的比例</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反映农房保险出现赔付的情况</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河北省农村住房保险试点补助资金管理办法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农房保险试点乡镇参保率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全县所有农房保险试点乡镇农房保险占全部的比例</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河北省农村住房保险试点补助资金管理办法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受灾群众对救助满意度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反映受灾群众对救灾工作的满意度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河北省自然灾害救助办法</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2" w:firstLineChars="200"/>
        <w:jc w:val="left"/>
        <w:outlineLvl w:val="1"/>
        <w:rPr>
          <w:rFonts w:hAnsi="宋体"/>
          <w:b/>
          <w:sz w:val="28"/>
        </w:rPr>
      </w:pPr>
      <w:r>
        <w:rPr>
          <w:rFonts w:hint="eastAsia" w:ascii="方正仿宋_GBK" w:eastAsia="方正仿宋_GBK"/>
          <w:b/>
          <w:sz w:val="28"/>
        </w:rPr>
        <w:t>8、网络信息化平台绩效目标表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11" w:name="_Toc34957928"/>
      <w:r>
        <w:rPr>
          <w:rFonts w:hint="eastAsia" w:ascii="方正仿宋_GBK" w:eastAsia="方正仿宋_GBK"/>
          <w:b/>
          <w:sz w:val="28"/>
        </w:rPr>
        <w:instrText xml:space="preserve">8、网络信息化平台绩效目标表</w:instrText>
      </w:r>
      <w:bookmarkEnd w:id="11"/>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426002</w:t>
            </w:r>
            <w:r>
              <w:rPr>
                <w:rFonts w:hint="eastAsia" w:ascii="方正书宋_GBK" w:eastAsia="方正书宋_GBK"/>
                <w:b/>
              </w:rPr>
              <w:t>无极县应急管理局</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426-0101-YXN-8B9W</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网络信息化平台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12.00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12.00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用于安全生产网络信息化平台建设及移动执法终端费用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、安全生产工作日益网络化，建设网络信息化平台及移动执法终端保障安全生产工作</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、安全生产工作日益网络化，建设网络信息化平台及移动执法终端保障安全生产工作</w:t>
            </w:r>
          </w:p>
        </w:tc>
      </w:tr>
    </w:tbl>
    <w:p>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软件功能与政策标准的合格率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反映软件功能实现与政策标准业务流程节点数的比例</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河北省人民政府关于进一步加快社会信用体系建设的实施意见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执法处罚率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反映年内实际处罚的企业数量占计划处罚的比例</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宣传目标完成率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反映以宣传任务占应宣传任务的比例</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年度工作总结</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2" w:firstLineChars="200"/>
        <w:jc w:val="left"/>
        <w:outlineLvl w:val="1"/>
        <w:rPr>
          <w:rFonts w:hAnsi="宋体"/>
          <w:b/>
          <w:sz w:val="28"/>
        </w:rPr>
      </w:pPr>
      <w:r>
        <w:rPr>
          <w:rFonts w:hint="eastAsia" w:ascii="方正仿宋_GBK" w:eastAsia="方正仿宋_GBK"/>
          <w:b/>
          <w:sz w:val="28"/>
        </w:rPr>
        <w:t>9、无极县突发事件总体应急预案及7个县级自然灾害和事故灾难专项分类应急预案6个部门级自然灾害和事故灾难应绩效目标表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12" w:name="_Toc34957929"/>
      <w:r>
        <w:rPr>
          <w:rFonts w:hint="eastAsia" w:ascii="方正仿宋_GBK" w:eastAsia="方正仿宋_GBK"/>
          <w:b/>
          <w:sz w:val="28"/>
        </w:rPr>
        <w:instrText xml:space="preserve">9、无极县突发事件总体应急预案及7个县级自然灾害和事故灾难专项分类应急预案6个部门级自然灾害和事故灾难应绩效目标表</w:instrText>
      </w:r>
      <w:bookmarkEnd w:id="12"/>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426002</w:t>
            </w:r>
            <w:r>
              <w:rPr>
                <w:rFonts w:hint="eastAsia" w:ascii="方正书宋_GBK" w:eastAsia="方正书宋_GBK"/>
                <w:b/>
              </w:rPr>
              <w:t>无极县应急管理局</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426-0302-YXN-N9IH</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无极县突发事件总体应急预案及</w:t>
            </w:r>
            <w:r>
              <w:rPr>
                <w:rFonts w:ascii="方正书宋_GBK" w:eastAsia="方正书宋_GBK"/>
              </w:rPr>
              <w:t>7</w:t>
            </w:r>
            <w:r>
              <w:rPr>
                <w:rFonts w:hint="eastAsia" w:ascii="方正书宋_GBK" w:eastAsia="方正书宋_GBK"/>
              </w:rPr>
              <w:t>个县级自然灾害和事故灾难专项分类应急预案</w:t>
            </w:r>
            <w:r>
              <w:rPr>
                <w:rFonts w:ascii="方正书宋_GBK" w:eastAsia="方正书宋_GBK"/>
              </w:rPr>
              <w:t>6</w:t>
            </w:r>
            <w:r>
              <w:rPr>
                <w:rFonts w:hint="eastAsia" w:ascii="方正书宋_GBK" w:eastAsia="方正书宋_GBK"/>
              </w:rPr>
              <w:t>个部门级自然灾害和事故灾难应</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30.00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30.00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无极县突发事件总体应急预案及</w:t>
            </w:r>
            <w:r>
              <w:rPr>
                <w:rFonts w:ascii="方正书宋_GBK" w:eastAsia="方正书宋_GBK"/>
              </w:rPr>
              <w:t>7</w:t>
            </w:r>
            <w:r>
              <w:rPr>
                <w:rFonts w:hint="eastAsia" w:ascii="方正书宋_GBK" w:eastAsia="方正书宋_GBK"/>
              </w:rPr>
              <w:t>个县级自然灾害和事故灾难专项分类应急预案</w:t>
            </w:r>
            <w:r>
              <w:rPr>
                <w:rFonts w:ascii="方正书宋_GBK" w:eastAsia="方正书宋_GBK"/>
              </w:rPr>
              <w:t>6</w:t>
            </w:r>
            <w:r>
              <w:rPr>
                <w:rFonts w:hint="eastAsia" w:ascii="方正书宋_GBK" w:eastAsia="方正书宋_GBK"/>
              </w:rPr>
              <w:t>个部门级自然灾害和事故灾难应急预案的编制和汇总。</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、汇总无极县各类应急救援预案</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、保障无极县应急工作</w:t>
            </w:r>
          </w:p>
        </w:tc>
      </w:tr>
    </w:tbl>
    <w:p>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编制应急救援类预案数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反映编制的应急救援类预案数量</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年度工作总结确定数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编制自然灾害类预案数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反映编制的自然灾害类预案数量</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年度工作总结确定数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编制安全生产类预案数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反映编制的安全生产类数量</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年度工作总结确定数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编制各类预案</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保障应急工作</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大于</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河北省自然灾害救助应急预案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保障群众安全损失降到最低</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河北省自然灾害救助应急预案</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2" w:firstLineChars="200"/>
        <w:jc w:val="left"/>
        <w:outlineLvl w:val="1"/>
        <w:rPr>
          <w:rFonts w:hAnsi="宋体"/>
          <w:b/>
          <w:sz w:val="28"/>
        </w:rPr>
      </w:pPr>
      <w:r>
        <w:rPr>
          <w:rFonts w:hint="eastAsia" w:ascii="方正仿宋_GBK" w:eastAsia="方正仿宋_GBK"/>
          <w:b/>
          <w:sz w:val="28"/>
        </w:rPr>
        <w:t>10、乡镇基层安监人员岗位津贴绩效目标表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13" w:name="_Toc34957930"/>
      <w:r>
        <w:rPr>
          <w:rFonts w:hint="eastAsia" w:ascii="方正仿宋_GBK" w:eastAsia="方正仿宋_GBK"/>
          <w:b/>
          <w:sz w:val="28"/>
        </w:rPr>
        <w:instrText xml:space="preserve">10、乡镇基层安监人员岗位津贴绩效目标表</w:instrText>
      </w:r>
      <w:bookmarkEnd w:id="13"/>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426002</w:t>
            </w:r>
            <w:r>
              <w:rPr>
                <w:rFonts w:hint="eastAsia" w:ascii="方正书宋_GBK" w:eastAsia="方正书宋_GBK"/>
                <w:b/>
              </w:rPr>
              <w:t>无极县应急管理局</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426-0101-YXN-A6ZG</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乡镇基层安监人员岗位津贴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12.80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12.80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各乡镇企业数量大幅度增加，安全生产监管监管任务大，责任大。为更好的监管监察安全生产工作，每月为乡镇安监站人员发放安全生产岗位津贴。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、乡镇安全生产监管工作任务重，业务量大，每月为基层安监站工作人员定时发放岗位津贴</w:t>
            </w:r>
            <w:r>
              <w:rPr>
                <w:rFonts w:ascii="方正书宋_GBK" w:eastAsia="方正书宋_GBK"/>
              </w:rPr>
              <w:t>.</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、调动了基层安监站工作人员积极性，保障了安全生产监管工作的顺利稳定</w:t>
            </w:r>
          </w:p>
        </w:tc>
      </w:tr>
    </w:tbl>
    <w:p>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工作量完成率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反映已完成的工作量，占应完成工作量的比例</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年度工作总结确定数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检查项目完成率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反映协助检查单位实际派出人员检查项目的批次数量占计划数的比例</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年度工作总结确定数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隐患整改率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隐患排查工作中整改消除的隐患总数与排查发现的隐患总数的比例</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关于加强安全生产监管执法的通知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隐患整改率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隐患排查工作中整改消除的隐患总数与排查发现的隐患总数的比例</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河北省安全生产条例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确保乡镇安全生产工作得到保障</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河北省安全生产条例</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2" w:firstLineChars="200"/>
        <w:jc w:val="left"/>
        <w:outlineLvl w:val="1"/>
        <w:rPr>
          <w:rFonts w:hAnsi="宋体"/>
          <w:b/>
          <w:sz w:val="28"/>
        </w:rPr>
      </w:pPr>
      <w:r>
        <w:rPr>
          <w:rFonts w:hint="eastAsia" w:ascii="方正仿宋_GBK" w:eastAsia="方正仿宋_GBK"/>
          <w:b/>
          <w:sz w:val="28"/>
        </w:rPr>
        <w:t>11、应急指挥中心平台建设费用绩效目标表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14" w:name="_Toc34957931"/>
      <w:r>
        <w:rPr>
          <w:rFonts w:hint="eastAsia" w:ascii="方正仿宋_GBK" w:eastAsia="方正仿宋_GBK"/>
          <w:b/>
          <w:sz w:val="28"/>
        </w:rPr>
        <w:instrText xml:space="preserve">11、应急指挥中心平台建设费用绩效目标表</w:instrText>
      </w:r>
      <w:bookmarkEnd w:id="14"/>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426002</w:t>
            </w:r>
            <w:r>
              <w:rPr>
                <w:rFonts w:hint="eastAsia" w:ascii="方正书宋_GBK" w:eastAsia="方正书宋_GBK"/>
                <w:b/>
              </w:rPr>
              <w:t>无极县应急管理局</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426-0302-YXN-CAHR</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应急指挥中心平台建设费用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120.00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120.00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根据省市要求建设应急指挥平台，保障应急工作。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、根据省市要求建设应急指挥平台，联动各个部门间齐抓共管。</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、保障全县的应急指挥工作。</w:t>
            </w:r>
          </w:p>
        </w:tc>
      </w:tr>
    </w:tbl>
    <w:p>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应急救援中心设备有效运转率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反映有效运转的设备数量占所有设备数量的比例</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应急救援平台功能实现率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反映应急救援平台的各项功能正常使用的数量占所有功能数量的比例</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发布预警信息的准确率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反映发布的准确预警信息占所有发布信息的比例</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年度工作总结</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2" w:firstLineChars="200"/>
        <w:jc w:val="left"/>
        <w:outlineLvl w:val="1"/>
        <w:rPr>
          <w:rFonts w:hAnsi="宋体"/>
          <w:b/>
          <w:sz w:val="28"/>
        </w:rPr>
      </w:pPr>
      <w:r>
        <w:rPr>
          <w:rFonts w:hint="eastAsia" w:ascii="方正仿宋_GBK" w:eastAsia="方正仿宋_GBK"/>
          <w:b/>
          <w:sz w:val="28"/>
        </w:rPr>
        <w:t>12、政府购买安全生产服务费用（专家费）绩效目标表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15" w:name="_Toc34957932"/>
      <w:r>
        <w:rPr>
          <w:rFonts w:hint="eastAsia" w:ascii="方正仿宋_GBK" w:eastAsia="方正仿宋_GBK"/>
          <w:b/>
          <w:sz w:val="28"/>
        </w:rPr>
        <w:instrText xml:space="preserve">12、政府购买安全生产服务费用（专家费）绩效目标表</w:instrText>
      </w:r>
      <w:bookmarkEnd w:id="15"/>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426002</w:t>
            </w:r>
            <w:r>
              <w:rPr>
                <w:rFonts w:hint="eastAsia" w:ascii="方正书宋_GBK" w:eastAsia="方正书宋_GBK"/>
                <w:b/>
              </w:rPr>
              <w:t>无极县应急管理局</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426-0104-YXN-3GFX</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政府购买安全生产服务费用（专家费）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30.00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30.00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附有安全生产监督职责部门采取政府购买服务、组织专家会诊，企业整改治理，部门督促落实</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、组织专家进行会诊，保障隐患有效整改</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、保障全县安全生产工作</w:t>
            </w:r>
          </w:p>
        </w:tc>
      </w:tr>
    </w:tbl>
    <w:p>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法制业务培训参与人数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反映参加法制业务培训的人数数量</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企业会诊次数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反映去企业参加会诊次数</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隐患整改率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隐患排查工作中整改消除的隐患总数</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河北省安全生产条例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生产安全事故起数的减少率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反映当年生产安全事故的减少率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河北省安全生产条例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安全生产事故减少</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河北省安全生产条例</w:t>
            </w:r>
          </w:p>
        </w:tc>
      </w:tr>
    </w:tbl>
    <w:p>
      <w:pPr>
        <w:spacing w:line="300" w:lineRule="exact"/>
        <w:jc w:val="left"/>
        <w:sectPr>
          <w:footerReference r:id="rId3" w:type="default"/>
          <w:pgSz w:w="11907" w:h="16839" w:orient="landscape"/>
          <w:pgMar w:top="1984" w:right="1304" w:bottom="1134" w:left="1304" w:header="851" w:footer="992" w:gutter="0"/>
          <w:cols w:space="720" w:num="1"/>
          <w:docGrid w:type="lines" w:linePitch="312" w:charSpace="0"/>
        </w:sectPr>
      </w:pPr>
    </w:p>
    <w:bookmarkEnd w:id="0"/>
    <w:p>
      <w:pPr>
        <w:tabs>
          <w:tab w:val="left" w:pos="726"/>
        </w:tabs>
        <w:autoSpaceDE w:val="0"/>
        <w:autoSpaceDN w:val="0"/>
        <w:adjustRightInd w:val="0"/>
        <w:jc w:val="left"/>
        <w:rPr>
          <w:rFonts w:ascii="黑体" w:hAnsi="黑体" w:eastAsia="黑体" w:cs="Times New Roman"/>
          <w:sz w:val="32"/>
          <w:szCs w:val="32"/>
        </w:rPr>
      </w:pPr>
    </w:p>
    <w:p>
      <w:pPr>
        <w:tabs>
          <w:tab w:val="left" w:pos="726"/>
        </w:tabs>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Times New Roman"/>
          <w:sz w:val="32"/>
          <w:szCs w:val="32"/>
        </w:rPr>
        <w:t>六、政府采购预算情况</w:t>
      </w:r>
    </w:p>
    <w:p>
      <w:pPr>
        <w:autoSpaceDE w:val="0"/>
        <w:autoSpaceDN w:val="0"/>
        <w:adjustRightInd w:val="0"/>
        <w:ind w:firstLine="640" w:firstLineChars="200"/>
        <w:jc w:val="left"/>
        <w:rPr>
          <w:rFonts w:ascii="Times New Roman" w:hAnsi="Times New Roman" w:eastAsia="仿宋" w:cs="Times New Roman"/>
          <w:sz w:val="32"/>
          <w:szCs w:val="24"/>
        </w:rPr>
      </w:pPr>
      <w:r>
        <w:rPr>
          <w:rFonts w:ascii="Times New Roman" w:hAnsi="Times New Roman" w:eastAsia="仿宋" w:cs="Times New Roman"/>
          <w:sz w:val="32"/>
          <w:szCs w:val="24"/>
        </w:rPr>
        <w:t xml:space="preserve"> 20</w:t>
      </w:r>
      <w:r>
        <w:rPr>
          <w:rFonts w:hint="eastAsia" w:ascii="Times New Roman" w:hAnsi="Times New Roman" w:eastAsia="仿宋" w:cs="Times New Roman"/>
          <w:sz w:val="32"/>
          <w:szCs w:val="24"/>
        </w:rPr>
        <w:t>20</w:t>
      </w:r>
      <w:r>
        <w:rPr>
          <w:rFonts w:ascii="Times New Roman" w:hAnsi="Times New Roman" w:eastAsia="仿宋" w:cs="Times New Roman"/>
          <w:sz w:val="32"/>
          <w:szCs w:val="24"/>
        </w:rPr>
        <w:t>年，</w:t>
      </w:r>
      <w:r>
        <w:rPr>
          <w:rFonts w:hint="eastAsia" w:ascii="Times New Roman" w:hAnsi="Times New Roman" w:eastAsia="仿宋" w:cs="Times New Roman"/>
          <w:sz w:val="32"/>
          <w:szCs w:val="24"/>
        </w:rPr>
        <w:t>我部门</w:t>
      </w:r>
      <w:r>
        <w:rPr>
          <w:rFonts w:ascii="Times New Roman" w:hAnsi="Times New Roman" w:eastAsia="仿宋" w:cs="Times New Roman"/>
          <w:sz w:val="32"/>
          <w:szCs w:val="24"/>
        </w:rPr>
        <w:t>安排政府采购预算</w:t>
      </w:r>
      <w:r>
        <w:rPr>
          <w:rFonts w:hint="eastAsia" w:ascii="Times New Roman" w:hAnsi="Times New Roman" w:eastAsia="仿宋" w:cs="Times New Roman"/>
          <w:sz w:val="32"/>
          <w:szCs w:val="24"/>
        </w:rPr>
        <w:t>0</w:t>
      </w:r>
      <w:r>
        <w:rPr>
          <w:rFonts w:ascii="Times New Roman" w:hAnsi="Times New Roman" w:eastAsia="仿宋" w:cs="Times New Roman"/>
          <w:sz w:val="32"/>
          <w:szCs w:val="24"/>
        </w:rPr>
        <w:t>万元</w:t>
      </w:r>
      <w:r>
        <w:rPr>
          <w:rFonts w:hint="eastAsia" w:ascii="Times New Roman" w:hAnsi="Times New Roman" w:eastAsia="仿宋" w:cs="Times New Roman"/>
          <w:sz w:val="32"/>
          <w:szCs w:val="24"/>
        </w:rPr>
        <w:t>。具体内容见下表。</w:t>
      </w:r>
    </w:p>
    <w:p>
      <w:pPr>
        <w:autoSpaceDE w:val="0"/>
        <w:autoSpaceDN w:val="0"/>
        <w:adjustRightInd w:val="0"/>
        <w:ind w:firstLine="640" w:firstLineChars="200"/>
        <w:jc w:val="center"/>
        <w:rPr>
          <w:rFonts w:ascii="Times New Roman" w:hAnsi="Times New Roman" w:eastAsia="仿宋" w:cs="Times New Roman"/>
          <w:sz w:val="32"/>
          <w:szCs w:val="24"/>
        </w:rPr>
      </w:pPr>
      <w:r>
        <w:rPr>
          <w:rFonts w:hint="eastAsia" w:ascii="Times New Roman" w:hAnsi="Times New Roman" w:eastAsia="仿宋" w:cs="Times New Roman"/>
          <w:sz w:val="32"/>
          <w:szCs w:val="24"/>
        </w:rPr>
        <w:t>部门政府采购预算</w:t>
      </w:r>
    </w:p>
    <w:p>
      <w:pPr>
        <w:autoSpaceDE w:val="0"/>
        <w:autoSpaceDN w:val="0"/>
        <w:adjustRightInd w:val="0"/>
        <w:ind w:firstLine="420" w:firstLineChars="200"/>
        <w:jc w:val="left"/>
        <w:rPr>
          <w:rFonts w:ascii="黑体" w:hAnsi="黑体" w:eastAsia="黑体"/>
          <w:szCs w:val="21"/>
        </w:rPr>
      </w:pPr>
      <w:r>
        <w:rPr>
          <w:rFonts w:hint="eastAsia" w:ascii="黑体" w:hAnsi="黑体" w:eastAsia="黑体"/>
          <w:szCs w:val="21"/>
        </w:rPr>
        <w:t>426无极县应急管理局                                                                                              单位：万元</w:t>
      </w:r>
    </w:p>
    <w:tbl>
      <w:tblPr>
        <w:tblStyle w:val="7"/>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012"/>
        <w:gridCol w:w="1012"/>
        <w:gridCol w:w="1012"/>
        <w:gridCol w:w="1012"/>
        <w:gridCol w:w="1012"/>
        <w:gridCol w:w="1012"/>
        <w:gridCol w:w="1012"/>
        <w:gridCol w:w="1012"/>
        <w:gridCol w:w="1013"/>
        <w:gridCol w:w="1013"/>
        <w:gridCol w:w="1013"/>
        <w:gridCol w:w="1013"/>
        <w:gridCol w:w="1013"/>
        <w:gridCol w:w="101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024" w:type="dxa"/>
            <w:gridSpan w:val="2"/>
            <w:shd w:val="clear" w:color="auto" w:fill="auto"/>
          </w:tcPr>
          <w:p>
            <w:pPr>
              <w:autoSpaceDE w:val="0"/>
              <w:autoSpaceDN w:val="0"/>
              <w:adjustRightInd w:val="0"/>
              <w:jc w:val="center"/>
              <w:rPr>
                <w:rFonts w:ascii="黑体" w:hAnsi="黑体" w:eastAsia="黑体" w:cs="Times New Roman"/>
                <w:sz w:val="24"/>
                <w:szCs w:val="24"/>
              </w:rPr>
            </w:pPr>
            <w:r>
              <w:rPr>
                <w:rFonts w:hint="eastAsia" w:ascii="黑体" w:hAnsi="黑体" w:eastAsia="黑体" w:cs="Times New Roman"/>
                <w:sz w:val="24"/>
                <w:szCs w:val="24"/>
              </w:rPr>
              <w:t>政府采购项目来源</w:t>
            </w:r>
          </w:p>
        </w:tc>
        <w:tc>
          <w:tcPr>
            <w:tcW w:w="1012" w:type="dxa"/>
            <w:vMerge w:val="restart"/>
            <w:shd w:val="clear" w:color="auto" w:fill="auto"/>
          </w:tcPr>
          <w:p>
            <w:pPr>
              <w:autoSpaceDE w:val="0"/>
              <w:autoSpaceDN w:val="0"/>
              <w:adjustRightInd w:val="0"/>
              <w:jc w:val="center"/>
              <w:rPr>
                <w:rFonts w:ascii="黑体" w:hAnsi="黑体" w:eastAsia="黑体" w:cs="Times New Roman"/>
                <w:sz w:val="24"/>
                <w:szCs w:val="24"/>
              </w:rPr>
            </w:pPr>
            <w:r>
              <w:rPr>
                <w:rFonts w:hint="eastAsia" w:ascii="黑体" w:hAnsi="黑体" w:eastAsia="黑体" w:cs="Times New Roman"/>
                <w:sz w:val="24"/>
                <w:szCs w:val="24"/>
              </w:rPr>
              <w:t>采购物品名称</w:t>
            </w:r>
          </w:p>
        </w:tc>
        <w:tc>
          <w:tcPr>
            <w:tcW w:w="1012" w:type="dxa"/>
            <w:vMerge w:val="restart"/>
            <w:shd w:val="clear" w:color="auto" w:fill="auto"/>
          </w:tcPr>
          <w:p>
            <w:pPr>
              <w:autoSpaceDE w:val="0"/>
              <w:autoSpaceDN w:val="0"/>
              <w:adjustRightInd w:val="0"/>
              <w:jc w:val="center"/>
              <w:rPr>
                <w:rFonts w:ascii="黑体" w:hAnsi="黑体" w:eastAsia="黑体" w:cs="Times New Roman"/>
                <w:sz w:val="24"/>
                <w:szCs w:val="24"/>
              </w:rPr>
            </w:pPr>
            <w:r>
              <w:rPr>
                <w:rFonts w:hint="eastAsia" w:ascii="黑体" w:hAnsi="黑体" w:eastAsia="黑体" w:cs="Times New Roman"/>
                <w:sz w:val="24"/>
                <w:szCs w:val="24"/>
              </w:rPr>
              <w:t>政府采购目录序号</w:t>
            </w:r>
          </w:p>
        </w:tc>
        <w:tc>
          <w:tcPr>
            <w:tcW w:w="1012" w:type="dxa"/>
            <w:vMerge w:val="restart"/>
            <w:shd w:val="clear" w:color="auto" w:fill="auto"/>
          </w:tcPr>
          <w:p>
            <w:pPr>
              <w:autoSpaceDE w:val="0"/>
              <w:autoSpaceDN w:val="0"/>
              <w:adjustRightInd w:val="0"/>
              <w:jc w:val="center"/>
              <w:rPr>
                <w:rFonts w:ascii="黑体" w:hAnsi="黑体" w:eastAsia="黑体" w:cs="Times New Roman"/>
                <w:sz w:val="24"/>
                <w:szCs w:val="24"/>
              </w:rPr>
            </w:pPr>
            <w:r>
              <w:rPr>
                <w:rFonts w:hint="eastAsia" w:ascii="黑体" w:hAnsi="黑体" w:eastAsia="黑体" w:cs="Times New Roman"/>
                <w:sz w:val="24"/>
                <w:szCs w:val="24"/>
              </w:rPr>
              <w:t>数量单位</w:t>
            </w:r>
          </w:p>
        </w:tc>
        <w:tc>
          <w:tcPr>
            <w:tcW w:w="1012" w:type="dxa"/>
            <w:vMerge w:val="restart"/>
            <w:shd w:val="clear" w:color="auto" w:fill="auto"/>
          </w:tcPr>
          <w:p>
            <w:pPr>
              <w:autoSpaceDE w:val="0"/>
              <w:autoSpaceDN w:val="0"/>
              <w:adjustRightInd w:val="0"/>
              <w:jc w:val="center"/>
              <w:rPr>
                <w:rFonts w:ascii="黑体" w:hAnsi="黑体" w:eastAsia="黑体" w:cs="Times New Roman"/>
                <w:sz w:val="24"/>
                <w:szCs w:val="24"/>
              </w:rPr>
            </w:pPr>
            <w:r>
              <w:rPr>
                <w:rFonts w:hint="eastAsia" w:ascii="黑体" w:hAnsi="黑体" w:eastAsia="黑体" w:cs="Times New Roman"/>
                <w:sz w:val="24"/>
                <w:szCs w:val="24"/>
              </w:rPr>
              <w:t>数量</w:t>
            </w:r>
          </w:p>
        </w:tc>
        <w:tc>
          <w:tcPr>
            <w:tcW w:w="1012" w:type="dxa"/>
            <w:vMerge w:val="restart"/>
            <w:shd w:val="clear" w:color="auto" w:fill="auto"/>
          </w:tcPr>
          <w:p>
            <w:pPr>
              <w:autoSpaceDE w:val="0"/>
              <w:autoSpaceDN w:val="0"/>
              <w:adjustRightInd w:val="0"/>
              <w:jc w:val="center"/>
              <w:rPr>
                <w:rFonts w:ascii="黑体" w:hAnsi="黑体" w:eastAsia="黑体" w:cs="Times New Roman"/>
                <w:sz w:val="24"/>
                <w:szCs w:val="24"/>
              </w:rPr>
            </w:pPr>
            <w:r>
              <w:rPr>
                <w:rFonts w:hint="eastAsia" w:ascii="黑体" w:hAnsi="黑体" w:eastAsia="黑体" w:cs="Times New Roman"/>
                <w:sz w:val="24"/>
                <w:szCs w:val="24"/>
              </w:rPr>
              <w:t>单价</w:t>
            </w:r>
          </w:p>
        </w:tc>
        <w:tc>
          <w:tcPr>
            <w:tcW w:w="7090" w:type="dxa"/>
            <w:gridSpan w:val="7"/>
            <w:shd w:val="clear" w:color="auto" w:fill="auto"/>
          </w:tcPr>
          <w:p>
            <w:pPr>
              <w:tabs>
                <w:tab w:val="left" w:pos="2608"/>
              </w:tabs>
              <w:autoSpaceDE w:val="0"/>
              <w:autoSpaceDN w:val="0"/>
              <w:adjustRightInd w:val="0"/>
              <w:jc w:val="center"/>
              <w:rPr>
                <w:rFonts w:ascii="黑体" w:hAnsi="黑体" w:eastAsia="黑体"/>
                <w:sz w:val="24"/>
                <w:szCs w:val="24"/>
              </w:rPr>
            </w:pPr>
            <w:r>
              <w:rPr>
                <w:rFonts w:hint="eastAsia" w:ascii="黑体" w:hAnsi="黑体" w:eastAsia="黑体"/>
                <w:sz w:val="24"/>
                <w:szCs w:val="24"/>
              </w:rPr>
              <w:t>政府采购金额</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12" w:type="dxa"/>
            <w:vMerge w:val="restart"/>
            <w:shd w:val="clear" w:color="auto" w:fill="auto"/>
          </w:tcPr>
          <w:p>
            <w:pPr>
              <w:autoSpaceDE w:val="0"/>
              <w:autoSpaceDN w:val="0"/>
              <w:adjustRightInd w:val="0"/>
              <w:jc w:val="center"/>
              <w:rPr>
                <w:rFonts w:ascii="黑体" w:hAnsi="黑体" w:eastAsia="黑体" w:cs="Times New Roman"/>
                <w:sz w:val="24"/>
                <w:szCs w:val="24"/>
              </w:rPr>
            </w:pPr>
            <w:r>
              <w:rPr>
                <w:rFonts w:hint="eastAsia" w:ascii="黑体" w:hAnsi="黑体" w:eastAsia="黑体" w:cs="Times New Roman"/>
                <w:sz w:val="24"/>
                <w:szCs w:val="24"/>
              </w:rPr>
              <w:t>项目名称</w:t>
            </w:r>
          </w:p>
        </w:tc>
        <w:tc>
          <w:tcPr>
            <w:tcW w:w="1012" w:type="dxa"/>
            <w:vMerge w:val="restart"/>
            <w:shd w:val="clear" w:color="auto" w:fill="auto"/>
          </w:tcPr>
          <w:p>
            <w:pPr>
              <w:autoSpaceDE w:val="0"/>
              <w:autoSpaceDN w:val="0"/>
              <w:adjustRightInd w:val="0"/>
              <w:jc w:val="center"/>
              <w:rPr>
                <w:rFonts w:ascii="黑体" w:hAnsi="黑体" w:eastAsia="黑体" w:cs="Times New Roman"/>
                <w:sz w:val="24"/>
                <w:szCs w:val="24"/>
              </w:rPr>
            </w:pPr>
            <w:r>
              <w:rPr>
                <w:rFonts w:hint="eastAsia" w:ascii="黑体" w:hAnsi="黑体" w:eastAsia="黑体" w:cs="Times New Roman"/>
                <w:sz w:val="24"/>
                <w:szCs w:val="24"/>
              </w:rPr>
              <w:t>预算资金</w:t>
            </w:r>
          </w:p>
        </w:tc>
        <w:tc>
          <w:tcPr>
            <w:tcW w:w="1012" w:type="dxa"/>
            <w:vMerge w:val="continue"/>
            <w:shd w:val="clear" w:color="auto" w:fill="auto"/>
          </w:tcPr>
          <w:p>
            <w:pPr>
              <w:autoSpaceDE w:val="0"/>
              <w:autoSpaceDN w:val="0"/>
              <w:adjustRightInd w:val="0"/>
              <w:jc w:val="center"/>
              <w:rPr>
                <w:rFonts w:ascii="黑体" w:hAnsi="黑体" w:eastAsia="黑体" w:cs="Times New Roman"/>
                <w:sz w:val="24"/>
                <w:szCs w:val="24"/>
              </w:rPr>
            </w:pPr>
          </w:p>
        </w:tc>
        <w:tc>
          <w:tcPr>
            <w:tcW w:w="1012" w:type="dxa"/>
            <w:vMerge w:val="continue"/>
            <w:shd w:val="clear" w:color="auto" w:fill="auto"/>
          </w:tcPr>
          <w:p>
            <w:pPr>
              <w:autoSpaceDE w:val="0"/>
              <w:autoSpaceDN w:val="0"/>
              <w:adjustRightInd w:val="0"/>
              <w:jc w:val="center"/>
              <w:rPr>
                <w:rFonts w:ascii="黑体" w:hAnsi="黑体" w:eastAsia="黑体" w:cs="Times New Roman"/>
                <w:sz w:val="24"/>
                <w:szCs w:val="24"/>
              </w:rPr>
            </w:pPr>
          </w:p>
        </w:tc>
        <w:tc>
          <w:tcPr>
            <w:tcW w:w="1012" w:type="dxa"/>
            <w:vMerge w:val="continue"/>
            <w:shd w:val="clear" w:color="auto" w:fill="auto"/>
          </w:tcPr>
          <w:p>
            <w:pPr>
              <w:autoSpaceDE w:val="0"/>
              <w:autoSpaceDN w:val="0"/>
              <w:adjustRightInd w:val="0"/>
              <w:jc w:val="center"/>
              <w:rPr>
                <w:rFonts w:ascii="黑体" w:hAnsi="黑体" w:eastAsia="黑体" w:cs="Times New Roman"/>
                <w:sz w:val="24"/>
                <w:szCs w:val="24"/>
              </w:rPr>
            </w:pPr>
          </w:p>
        </w:tc>
        <w:tc>
          <w:tcPr>
            <w:tcW w:w="1012" w:type="dxa"/>
            <w:vMerge w:val="continue"/>
            <w:shd w:val="clear" w:color="auto" w:fill="auto"/>
          </w:tcPr>
          <w:p>
            <w:pPr>
              <w:autoSpaceDE w:val="0"/>
              <w:autoSpaceDN w:val="0"/>
              <w:adjustRightInd w:val="0"/>
              <w:jc w:val="center"/>
              <w:rPr>
                <w:rFonts w:ascii="黑体" w:hAnsi="黑体" w:eastAsia="黑体" w:cs="Times New Roman"/>
                <w:sz w:val="24"/>
                <w:szCs w:val="24"/>
              </w:rPr>
            </w:pPr>
          </w:p>
        </w:tc>
        <w:tc>
          <w:tcPr>
            <w:tcW w:w="1012" w:type="dxa"/>
            <w:vMerge w:val="continue"/>
            <w:shd w:val="clear" w:color="auto" w:fill="auto"/>
          </w:tcPr>
          <w:p>
            <w:pPr>
              <w:autoSpaceDE w:val="0"/>
              <w:autoSpaceDN w:val="0"/>
              <w:adjustRightInd w:val="0"/>
              <w:jc w:val="center"/>
              <w:rPr>
                <w:rFonts w:ascii="黑体" w:hAnsi="黑体" w:eastAsia="黑体" w:cs="Times New Roman"/>
                <w:sz w:val="24"/>
                <w:szCs w:val="24"/>
              </w:rPr>
            </w:pPr>
          </w:p>
        </w:tc>
        <w:tc>
          <w:tcPr>
            <w:tcW w:w="1012" w:type="dxa"/>
            <w:vMerge w:val="restart"/>
            <w:shd w:val="clear" w:color="auto" w:fill="auto"/>
          </w:tcPr>
          <w:p>
            <w:pPr>
              <w:autoSpaceDE w:val="0"/>
              <w:autoSpaceDN w:val="0"/>
              <w:adjustRightInd w:val="0"/>
              <w:jc w:val="center"/>
              <w:rPr>
                <w:rFonts w:ascii="黑体" w:hAnsi="黑体" w:eastAsia="黑体"/>
                <w:sz w:val="24"/>
                <w:szCs w:val="24"/>
              </w:rPr>
            </w:pPr>
          </w:p>
          <w:p>
            <w:pPr>
              <w:ind w:firstLine="328"/>
              <w:jc w:val="center"/>
              <w:rPr>
                <w:rFonts w:ascii="黑体" w:hAnsi="黑体" w:eastAsia="黑体"/>
                <w:sz w:val="24"/>
                <w:szCs w:val="24"/>
              </w:rPr>
            </w:pPr>
            <w:r>
              <w:rPr>
                <w:rFonts w:hint="eastAsia" w:ascii="黑体" w:hAnsi="黑体" w:eastAsia="黑体"/>
                <w:sz w:val="24"/>
                <w:szCs w:val="24"/>
              </w:rPr>
              <w:t>总计</w:t>
            </w:r>
          </w:p>
        </w:tc>
        <w:tc>
          <w:tcPr>
            <w:tcW w:w="5065" w:type="dxa"/>
            <w:gridSpan w:val="5"/>
            <w:shd w:val="clear" w:color="auto" w:fill="auto"/>
          </w:tcPr>
          <w:p>
            <w:pPr>
              <w:autoSpaceDE w:val="0"/>
              <w:autoSpaceDN w:val="0"/>
              <w:adjustRightInd w:val="0"/>
              <w:jc w:val="center"/>
              <w:rPr>
                <w:rFonts w:ascii="黑体" w:hAnsi="黑体" w:eastAsia="黑体"/>
                <w:sz w:val="24"/>
                <w:szCs w:val="24"/>
              </w:rPr>
            </w:pPr>
            <w:r>
              <w:rPr>
                <w:rFonts w:hint="eastAsia" w:ascii="黑体" w:hAnsi="黑体" w:eastAsia="黑体"/>
                <w:sz w:val="24"/>
                <w:szCs w:val="24"/>
              </w:rPr>
              <w:t>当年部门预算安排资金</w:t>
            </w:r>
          </w:p>
        </w:tc>
        <w:tc>
          <w:tcPr>
            <w:tcW w:w="1013" w:type="dxa"/>
            <w:vMerge w:val="restart"/>
            <w:shd w:val="clear" w:color="auto" w:fill="auto"/>
          </w:tcPr>
          <w:p>
            <w:pPr>
              <w:autoSpaceDE w:val="0"/>
              <w:autoSpaceDN w:val="0"/>
              <w:adjustRightInd w:val="0"/>
              <w:jc w:val="center"/>
              <w:rPr>
                <w:rFonts w:ascii="黑体" w:hAnsi="黑体" w:eastAsia="黑体"/>
                <w:sz w:val="24"/>
                <w:szCs w:val="24"/>
              </w:rPr>
            </w:pPr>
            <w:r>
              <w:rPr>
                <w:rFonts w:hint="eastAsia" w:ascii="黑体" w:hAnsi="黑体" w:eastAsia="黑体"/>
                <w:sz w:val="24"/>
                <w:szCs w:val="24"/>
              </w:rPr>
              <w:t>其他渠道资金</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12" w:type="dxa"/>
            <w:vMerge w:val="continue"/>
            <w:shd w:val="clear" w:color="auto" w:fill="auto"/>
          </w:tcPr>
          <w:p>
            <w:pPr>
              <w:autoSpaceDE w:val="0"/>
              <w:autoSpaceDN w:val="0"/>
              <w:adjustRightInd w:val="0"/>
              <w:jc w:val="center"/>
              <w:rPr>
                <w:rFonts w:ascii="黑体" w:hAnsi="黑体" w:eastAsia="黑体" w:cs="Times New Roman"/>
                <w:sz w:val="32"/>
                <w:szCs w:val="32"/>
              </w:rPr>
            </w:pPr>
          </w:p>
        </w:tc>
        <w:tc>
          <w:tcPr>
            <w:tcW w:w="1012" w:type="dxa"/>
            <w:vMerge w:val="continue"/>
            <w:shd w:val="clear" w:color="auto" w:fill="auto"/>
          </w:tcPr>
          <w:p>
            <w:pPr>
              <w:autoSpaceDE w:val="0"/>
              <w:autoSpaceDN w:val="0"/>
              <w:adjustRightInd w:val="0"/>
              <w:jc w:val="center"/>
              <w:rPr>
                <w:rFonts w:ascii="黑体" w:hAnsi="黑体" w:eastAsia="黑体" w:cs="Times New Roman"/>
                <w:sz w:val="32"/>
                <w:szCs w:val="32"/>
              </w:rPr>
            </w:pPr>
          </w:p>
        </w:tc>
        <w:tc>
          <w:tcPr>
            <w:tcW w:w="1012" w:type="dxa"/>
            <w:vMerge w:val="continue"/>
            <w:shd w:val="clear" w:color="auto" w:fill="auto"/>
          </w:tcPr>
          <w:p>
            <w:pPr>
              <w:autoSpaceDE w:val="0"/>
              <w:autoSpaceDN w:val="0"/>
              <w:adjustRightInd w:val="0"/>
              <w:jc w:val="center"/>
              <w:rPr>
                <w:rFonts w:ascii="黑体" w:hAnsi="黑体" w:eastAsia="黑体" w:cs="Times New Roman"/>
                <w:sz w:val="32"/>
                <w:szCs w:val="32"/>
              </w:rPr>
            </w:pPr>
          </w:p>
        </w:tc>
        <w:tc>
          <w:tcPr>
            <w:tcW w:w="1012" w:type="dxa"/>
            <w:vMerge w:val="continue"/>
            <w:shd w:val="clear" w:color="auto" w:fill="auto"/>
          </w:tcPr>
          <w:p>
            <w:pPr>
              <w:autoSpaceDE w:val="0"/>
              <w:autoSpaceDN w:val="0"/>
              <w:adjustRightInd w:val="0"/>
              <w:jc w:val="center"/>
              <w:rPr>
                <w:rFonts w:ascii="黑体" w:hAnsi="黑体" w:eastAsia="黑体" w:cs="Times New Roman"/>
                <w:sz w:val="32"/>
                <w:szCs w:val="32"/>
              </w:rPr>
            </w:pPr>
          </w:p>
        </w:tc>
        <w:tc>
          <w:tcPr>
            <w:tcW w:w="1012" w:type="dxa"/>
            <w:vMerge w:val="continue"/>
            <w:shd w:val="clear" w:color="auto" w:fill="auto"/>
          </w:tcPr>
          <w:p>
            <w:pPr>
              <w:autoSpaceDE w:val="0"/>
              <w:autoSpaceDN w:val="0"/>
              <w:adjustRightInd w:val="0"/>
              <w:jc w:val="center"/>
              <w:rPr>
                <w:rFonts w:ascii="黑体" w:hAnsi="黑体" w:eastAsia="黑体" w:cs="Times New Roman"/>
                <w:sz w:val="32"/>
                <w:szCs w:val="32"/>
              </w:rPr>
            </w:pPr>
          </w:p>
        </w:tc>
        <w:tc>
          <w:tcPr>
            <w:tcW w:w="1012" w:type="dxa"/>
            <w:vMerge w:val="continue"/>
            <w:shd w:val="clear" w:color="auto" w:fill="auto"/>
          </w:tcPr>
          <w:p>
            <w:pPr>
              <w:autoSpaceDE w:val="0"/>
              <w:autoSpaceDN w:val="0"/>
              <w:adjustRightInd w:val="0"/>
              <w:jc w:val="center"/>
              <w:rPr>
                <w:rFonts w:ascii="黑体" w:hAnsi="黑体" w:eastAsia="黑体" w:cs="Times New Roman"/>
                <w:sz w:val="32"/>
                <w:szCs w:val="32"/>
              </w:rPr>
            </w:pPr>
          </w:p>
        </w:tc>
        <w:tc>
          <w:tcPr>
            <w:tcW w:w="1012" w:type="dxa"/>
            <w:vMerge w:val="continue"/>
            <w:shd w:val="clear" w:color="auto" w:fill="auto"/>
          </w:tcPr>
          <w:p>
            <w:pPr>
              <w:autoSpaceDE w:val="0"/>
              <w:autoSpaceDN w:val="0"/>
              <w:adjustRightInd w:val="0"/>
              <w:jc w:val="center"/>
              <w:rPr>
                <w:rFonts w:ascii="黑体" w:hAnsi="黑体" w:eastAsia="黑体" w:cs="Times New Roman"/>
                <w:sz w:val="32"/>
                <w:szCs w:val="32"/>
              </w:rPr>
            </w:pPr>
          </w:p>
        </w:tc>
        <w:tc>
          <w:tcPr>
            <w:tcW w:w="1012" w:type="dxa"/>
            <w:vMerge w:val="continue"/>
            <w:shd w:val="clear" w:color="auto" w:fill="auto"/>
          </w:tcPr>
          <w:p>
            <w:pPr>
              <w:autoSpaceDE w:val="0"/>
              <w:autoSpaceDN w:val="0"/>
              <w:adjustRightInd w:val="0"/>
              <w:jc w:val="center"/>
              <w:rPr>
                <w:rFonts w:ascii="黑体" w:hAnsi="黑体" w:eastAsia="黑体"/>
                <w:sz w:val="24"/>
                <w:szCs w:val="24"/>
              </w:rPr>
            </w:pPr>
          </w:p>
        </w:tc>
        <w:tc>
          <w:tcPr>
            <w:tcW w:w="1013" w:type="dxa"/>
            <w:shd w:val="clear" w:color="auto" w:fill="auto"/>
          </w:tcPr>
          <w:p>
            <w:pPr>
              <w:autoSpaceDE w:val="0"/>
              <w:autoSpaceDN w:val="0"/>
              <w:adjustRightInd w:val="0"/>
              <w:jc w:val="center"/>
              <w:rPr>
                <w:rFonts w:ascii="黑体" w:hAnsi="黑体" w:eastAsia="黑体"/>
                <w:sz w:val="24"/>
                <w:szCs w:val="24"/>
              </w:rPr>
            </w:pPr>
            <w:r>
              <w:rPr>
                <w:rFonts w:hint="eastAsia" w:ascii="黑体" w:hAnsi="黑体" w:eastAsia="黑体"/>
                <w:sz w:val="24"/>
                <w:szCs w:val="24"/>
              </w:rPr>
              <w:t>合计</w:t>
            </w:r>
          </w:p>
        </w:tc>
        <w:tc>
          <w:tcPr>
            <w:tcW w:w="1013" w:type="dxa"/>
            <w:shd w:val="clear" w:color="auto" w:fill="auto"/>
          </w:tcPr>
          <w:p>
            <w:pPr>
              <w:autoSpaceDE w:val="0"/>
              <w:autoSpaceDN w:val="0"/>
              <w:adjustRightInd w:val="0"/>
              <w:jc w:val="center"/>
              <w:rPr>
                <w:rFonts w:ascii="黑体" w:hAnsi="黑体" w:eastAsia="黑体"/>
                <w:sz w:val="24"/>
                <w:szCs w:val="24"/>
              </w:rPr>
            </w:pPr>
            <w:r>
              <w:rPr>
                <w:rFonts w:hint="eastAsia" w:ascii="黑体" w:hAnsi="黑体" w:eastAsia="黑体"/>
                <w:sz w:val="24"/>
                <w:szCs w:val="24"/>
              </w:rPr>
              <w:t>一般公共预算拨款</w:t>
            </w:r>
          </w:p>
        </w:tc>
        <w:tc>
          <w:tcPr>
            <w:tcW w:w="1013" w:type="dxa"/>
            <w:shd w:val="clear" w:color="auto" w:fill="auto"/>
          </w:tcPr>
          <w:p>
            <w:pPr>
              <w:autoSpaceDE w:val="0"/>
              <w:autoSpaceDN w:val="0"/>
              <w:adjustRightInd w:val="0"/>
              <w:jc w:val="center"/>
              <w:rPr>
                <w:rFonts w:ascii="黑体" w:hAnsi="黑体" w:eastAsia="黑体"/>
                <w:sz w:val="24"/>
                <w:szCs w:val="24"/>
              </w:rPr>
            </w:pPr>
            <w:r>
              <w:rPr>
                <w:rFonts w:hint="eastAsia" w:ascii="黑体" w:hAnsi="黑体" w:eastAsia="黑体"/>
                <w:sz w:val="24"/>
                <w:szCs w:val="24"/>
              </w:rPr>
              <w:t>基金预算拨款</w:t>
            </w:r>
          </w:p>
        </w:tc>
        <w:tc>
          <w:tcPr>
            <w:tcW w:w="1013" w:type="dxa"/>
            <w:shd w:val="clear" w:color="auto" w:fill="auto"/>
          </w:tcPr>
          <w:p>
            <w:pPr>
              <w:autoSpaceDE w:val="0"/>
              <w:autoSpaceDN w:val="0"/>
              <w:adjustRightInd w:val="0"/>
              <w:jc w:val="center"/>
              <w:rPr>
                <w:rFonts w:ascii="黑体" w:hAnsi="黑体" w:eastAsia="黑体"/>
                <w:sz w:val="24"/>
                <w:szCs w:val="24"/>
              </w:rPr>
            </w:pPr>
            <w:r>
              <w:rPr>
                <w:rFonts w:hint="eastAsia" w:ascii="黑体" w:hAnsi="黑体" w:eastAsia="黑体"/>
                <w:sz w:val="24"/>
                <w:szCs w:val="24"/>
              </w:rPr>
              <w:t>财政专户核拨</w:t>
            </w:r>
          </w:p>
        </w:tc>
        <w:tc>
          <w:tcPr>
            <w:tcW w:w="1013" w:type="dxa"/>
            <w:shd w:val="clear" w:color="auto" w:fill="auto"/>
          </w:tcPr>
          <w:p>
            <w:pPr>
              <w:autoSpaceDE w:val="0"/>
              <w:autoSpaceDN w:val="0"/>
              <w:adjustRightInd w:val="0"/>
              <w:jc w:val="center"/>
              <w:rPr>
                <w:rFonts w:ascii="黑体" w:hAnsi="黑体" w:eastAsia="黑体"/>
                <w:sz w:val="24"/>
                <w:szCs w:val="24"/>
              </w:rPr>
            </w:pPr>
            <w:r>
              <w:rPr>
                <w:rFonts w:hint="eastAsia" w:ascii="黑体" w:hAnsi="黑体" w:eastAsia="黑体"/>
                <w:sz w:val="24"/>
                <w:szCs w:val="24"/>
              </w:rPr>
              <w:t>其他来源收入</w:t>
            </w:r>
          </w:p>
        </w:tc>
        <w:tc>
          <w:tcPr>
            <w:tcW w:w="1013" w:type="dxa"/>
            <w:vMerge w:val="continue"/>
            <w:shd w:val="clear" w:color="auto" w:fill="auto"/>
          </w:tcPr>
          <w:p>
            <w:pPr>
              <w:autoSpaceDE w:val="0"/>
              <w:autoSpaceDN w:val="0"/>
              <w:adjustRightInd w:val="0"/>
              <w:jc w:val="center"/>
              <w:rPr>
                <w:rFonts w:ascii="黑体" w:hAnsi="黑体" w:eastAsia="黑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12" w:type="dxa"/>
            <w:shd w:val="clear" w:color="auto" w:fill="auto"/>
          </w:tcPr>
          <w:p>
            <w:pPr>
              <w:autoSpaceDE w:val="0"/>
              <w:autoSpaceDN w:val="0"/>
              <w:adjustRightInd w:val="0"/>
              <w:jc w:val="center"/>
              <w:rPr>
                <w:rFonts w:ascii="黑体" w:hAnsi="黑体" w:eastAsia="黑体" w:cs="Times New Roman"/>
                <w:sz w:val="32"/>
                <w:szCs w:val="32"/>
              </w:rPr>
            </w:pPr>
          </w:p>
        </w:tc>
        <w:tc>
          <w:tcPr>
            <w:tcW w:w="1012" w:type="dxa"/>
            <w:shd w:val="clear" w:color="auto" w:fill="auto"/>
          </w:tcPr>
          <w:p>
            <w:pPr>
              <w:autoSpaceDE w:val="0"/>
              <w:autoSpaceDN w:val="0"/>
              <w:adjustRightInd w:val="0"/>
              <w:jc w:val="center"/>
              <w:rPr>
                <w:rFonts w:ascii="黑体" w:hAnsi="黑体" w:eastAsia="黑体" w:cs="Times New Roman"/>
                <w:sz w:val="32"/>
                <w:szCs w:val="32"/>
              </w:rPr>
            </w:pPr>
          </w:p>
        </w:tc>
        <w:tc>
          <w:tcPr>
            <w:tcW w:w="1012" w:type="dxa"/>
            <w:shd w:val="clear" w:color="auto" w:fill="auto"/>
          </w:tcPr>
          <w:p>
            <w:pPr>
              <w:autoSpaceDE w:val="0"/>
              <w:autoSpaceDN w:val="0"/>
              <w:adjustRightInd w:val="0"/>
              <w:jc w:val="center"/>
              <w:rPr>
                <w:rFonts w:ascii="黑体" w:hAnsi="黑体" w:eastAsia="黑体" w:cs="Times New Roman"/>
                <w:sz w:val="32"/>
                <w:szCs w:val="32"/>
              </w:rPr>
            </w:pPr>
          </w:p>
        </w:tc>
        <w:tc>
          <w:tcPr>
            <w:tcW w:w="1012" w:type="dxa"/>
            <w:shd w:val="clear" w:color="auto" w:fill="auto"/>
          </w:tcPr>
          <w:p>
            <w:pPr>
              <w:autoSpaceDE w:val="0"/>
              <w:autoSpaceDN w:val="0"/>
              <w:adjustRightInd w:val="0"/>
              <w:jc w:val="center"/>
              <w:rPr>
                <w:rFonts w:ascii="黑体" w:hAnsi="黑体" w:eastAsia="黑体" w:cs="Times New Roman"/>
                <w:sz w:val="32"/>
                <w:szCs w:val="32"/>
              </w:rPr>
            </w:pPr>
          </w:p>
        </w:tc>
        <w:tc>
          <w:tcPr>
            <w:tcW w:w="1012" w:type="dxa"/>
            <w:shd w:val="clear" w:color="auto" w:fill="auto"/>
          </w:tcPr>
          <w:p>
            <w:pPr>
              <w:autoSpaceDE w:val="0"/>
              <w:autoSpaceDN w:val="0"/>
              <w:adjustRightInd w:val="0"/>
              <w:jc w:val="center"/>
              <w:rPr>
                <w:rFonts w:ascii="黑体" w:hAnsi="黑体" w:eastAsia="黑体" w:cs="Times New Roman"/>
                <w:sz w:val="32"/>
                <w:szCs w:val="32"/>
              </w:rPr>
            </w:pPr>
          </w:p>
        </w:tc>
        <w:tc>
          <w:tcPr>
            <w:tcW w:w="1012" w:type="dxa"/>
            <w:shd w:val="clear" w:color="auto" w:fill="auto"/>
          </w:tcPr>
          <w:p>
            <w:pPr>
              <w:autoSpaceDE w:val="0"/>
              <w:autoSpaceDN w:val="0"/>
              <w:adjustRightInd w:val="0"/>
              <w:jc w:val="center"/>
              <w:rPr>
                <w:rFonts w:ascii="黑体" w:hAnsi="黑体" w:eastAsia="黑体" w:cs="Times New Roman"/>
                <w:sz w:val="32"/>
                <w:szCs w:val="32"/>
              </w:rPr>
            </w:pPr>
          </w:p>
        </w:tc>
        <w:tc>
          <w:tcPr>
            <w:tcW w:w="1012" w:type="dxa"/>
            <w:shd w:val="clear" w:color="auto" w:fill="auto"/>
          </w:tcPr>
          <w:p>
            <w:pPr>
              <w:autoSpaceDE w:val="0"/>
              <w:autoSpaceDN w:val="0"/>
              <w:adjustRightInd w:val="0"/>
              <w:jc w:val="center"/>
              <w:rPr>
                <w:rFonts w:ascii="黑体" w:hAnsi="黑体" w:eastAsia="黑体" w:cs="Times New Roman"/>
                <w:sz w:val="32"/>
                <w:szCs w:val="32"/>
              </w:rPr>
            </w:pPr>
          </w:p>
        </w:tc>
        <w:tc>
          <w:tcPr>
            <w:tcW w:w="1012" w:type="dxa"/>
            <w:shd w:val="clear" w:color="auto" w:fill="auto"/>
          </w:tcPr>
          <w:p>
            <w:pPr>
              <w:autoSpaceDE w:val="0"/>
              <w:autoSpaceDN w:val="0"/>
              <w:adjustRightInd w:val="0"/>
              <w:jc w:val="center"/>
              <w:rPr>
                <w:rFonts w:ascii="黑体" w:hAnsi="黑体" w:eastAsia="黑体" w:cs="Times New Roman"/>
                <w:sz w:val="32"/>
                <w:szCs w:val="32"/>
              </w:rPr>
            </w:pPr>
          </w:p>
        </w:tc>
        <w:tc>
          <w:tcPr>
            <w:tcW w:w="1013" w:type="dxa"/>
            <w:shd w:val="clear" w:color="auto" w:fill="auto"/>
          </w:tcPr>
          <w:p>
            <w:pPr>
              <w:autoSpaceDE w:val="0"/>
              <w:autoSpaceDN w:val="0"/>
              <w:adjustRightInd w:val="0"/>
              <w:jc w:val="center"/>
              <w:rPr>
                <w:rFonts w:ascii="黑体" w:hAnsi="黑体" w:eastAsia="黑体" w:cs="Times New Roman"/>
                <w:sz w:val="32"/>
                <w:szCs w:val="32"/>
              </w:rPr>
            </w:pPr>
          </w:p>
        </w:tc>
        <w:tc>
          <w:tcPr>
            <w:tcW w:w="1013" w:type="dxa"/>
            <w:shd w:val="clear" w:color="auto" w:fill="auto"/>
          </w:tcPr>
          <w:p>
            <w:pPr>
              <w:autoSpaceDE w:val="0"/>
              <w:autoSpaceDN w:val="0"/>
              <w:adjustRightInd w:val="0"/>
              <w:jc w:val="center"/>
              <w:rPr>
                <w:rFonts w:ascii="黑体" w:hAnsi="黑体" w:eastAsia="黑体" w:cs="Times New Roman"/>
                <w:sz w:val="32"/>
                <w:szCs w:val="32"/>
              </w:rPr>
            </w:pPr>
          </w:p>
        </w:tc>
        <w:tc>
          <w:tcPr>
            <w:tcW w:w="1013" w:type="dxa"/>
            <w:shd w:val="clear" w:color="auto" w:fill="auto"/>
          </w:tcPr>
          <w:p>
            <w:pPr>
              <w:autoSpaceDE w:val="0"/>
              <w:autoSpaceDN w:val="0"/>
              <w:adjustRightInd w:val="0"/>
              <w:jc w:val="center"/>
              <w:rPr>
                <w:rFonts w:ascii="黑体" w:hAnsi="黑体" w:eastAsia="黑体" w:cs="Times New Roman"/>
                <w:sz w:val="32"/>
                <w:szCs w:val="32"/>
              </w:rPr>
            </w:pPr>
          </w:p>
        </w:tc>
        <w:tc>
          <w:tcPr>
            <w:tcW w:w="1013" w:type="dxa"/>
            <w:shd w:val="clear" w:color="auto" w:fill="auto"/>
          </w:tcPr>
          <w:p>
            <w:pPr>
              <w:autoSpaceDE w:val="0"/>
              <w:autoSpaceDN w:val="0"/>
              <w:adjustRightInd w:val="0"/>
              <w:jc w:val="center"/>
              <w:rPr>
                <w:rFonts w:ascii="黑体" w:hAnsi="黑体" w:eastAsia="黑体" w:cs="Times New Roman"/>
                <w:sz w:val="32"/>
                <w:szCs w:val="32"/>
              </w:rPr>
            </w:pPr>
          </w:p>
        </w:tc>
        <w:tc>
          <w:tcPr>
            <w:tcW w:w="1013" w:type="dxa"/>
            <w:shd w:val="clear" w:color="auto" w:fill="auto"/>
          </w:tcPr>
          <w:p>
            <w:pPr>
              <w:autoSpaceDE w:val="0"/>
              <w:autoSpaceDN w:val="0"/>
              <w:adjustRightInd w:val="0"/>
              <w:jc w:val="center"/>
              <w:rPr>
                <w:rFonts w:ascii="黑体" w:hAnsi="黑体" w:eastAsia="黑体" w:cs="Times New Roman"/>
                <w:sz w:val="32"/>
                <w:szCs w:val="32"/>
              </w:rPr>
            </w:pPr>
          </w:p>
        </w:tc>
        <w:tc>
          <w:tcPr>
            <w:tcW w:w="1013" w:type="dxa"/>
            <w:shd w:val="clear" w:color="auto" w:fill="auto"/>
          </w:tcPr>
          <w:p>
            <w:pPr>
              <w:autoSpaceDE w:val="0"/>
              <w:autoSpaceDN w:val="0"/>
              <w:adjustRightInd w:val="0"/>
              <w:jc w:val="center"/>
              <w:rPr>
                <w:rFonts w:ascii="黑体" w:hAnsi="黑体" w:eastAsia="黑体" w:cs="Times New Roman"/>
                <w:sz w:val="32"/>
                <w:szCs w:val="32"/>
              </w:rPr>
            </w:pPr>
          </w:p>
        </w:tc>
      </w:tr>
    </w:tbl>
    <w:p>
      <w:pPr>
        <w:autoSpaceDE w:val="0"/>
        <w:autoSpaceDN w:val="0"/>
        <w:adjustRightInd w:val="0"/>
        <w:ind w:firstLine="640" w:firstLineChars="200"/>
        <w:jc w:val="left"/>
        <w:rPr>
          <w:rFonts w:ascii="Times New Roman" w:hAnsi="Times New Roman" w:eastAsia="仿宋" w:cs="Times New Roman"/>
          <w:sz w:val="32"/>
          <w:szCs w:val="24"/>
        </w:rPr>
      </w:pPr>
      <w:r>
        <w:rPr>
          <w:rFonts w:hint="eastAsia" w:ascii="Times New Roman" w:hAnsi="Times New Roman" w:eastAsia="仿宋" w:cs="Times New Roman"/>
          <w:sz w:val="32"/>
          <w:szCs w:val="24"/>
        </w:rPr>
        <w:t>注：我单位无政府采购，空表列示。</w:t>
      </w:r>
    </w:p>
    <w:p>
      <w:p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Times New Roman"/>
          <w:sz w:val="32"/>
          <w:szCs w:val="32"/>
        </w:rPr>
        <w:t>七、国有资产信息</w:t>
      </w:r>
    </w:p>
    <w:p>
      <w:pPr>
        <w:ind w:firstLine="640"/>
        <w:rPr>
          <w:rFonts w:ascii="Times New Roman" w:hAnsi="Times New Roman" w:eastAsia="仿宋" w:cs="Times New Roman"/>
          <w:color w:val="000000"/>
          <w:sz w:val="32"/>
          <w:szCs w:val="32"/>
        </w:rPr>
      </w:pPr>
      <w:r>
        <w:rPr>
          <w:rFonts w:hint="eastAsia" w:ascii="Times New Roman" w:hAnsi="Times New Roman" w:eastAsia="仿宋" w:cs="Times New Roman"/>
          <w:color w:val="000000"/>
          <w:sz w:val="32"/>
          <w:szCs w:val="32"/>
        </w:rPr>
        <w:t>无极县应急管理局2019</w:t>
      </w:r>
      <w:r>
        <w:rPr>
          <w:rFonts w:ascii="Times New Roman" w:hAnsi="Times New Roman" w:eastAsia="仿宋" w:cs="Times New Roman"/>
          <w:color w:val="000000"/>
          <w:sz w:val="32"/>
          <w:szCs w:val="32"/>
        </w:rPr>
        <w:t>年末固定资产金额为</w:t>
      </w:r>
      <w:r>
        <w:rPr>
          <w:rFonts w:hint="eastAsia" w:ascii="Times New Roman" w:hAnsi="Times New Roman" w:eastAsia="仿宋" w:cs="Times New Roman"/>
          <w:color w:val="000000"/>
          <w:sz w:val="32"/>
          <w:szCs w:val="32"/>
        </w:rPr>
        <w:t>66.8</w:t>
      </w:r>
      <w:r>
        <w:rPr>
          <w:rFonts w:ascii="Times New Roman" w:hAnsi="Times New Roman" w:eastAsia="仿宋" w:cs="Times New Roman"/>
          <w:color w:val="000000"/>
          <w:sz w:val="32"/>
          <w:szCs w:val="32"/>
        </w:rPr>
        <w:t>万元（详见下表），本年度各单位</w:t>
      </w:r>
      <w:r>
        <w:rPr>
          <w:rFonts w:hint="eastAsia" w:ascii="Times New Roman" w:hAnsi="Times New Roman" w:eastAsia="仿宋" w:cs="Times New Roman"/>
          <w:color w:val="000000"/>
          <w:sz w:val="32"/>
          <w:szCs w:val="32"/>
        </w:rPr>
        <w:t>（处室）</w:t>
      </w:r>
      <w:r>
        <w:rPr>
          <w:rFonts w:ascii="Times New Roman" w:hAnsi="Times New Roman" w:eastAsia="仿宋" w:cs="Times New Roman"/>
          <w:color w:val="000000"/>
          <w:sz w:val="32"/>
          <w:szCs w:val="32"/>
        </w:rPr>
        <w:t>拟购置固定资产</w:t>
      </w:r>
      <w:r>
        <w:rPr>
          <w:rFonts w:hint="eastAsia" w:ascii="Times New Roman" w:hAnsi="Times New Roman" w:eastAsia="仿宋" w:cs="Times New Roman"/>
          <w:color w:val="000000"/>
          <w:sz w:val="32"/>
          <w:szCs w:val="32"/>
        </w:rPr>
        <w:t>总额为0</w:t>
      </w:r>
      <w:r>
        <w:rPr>
          <w:rFonts w:ascii="Times New Roman" w:hAnsi="Times New Roman" w:eastAsia="仿宋" w:cs="Times New Roman"/>
          <w:color w:val="000000"/>
          <w:sz w:val="32"/>
          <w:szCs w:val="32"/>
        </w:rPr>
        <w:t>万元</w:t>
      </w:r>
      <w:r>
        <w:rPr>
          <w:rFonts w:hint="eastAsia" w:ascii="Times New Roman" w:hAnsi="Times New Roman" w:eastAsia="仿宋" w:cs="Times New Roman"/>
          <w:color w:val="000000"/>
          <w:sz w:val="32"/>
          <w:szCs w:val="32"/>
        </w:rPr>
        <w:t>。</w:t>
      </w:r>
    </w:p>
    <w:tbl>
      <w:tblPr>
        <w:tblStyle w:val="7"/>
        <w:tblW w:w="13482" w:type="dxa"/>
        <w:tblInd w:w="93" w:type="dxa"/>
        <w:tblLayout w:type="fixed"/>
        <w:tblCellMar>
          <w:top w:w="0" w:type="dxa"/>
          <w:left w:w="108" w:type="dxa"/>
          <w:bottom w:w="0" w:type="dxa"/>
          <w:right w:w="108" w:type="dxa"/>
        </w:tblCellMar>
      </w:tblPr>
      <w:tblGrid>
        <w:gridCol w:w="5224"/>
        <w:gridCol w:w="3155"/>
        <w:gridCol w:w="5103"/>
      </w:tblGrid>
      <w:tr>
        <w:tblPrEx>
          <w:tblCellMar>
            <w:top w:w="0" w:type="dxa"/>
            <w:left w:w="108" w:type="dxa"/>
            <w:bottom w:w="0" w:type="dxa"/>
            <w:right w:w="108" w:type="dxa"/>
          </w:tblCellMar>
        </w:tblPrEx>
        <w:trPr>
          <w:trHeight w:val="705" w:hRule="atLeast"/>
        </w:trPr>
        <w:tc>
          <w:tcPr>
            <w:tcW w:w="13482" w:type="dxa"/>
            <w:gridSpan w:val="3"/>
            <w:tcBorders>
              <w:top w:val="nil"/>
              <w:left w:val="nil"/>
              <w:bottom w:val="nil"/>
              <w:right w:val="nil"/>
            </w:tcBorders>
            <w:vAlign w:val="center"/>
          </w:tcPr>
          <w:p>
            <w:pPr>
              <w:widowControl/>
              <w:jc w:val="center"/>
              <w:rPr>
                <w:rFonts w:ascii="宋体" w:hAnsi="宋体" w:cs="宋体"/>
                <w:b/>
                <w:bCs/>
                <w:kern w:val="0"/>
                <w:sz w:val="32"/>
                <w:szCs w:val="32"/>
              </w:rPr>
            </w:pPr>
            <w:r>
              <w:rPr>
                <w:rFonts w:hint="eastAsia" w:ascii="宋体" w:hAnsi="宋体" w:cs="宋体"/>
                <w:b/>
                <w:bCs/>
                <w:kern w:val="0"/>
                <w:sz w:val="32"/>
                <w:szCs w:val="32"/>
              </w:rPr>
              <w:t>无极县县直部门固定资产占用情况表</w:t>
            </w:r>
          </w:p>
        </w:tc>
      </w:tr>
      <w:tr>
        <w:tblPrEx>
          <w:tblCellMar>
            <w:top w:w="0" w:type="dxa"/>
            <w:left w:w="108" w:type="dxa"/>
            <w:bottom w:w="0" w:type="dxa"/>
            <w:right w:w="108" w:type="dxa"/>
          </w:tblCellMar>
        </w:tblPrEx>
        <w:trPr>
          <w:trHeight w:val="510" w:hRule="atLeast"/>
        </w:trPr>
        <w:tc>
          <w:tcPr>
            <w:tcW w:w="8379" w:type="dxa"/>
            <w:gridSpan w:val="2"/>
            <w:tcBorders>
              <w:top w:val="nil"/>
              <w:left w:val="nil"/>
              <w:bottom w:val="nil"/>
              <w:right w:val="nil"/>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编制部门：</w:t>
            </w:r>
            <w:r>
              <w:rPr>
                <w:rFonts w:hint="eastAsia" w:ascii="Times New Roman" w:hAnsi="Times New Roman" w:eastAsia="仿宋" w:cs="Times New Roman"/>
                <w:kern w:val="0"/>
                <w:sz w:val="22"/>
              </w:rPr>
              <w:t>无极县应急管理局</w:t>
            </w:r>
          </w:p>
        </w:tc>
        <w:tc>
          <w:tcPr>
            <w:tcW w:w="5103" w:type="dxa"/>
            <w:tcBorders>
              <w:top w:val="nil"/>
              <w:left w:val="nil"/>
              <w:bottom w:val="nil"/>
              <w:right w:val="nil"/>
            </w:tcBorders>
            <w:vAlign w:val="center"/>
          </w:tcPr>
          <w:p>
            <w:pPr>
              <w:widowControl/>
              <w:ind w:firstLine="1320" w:firstLineChars="600"/>
              <w:jc w:val="left"/>
              <w:rPr>
                <w:rFonts w:ascii="Times New Roman" w:hAnsi="Times New Roman" w:eastAsia="仿宋" w:cs="Times New Roman"/>
                <w:kern w:val="0"/>
                <w:sz w:val="22"/>
              </w:rPr>
            </w:pPr>
            <w:r>
              <w:rPr>
                <w:rFonts w:ascii="Times New Roman" w:hAnsi="Times New Roman" w:eastAsia="仿宋" w:cs="Times New Roman"/>
                <w:kern w:val="0"/>
                <w:sz w:val="22"/>
              </w:rPr>
              <w:t>截止时间：201</w:t>
            </w:r>
            <w:r>
              <w:rPr>
                <w:rFonts w:hint="eastAsia" w:ascii="Times New Roman" w:hAnsi="Times New Roman" w:eastAsia="仿宋" w:cs="Times New Roman"/>
                <w:kern w:val="0"/>
                <w:sz w:val="22"/>
              </w:rPr>
              <w:t>9</w:t>
            </w:r>
            <w:r>
              <w:rPr>
                <w:rFonts w:ascii="Times New Roman" w:hAnsi="Times New Roman" w:eastAsia="仿宋" w:cs="Times New Roman"/>
                <w:kern w:val="0"/>
                <w:sz w:val="22"/>
              </w:rPr>
              <w:t>年12月31日</w:t>
            </w:r>
          </w:p>
        </w:tc>
      </w:tr>
      <w:tr>
        <w:tblPrEx>
          <w:tblCellMar>
            <w:top w:w="0" w:type="dxa"/>
            <w:left w:w="108" w:type="dxa"/>
            <w:bottom w:w="0" w:type="dxa"/>
            <w:right w:w="108" w:type="dxa"/>
          </w:tblCellMar>
        </w:tblPrEx>
        <w:trPr>
          <w:trHeight w:val="645" w:hRule="atLeast"/>
        </w:trPr>
        <w:tc>
          <w:tcPr>
            <w:tcW w:w="5224" w:type="dxa"/>
            <w:tcBorders>
              <w:top w:val="single" w:color="auto" w:sz="4" w:space="0"/>
              <w:left w:val="single" w:color="auto" w:sz="4" w:space="0"/>
              <w:bottom w:val="single" w:color="auto" w:sz="4" w:space="0"/>
              <w:right w:val="single" w:color="auto" w:sz="4" w:space="0"/>
            </w:tcBorders>
            <w:vAlign w:val="center"/>
          </w:tcPr>
          <w:p>
            <w:pPr>
              <w:widowControl/>
              <w:jc w:val="center"/>
              <w:rPr>
                <w:rFonts w:ascii="宋体" w:hAnsi="宋体" w:cs="宋体"/>
                <w:b/>
                <w:bCs/>
                <w:kern w:val="0"/>
                <w:sz w:val="22"/>
              </w:rPr>
            </w:pPr>
            <w:r>
              <w:rPr>
                <w:rFonts w:hint="eastAsia" w:ascii="宋体" w:hAnsi="宋体" w:cs="宋体"/>
                <w:b/>
                <w:bCs/>
                <w:kern w:val="0"/>
                <w:sz w:val="22"/>
              </w:rPr>
              <w:t>项目</w:t>
            </w:r>
          </w:p>
        </w:tc>
        <w:tc>
          <w:tcPr>
            <w:tcW w:w="3155" w:type="dxa"/>
            <w:tcBorders>
              <w:top w:val="single" w:color="auto" w:sz="4" w:space="0"/>
              <w:left w:val="nil"/>
              <w:bottom w:val="single" w:color="auto" w:sz="4" w:space="0"/>
              <w:right w:val="single" w:color="auto" w:sz="4" w:space="0"/>
            </w:tcBorders>
            <w:vAlign w:val="center"/>
          </w:tcPr>
          <w:p>
            <w:pPr>
              <w:widowControl/>
              <w:jc w:val="center"/>
              <w:rPr>
                <w:rFonts w:ascii="宋体" w:hAnsi="宋体" w:cs="宋体"/>
                <w:b/>
                <w:bCs/>
                <w:kern w:val="0"/>
                <w:sz w:val="22"/>
              </w:rPr>
            </w:pPr>
            <w:r>
              <w:rPr>
                <w:rFonts w:hint="eastAsia" w:ascii="宋体" w:hAnsi="宋体" w:cs="宋体"/>
                <w:b/>
                <w:bCs/>
                <w:kern w:val="0"/>
                <w:sz w:val="22"/>
              </w:rPr>
              <w:t>数量</w:t>
            </w:r>
          </w:p>
        </w:tc>
        <w:tc>
          <w:tcPr>
            <w:tcW w:w="5103" w:type="dxa"/>
            <w:tcBorders>
              <w:top w:val="single" w:color="auto" w:sz="4" w:space="0"/>
              <w:left w:val="nil"/>
              <w:bottom w:val="single" w:color="auto" w:sz="4" w:space="0"/>
              <w:right w:val="single" w:color="auto" w:sz="4" w:space="0"/>
            </w:tcBorders>
            <w:vAlign w:val="center"/>
          </w:tcPr>
          <w:p>
            <w:pPr>
              <w:widowControl/>
              <w:jc w:val="center"/>
              <w:rPr>
                <w:rFonts w:ascii="宋体" w:hAnsi="宋体" w:cs="宋体"/>
                <w:b/>
                <w:bCs/>
                <w:kern w:val="0"/>
                <w:sz w:val="22"/>
              </w:rPr>
            </w:pPr>
            <w:r>
              <w:rPr>
                <w:rFonts w:hint="eastAsia" w:ascii="宋体" w:hAnsi="宋体" w:cs="宋体"/>
                <w:b/>
                <w:bCs/>
                <w:kern w:val="0"/>
                <w:sz w:val="22"/>
              </w:rPr>
              <w:t>价值（金额单位：万元）</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资产总额</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w:t>
            </w: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color w:val="FF0000"/>
                <w:kern w:val="0"/>
                <w:sz w:val="22"/>
              </w:rPr>
            </w:pPr>
            <w:r>
              <w:rPr>
                <w:rFonts w:hint="eastAsia" w:ascii="Times New Roman" w:hAnsi="Times New Roman" w:eastAsia="仿宋" w:cs="Times New Roman"/>
                <w:color w:val="000000"/>
                <w:kern w:val="0"/>
                <w:sz w:val="22"/>
              </w:rPr>
              <w:t>66.8</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1、房屋（平方米）</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hint="eastAsia" w:ascii="Times New Roman" w:hAnsi="Times New Roman" w:eastAsia="仿宋" w:cs="Times New Roman"/>
                <w:kern w:val="0"/>
                <w:sz w:val="22"/>
              </w:rPr>
              <w:t>0</w:t>
            </w: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hint="eastAsia" w:ascii="Times New Roman" w:hAnsi="Times New Roman" w:eastAsia="仿宋" w:cs="Times New Roman"/>
                <w:kern w:val="0"/>
                <w:sz w:val="22"/>
              </w:rPr>
              <w:t>0</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其中：办公用房（平方米）</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hint="eastAsia" w:ascii="Times New Roman" w:hAnsi="Times New Roman" w:eastAsia="仿宋" w:cs="Times New Roman"/>
                <w:kern w:val="0"/>
                <w:sz w:val="22"/>
              </w:rPr>
              <w:t>0</w:t>
            </w: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hint="eastAsia" w:ascii="Times New Roman" w:hAnsi="Times New Roman" w:eastAsia="仿宋" w:cs="Times New Roman"/>
                <w:kern w:val="0"/>
                <w:sz w:val="22"/>
              </w:rPr>
              <w:t>0</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2、车辆（台、辆）</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hint="eastAsia" w:ascii="Times New Roman" w:hAnsi="Times New Roman" w:eastAsia="仿宋" w:cs="Times New Roman"/>
                <w:kern w:val="0"/>
                <w:sz w:val="22"/>
              </w:rPr>
              <w:t>2</w:t>
            </w: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hint="eastAsia" w:ascii="Times New Roman" w:hAnsi="Times New Roman" w:eastAsia="仿宋" w:cs="Times New Roman"/>
                <w:kern w:val="0"/>
                <w:szCs w:val="21"/>
              </w:rPr>
              <w:t>24.4</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3、单价在20万元以上设备</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w:t>
            </w: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hint="eastAsia" w:ascii="Times New Roman" w:hAnsi="Times New Roman" w:eastAsia="仿宋" w:cs="Times New Roman"/>
                <w:kern w:val="0"/>
                <w:sz w:val="22"/>
              </w:rPr>
              <w:t>0</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4、其他固定资产</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w:t>
            </w: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hint="eastAsia" w:ascii="Times New Roman" w:hAnsi="Times New Roman" w:eastAsia="仿宋" w:cs="Times New Roman"/>
                <w:kern w:val="0"/>
                <w:sz w:val="22"/>
              </w:rPr>
              <w:t>42.4</w:t>
            </w:r>
          </w:p>
        </w:tc>
      </w:tr>
    </w:tbl>
    <w:p>
      <w:p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Times New Roman"/>
          <w:sz w:val="32"/>
          <w:szCs w:val="32"/>
        </w:rPr>
        <w:t>八、名词解释</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1、一般公共预算拨款收入：指省级财政当年拨付的资金。</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2、事业收入：指事业单位开展专业业务活动及辅助活动所取得的收入。</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3、其他收入：指除“一般公共预算拨款收入”、“事业收入”等以外的收入。主要是按规定动用的租房收入、存款利息收入等。</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4、基本支出：指为保障机构正常运转、完成日常工作任务而发生的人员支出和公用支出。</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5、项目支出：指在基本支出之外为完成特定行政任务和事业发展目标所发生的支出。</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6、上缴上级支出：指下级单位上缴上级的支出。</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7、“三公”经费：纳入省级财政预算管理的“三公”经费，是指县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8、机关运行费：是指各部门的公用经费，包括办公及印刷费、邮电费、差旅费、会议费、福利费、日常维修费、专用材料及一般设备购置费、办公用房水电费、办公用房取暖费、办公用房物业管理费、公务用车运行维护费以及其他费用。</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9、上年结转：指以前年度尚未完成、结转到本年仍按原规定用途继续使用的资金。</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10、事业单位经营支出：指事业单位在专业业务活动及其辅助活动之外开展非独立核算经营活动发生的支出。</w:t>
      </w:r>
    </w:p>
    <w:p>
      <w:pPr>
        <w:ind w:firstLine="640" w:firstLineChars="200"/>
        <w:rPr>
          <w:rFonts w:ascii="宋体-方正超大字符集" w:hAnsi="宋体-方正超大字符集" w:eastAsia="宋体-方正超大字符集" w:cs="宋体-方正超大字符集"/>
          <w:b/>
          <w:bCs/>
          <w:sz w:val="32"/>
          <w:szCs w:val="32"/>
        </w:rPr>
      </w:pPr>
      <w:r>
        <w:rPr>
          <w:rFonts w:hint="eastAsia" w:ascii="宋体-方正超大字符集" w:hAnsi="宋体-方正超大字符集" w:eastAsia="宋体-方正超大字符集" w:cs="宋体-方正超大字符集"/>
          <w:b/>
          <w:bCs/>
          <w:sz w:val="32"/>
          <w:szCs w:val="32"/>
        </w:rPr>
        <w:t>九、其他需要说明的事项</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我部门无其他需要说明的事项。</w:t>
      </w:r>
    </w:p>
    <w:sectPr>
      <w:footerReference r:id="rId4" w:type="default"/>
      <w:pgSz w:w="16838" w:h="11906" w:orient="landscape"/>
      <w:pgMar w:top="1800" w:right="1440" w:bottom="1800" w:left="144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panose1 w:val="02000000000000000000"/>
    <w:charset w:val="86"/>
    <w:family w:val="roman"/>
    <w:pitch w:val="default"/>
    <w:sig w:usb0="A00002BF" w:usb1="38CF7CFA" w:usb2="00082016" w:usb3="00000000" w:csb0="00040001" w:csb1="00000000"/>
  </w:font>
  <w:font w:name="仿宋">
    <w:panose1 w:val="02010609060101010101"/>
    <w:charset w:val="86"/>
    <w:family w:val="modern"/>
    <w:pitch w:val="default"/>
    <w:sig w:usb0="800002BF" w:usb1="38CF7CFA" w:usb2="00000016" w:usb3="00000000" w:csb0="00040001" w:csb1="00000000"/>
  </w:font>
  <w:font w:name="方正书宋_GBK">
    <w:panose1 w:val="02000000000000000000"/>
    <w:charset w:val="86"/>
    <w:family w:val="roman"/>
    <w:pitch w:val="default"/>
    <w:sig w:usb0="A00002BF" w:usb1="38CF7CFA" w:usb2="00082016" w:usb3="00000000" w:csb0="00040001" w:csb1="00000000"/>
  </w:font>
  <w:font w:name="仿宋_GB2312">
    <w:altName w:val="仿宋"/>
    <w:panose1 w:val="00000000000000000000"/>
    <w:charset w:val="86"/>
    <w:family w:val="modern"/>
    <w:pitch w:val="default"/>
    <w:sig w:usb0="00000000" w:usb1="00000000" w:usb2="00000010" w:usb3="00000000" w:csb0="00040000" w:csb1="00000000"/>
  </w:font>
  <w:font w:name="方正仿宋_GBK">
    <w:panose1 w:val="02000000000000000000"/>
    <w:charset w:val="86"/>
    <w:family w:val="script"/>
    <w:pitch w:val="default"/>
    <w:sig w:usb0="A00002BF" w:usb1="38CF7CFA" w:usb2="00082016" w:usb3="00000000" w:csb0="00040001" w:csb1="00000000"/>
  </w:font>
  <w:font w:name="宋体-方正超大字符集">
    <w:altName w:val="微软雅黑"/>
    <w:panose1 w:val="00000000000000000000"/>
    <w:charset w:val="86"/>
    <w:family w:val="script"/>
    <w:pitch w:val="default"/>
    <w:sig w:usb0="00000000" w:usb1="00000000" w:usb2="00000010" w:usb3="00000000" w:csb0="0004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framePr w:wrap="around" w:vAnchor="text" w:hAnchor="margin" w:xAlign="outside" w:y="1"/>
      <w:rPr>
        <w:rStyle w:val="12"/>
      </w:rPr>
    </w:pPr>
    <w:r>
      <w:fldChar w:fldCharType="begin"/>
    </w:r>
    <w:r>
      <w:rPr>
        <w:rStyle w:val="12"/>
      </w:rPr>
      <w:instrText xml:space="preserve">PAGE  </w:instrText>
    </w:r>
    <w:r>
      <w:fldChar w:fldCharType="separate"/>
    </w:r>
    <w:r>
      <w:rPr>
        <w:rStyle w:val="12"/>
      </w:rPr>
      <w:t>20</w:t>
    </w:r>
    <w:r>
      <w:fldChar w:fldCharType="end"/>
    </w:r>
  </w:p>
  <w:p>
    <w:pPr>
      <w:pStyle w:val="2"/>
      <w:ind w:right="360"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framePr w:wrap="around" w:vAnchor="text" w:hAnchor="margin" w:xAlign="outside" w:y="1"/>
      <w:rPr>
        <w:rStyle w:val="12"/>
      </w:rPr>
    </w:pPr>
    <w:r>
      <w:fldChar w:fldCharType="begin"/>
    </w:r>
    <w:r>
      <w:rPr>
        <w:rStyle w:val="12"/>
      </w:rPr>
      <w:instrText xml:space="preserve">PAGE  </w:instrText>
    </w:r>
    <w:r>
      <w:fldChar w:fldCharType="separate"/>
    </w:r>
    <w:r>
      <w:rPr>
        <w:rStyle w:val="12"/>
      </w:rPr>
      <w:t>23</w:t>
    </w:r>
    <w:r>
      <w:fldChar w:fldCharType="end"/>
    </w:r>
  </w:p>
  <w:p>
    <w:pPr>
      <w:pStyle w:val="2"/>
      <w:ind w:right="360" w:firstLine="360"/>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AE9938EF"/>
    <w:multiLevelType w:val="singleLevel"/>
    <w:tmpl w:val="AE9938EF"/>
    <w:lvl w:ilvl="0" w:tentative="0">
      <w:start w:val="1"/>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1"/>
  <w:bordersDoNotSurroundHeader w:val="1"/>
  <w:bordersDoNotSurroundFooter w:val="1"/>
  <w:doNotTrackMoves/>
  <w:documentProtection w:enforcement="0"/>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EE71BA"/>
    <w:rsid w:val="000C7140"/>
    <w:rsid w:val="00323B29"/>
    <w:rsid w:val="0039059E"/>
    <w:rsid w:val="00621B12"/>
    <w:rsid w:val="007F0341"/>
    <w:rsid w:val="009A521C"/>
    <w:rsid w:val="00B52665"/>
    <w:rsid w:val="00C040AA"/>
    <w:rsid w:val="00D607DA"/>
    <w:rsid w:val="00DC6EE5"/>
    <w:rsid w:val="00EE71BA"/>
    <w:rsid w:val="00F867E4"/>
    <w:rsid w:val="048165CF"/>
    <w:rsid w:val="05022B09"/>
    <w:rsid w:val="056D17C0"/>
    <w:rsid w:val="09162E35"/>
    <w:rsid w:val="133D6444"/>
    <w:rsid w:val="30DB36A3"/>
    <w:rsid w:val="341F275F"/>
    <w:rsid w:val="3A4F39F6"/>
    <w:rsid w:val="42E63568"/>
    <w:rsid w:val="52A6195A"/>
    <w:rsid w:val="580B2DDF"/>
    <w:rsid w:val="5AAA05AA"/>
    <w:rsid w:val="6A150774"/>
    <w:rsid w:val="7403110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nhideWhenUsed="0" w:uiPriority="0" w:semiHidden="0" w:name="footnote text"/>
    <w:lsdException w:uiPriority="99" w:name="annotation text"/>
    <w:lsdException w:qFormat="1" w:unhideWhenUsed="0" w:uiPriority="0" w:semiHidden="0" w:name="header"/>
    <w:lsdException w:qFormat="1" w:unhideWhenUsed="0" w:uiPriority="0"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nhideWhenUsed="0" w:uiPriority="0" w:semiHidden="0"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黑体"/>
      <w:kern w:val="2"/>
      <w:sz w:val="21"/>
      <w:szCs w:val="22"/>
      <w:lang w:val="en-US" w:eastAsia="zh-CN" w:bidi="ar-SA"/>
    </w:rPr>
  </w:style>
  <w:style w:type="character" w:default="1" w:styleId="9">
    <w:name w:val="Default Paragraph Font"/>
    <w:semiHidden/>
    <w:unhideWhenUsed/>
    <w:uiPriority w:val="1"/>
  </w:style>
  <w:style w:type="table" w:default="1" w:styleId="7">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13"/>
    <w:qFormat/>
    <w:uiPriority w:val="0"/>
    <w:pPr>
      <w:tabs>
        <w:tab w:val="center" w:pos="4153"/>
        <w:tab w:val="right" w:pos="8306"/>
      </w:tabs>
      <w:snapToGrid w:val="0"/>
      <w:jc w:val="left"/>
    </w:pPr>
    <w:rPr>
      <w:rFonts w:ascii="Times New Roman" w:hAnsi="Times New Roman" w:cs="Times New Roman"/>
      <w:sz w:val="18"/>
      <w:szCs w:val="18"/>
    </w:rPr>
  </w:style>
  <w:style w:type="paragraph" w:styleId="3">
    <w:name w:val="header"/>
    <w:basedOn w:val="1"/>
    <w:link w:val="14"/>
    <w:qFormat/>
    <w:uiPriority w:val="0"/>
    <w:pPr>
      <w:pBdr>
        <w:bottom w:val="single" w:color="auto" w:sz="6" w:space="1"/>
      </w:pBdr>
      <w:tabs>
        <w:tab w:val="center" w:pos="4153"/>
        <w:tab w:val="right" w:pos="8306"/>
      </w:tabs>
      <w:snapToGrid w:val="0"/>
      <w:jc w:val="center"/>
    </w:pPr>
    <w:rPr>
      <w:rFonts w:ascii="Times New Roman" w:hAnsi="Times New Roman" w:cs="Times New Roman"/>
      <w:sz w:val="18"/>
      <w:szCs w:val="18"/>
    </w:rPr>
  </w:style>
  <w:style w:type="paragraph" w:styleId="4">
    <w:name w:val="toc 1"/>
    <w:basedOn w:val="1"/>
    <w:next w:val="1"/>
    <w:qFormat/>
    <w:uiPriority w:val="0"/>
    <w:rPr>
      <w:rFonts w:ascii="Times New Roman" w:hAnsi="Times New Roman" w:cs="Times New Roman"/>
      <w:szCs w:val="24"/>
    </w:rPr>
  </w:style>
  <w:style w:type="paragraph" w:styleId="5">
    <w:name w:val="footnote text"/>
    <w:basedOn w:val="1"/>
    <w:qFormat/>
    <w:uiPriority w:val="0"/>
    <w:pPr>
      <w:snapToGrid w:val="0"/>
      <w:jc w:val="left"/>
    </w:pPr>
    <w:rPr>
      <w:sz w:val="18"/>
      <w:szCs w:val="18"/>
    </w:rPr>
  </w:style>
  <w:style w:type="paragraph" w:styleId="6">
    <w:name w:val="toc 2"/>
    <w:basedOn w:val="1"/>
    <w:next w:val="1"/>
    <w:qFormat/>
    <w:uiPriority w:val="0"/>
    <w:pPr>
      <w:ind w:left="420" w:leftChars="200"/>
    </w:pPr>
    <w:rPr>
      <w:rFonts w:ascii="Times New Roman" w:hAnsi="Times New Roman" w:cs="Times New Roman"/>
      <w:szCs w:val="24"/>
    </w:rPr>
  </w:style>
  <w:style w:type="table" w:styleId="8">
    <w:name w:val="Table Grid"/>
    <w:basedOn w:val="7"/>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10">
    <w:name w:val="footnote reference"/>
    <w:qFormat/>
    <w:uiPriority w:val="0"/>
    <w:rPr>
      <w:vertAlign w:val="superscript"/>
    </w:rPr>
  </w:style>
  <w:style w:type="paragraph" w:customStyle="1" w:styleId="11">
    <w:name w:val="Char"/>
    <w:basedOn w:val="1"/>
    <w:qFormat/>
    <w:uiPriority w:val="0"/>
    <w:rPr>
      <w:rFonts w:ascii="Times New Roman" w:hAnsi="Times New Roman" w:cs="Times New Roman"/>
      <w:szCs w:val="24"/>
    </w:rPr>
  </w:style>
  <w:style w:type="character" w:customStyle="1" w:styleId="12">
    <w:name w:val="页码1"/>
    <w:qFormat/>
    <w:uiPriority w:val="0"/>
  </w:style>
  <w:style w:type="character" w:customStyle="1" w:styleId="13">
    <w:name w:val="页脚 Char"/>
    <w:link w:val="2"/>
    <w:semiHidden/>
    <w:qFormat/>
    <w:uiPriority w:val="0"/>
    <w:rPr>
      <w:rFonts w:ascii="Times New Roman" w:hAnsi="Times New Roman" w:eastAsia="宋体" w:cs="Times New Roman"/>
      <w:sz w:val="18"/>
      <w:szCs w:val="18"/>
    </w:rPr>
  </w:style>
  <w:style w:type="character" w:customStyle="1" w:styleId="14">
    <w:name w:val="页眉 Char"/>
    <w:link w:val="3"/>
    <w:semiHidden/>
    <w:qFormat/>
    <w:uiPriority w:val="0"/>
    <w:rPr>
      <w:rFonts w:ascii="Times New Roman" w:hAnsi="Times New Roman" w:eastAsia="宋体" w:cs="Times New Roman"/>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Company>Microsoft</Company>
  <Pages>24</Pages>
  <Words>1838</Words>
  <Characters>10477</Characters>
  <Lines>87</Lines>
  <Paragraphs>24</Paragraphs>
  <TotalTime>4</TotalTime>
  <ScaleCrop>false</ScaleCrop>
  <LinksUpToDate>false</LinksUpToDate>
  <CharactersWithSpaces>12291</CharactersWithSpaces>
  <Application>WPS Office_11.8.2.11813_F1E327BC-269C-435d-A152-05C5408002CA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2017-01-23T17:29:00Z</dcterms:created>
  <dc:creator>guest</dc:creator>
  <cp:lastModifiedBy>Administrator</cp:lastModifiedBy>
  <cp:lastPrinted>2020-01-10T15:53:00Z</cp:lastPrinted>
  <dcterms:modified xsi:type="dcterms:W3CDTF">2024-01-16T05:55:21Z</dcterms:modified>
  <dc:title>o</dc:title>
  <cp:revision>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EBC7F60132834D869EB766982AF20153</vt:lpwstr>
  </property>
</Properties>
</file>