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996"/>
        <w:rPr>
          <w:rFonts w:ascii="宋体" w:hAnsi="宋体" w:cs="宋体"/>
          <w:b/>
          <w:bCs/>
          <w:sz w:val="44"/>
          <w:szCs w:val="44"/>
        </w:rPr>
      </w:pPr>
      <w:r>
        <w:rPr>
          <w:rFonts w:ascii="宋体" w:hAnsi="宋体" w:cs="宋体"/>
          <w:b/>
          <w:bCs/>
          <w:sz w:val="44"/>
          <w:szCs w:val="44"/>
        </w:rPr>
        <w:t xml:space="preserve">无极县科学技术局    </w:t>
      </w:r>
    </w:p>
    <w:p>
      <w:pPr>
        <w:jc w:val="center"/>
      </w:pPr>
      <w:bookmarkStart w:id="1" w:name="_GoBack"/>
      <w:r>
        <w:rPr>
          <w:rFonts w:ascii="宋体" w:hAnsi="宋体" w:cs="宋体"/>
          <w:b/>
          <w:bCs/>
          <w:sz w:val="44"/>
          <w:szCs w:val="44"/>
        </w:rPr>
        <w:t>2019年部门预算信息公开说明目录</w:t>
      </w:r>
    </w:p>
    <w:bookmarkEnd w:id="1"/>
    <w:p/>
    <w:p/>
    <w:p>
      <w:pPr>
        <w:ind w:firstLine="640"/>
        <w:rPr>
          <w:rFonts w:ascii="宋体" w:hAnsi="宋体" w:cs="仿宋_GB2312"/>
          <w:sz w:val="32"/>
          <w:szCs w:val="32"/>
        </w:rPr>
      </w:pPr>
      <w:r>
        <w:rPr>
          <w:rFonts w:ascii="宋体" w:hAnsi="宋体" w:cs="仿宋_GB2312"/>
          <w:sz w:val="32"/>
          <w:szCs w:val="32"/>
        </w:rPr>
        <w:t>一、部门职责及机构设置情况</w:t>
      </w:r>
    </w:p>
    <w:p>
      <w:pPr>
        <w:ind w:firstLine="640"/>
        <w:rPr>
          <w:rFonts w:ascii="宋体" w:hAnsi="宋体" w:cs="仿宋_GB2312"/>
          <w:sz w:val="32"/>
          <w:szCs w:val="32"/>
        </w:rPr>
      </w:pPr>
      <w:r>
        <w:rPr>
          <w:rFonts w:ascii="宋体" w:hAnsi="宋体" w:cs="仿宋_GB2312"/>
          <w:sz w:val="32"/>
          <w:szCs w:val="32"/>
        </w:rPr>
        <w:t>二、部门预算安排的总体情况</w:t>
      </w:r>
    </w:p>
    <w:p>
      <w:pPr>
        <w:ind w:firstLine="640"/>
        <w:rPr>
          <w:rFonts w:ascii="宋体" w:hAnsi="宋体" w:cs="仿宋_GB2312"/>
          <w:sz w:val="32"/>
          <w:szCs w:val="32"/>
        </w:rPr>
      </w:pPr>
      <w:r>
        <w:rPr>
          <w:rFonts w:ascii="宋体" w:hAnsi="宋体" w:cs="仿宋_GB2312"/>
          <w:sz w:val="32"/>
          <w:szCs w:val="32"/>
        </w:rPr>
        <w:t>三、机关运行经费安排情况</w:t>
      </w:r>
    </w:p>
    <w:p>
      <w:pPr>
        <w:ind w:firstLine="640"/>
        <w:jc w:val="left"/>
        <w:rPr>
          <w:rFonts w:ascii="宋体" w:hAnsi="宋体" w:cs="仿宋_GB2312"/>
          <w:sz w:val="32"/>
          <w:szCs w:val="32"/>
        </w:rPr>
      </w:pPr>
      <w:r>
        <w:rPr>
          <w:rFonts w:ascii="宋体" w:hAnsi="宋体" w:cs="仿宋_GB2312"/>
          <w:sz w:val="32"/>
          <w:szCs w:val="32"/>
        </w:rPr>
        <w:t>四、财政拨款“三公”经费预算情况及增减变化原因</w:t>
      </w:r>
    </w:p>
    <w:p>
      <w:pPr>
        <w:ind w:firstLine="640"/>
        <w:jc w:val="left"/>
        <w:rPr>
          <w:rFonts w:ascii="宋体" w:hAnsi="宋体" w:cs="仿宋_GB2312"/>
          <w:sz w:val="32"/>
          <w:szCs w:val="32"/>
        </w:rPr>
      </w:pPr>
      <w:r>
        <w:rPr>
          <w:rFonts w:ascii="宋体" w:hAnsi="宋体" w:cs="仿宋_GB2312"/>
          <w:sz w:val="32"/>
          <w:szCs w:val="32"/>
        </w:rPr>
        <w:t>五、绩效预算信息</w:t>
      </w:r>
    </w:p>
    <w:p>
      <w:pPr>
        <w:ind w:firstLine="640"/>
        <w:jc w:val="left"/>
        <w:rPr>
          <w:rFonts w:ascii="宋体" w:hAnsi="宋体" w:cs="仿宋_GB2312"/>
          <w:sz w:val="32"/>
          <w:szCs w:val="32"/>
        </w:rPr>
      </w:pPr>
      <w:r>
        <w:rPr>
          <w:rFonts w:ascii="宋体" w:hAnsi="宋体" w:cs="仿宋_GB2312"/>
          <w:sz w:val="32"/>
          <w:szCs w:val="32"/>
        </w:rPr>
        <w:t>六、政府采购预算情况</w:t>
      </w:r>
    </w:p>
    <w:p>
      <w:pPr>
        <w:ind w:firstLine="640"/>
        <w:jc w:val="left"/>
        <w:rPr>
          <w:rFonts w:ascii="宋体" w:hAnsi="宋体" w:cs="仿宋_GB2312"/>
          <w:sz w:val="32"/>
          <w:szCs w:val="32"/>
        </w:rPr>
      </w:pPr>
      <w:r>
        <w:rPr>
          <w:rFonts w:ascii="宋体" w:hAnsi="宋体" w:cs="仿宋_GB2312"/>
          <w:sz w:val="32"/>
          <w:szCs w:val="32"/>
        </w:rPr>
        <w:t>七、国有资产信息</w:t>
      </w:r>
    </w:p>
    <w:p>
      <w:pPr>
        <w:ind w:firstLine="640"/>
        <w:jc w:val="left"/>
        <w:rPr>
          <w:rFonts w:ascii="宋体" w:hAnsi="宋体" w:cs="仿宋_GB2312"/>
          <w:sz w:val="32"/>
          <w:szCs w:val="32"/>
        </w:rPr>
      </w:pPr>
      <w:r>
        <w:rPr>
          <w:rFonts w:ascii="宋体" w:hAnsi="宋体" w:cs="仿宋_GB2312"/>
          <w:sz w:val="32"/>
          <w:szCs w:val="32"/>
        </w:rPr>
        <w:t>八、名词解释</w:t>
      </w:r>
    </w:p>
    <w:p>
      <w:pPr>
        <w:ind w:firstLine="640"/>
        <w:jc w:val="left"/>
        <w:rPr>
          <w:rFonts w:ascii="宋体" w:hAnsi="宋体"/>
          <w:sz w:val="32"/>
          <w:szCs w:val="32"/>
        </w:rPr>
      </w:pPr>
      <w:r>
        <w:rPr>
          <w:rFonts w:ascii="宋体" w:hAnsi="宋体" w:cs="仿宋_GB2312"/>
          <w:sz w:val="32"/>
          <w:szCs w:val="32"/>
        </w:rPr>
        <w:t>九、其他需要说明的事项</w:t>
      </w:r>
    </w:p>
    <w:p/>
    <w:p>
      <w:pPr>
        <w:ind w:firstLine="640"/>
        <w:rPr>
          <w:rFonts w:ascii="仿宋_GB2312" w:hAnsi="仿宋_GB2312" w:eastAsia="仿宋_GB2312" w:cs="仿宋"/>
          <w:sz w:val="32"/>
          <w:szCs w:val="32"/>
        </w:rPr>
      </w:pPr>
      <w:r>
        <w:rPr>
          <w:rFonts w:ascii="仿宋_GB2312" w:hAnsi="仿宋_GB2312" w:eastAsia="仿宋_GB2312" w:cs="仿宋"/>
          <w:sz w:val="32"/>
          <w:szCs w:val="32"/>
        </w:rPr>
        <w:t>按照</w:t>
      </w:r>
      <w:r>
        <w:rPr>
          <w:rFonts w:hint="eastAsia" w:ascii="仿宋_GB2312" w:hAnsi="仿宋_GB2312" w:eastAsia="仿宋_GB2312" w:cs="仿宋"/>
          <w:sz w:val="32"/>
          <w:szCs w:val="32"/>
          <w:lang w:eastAsia="zh-CN"/>
        </w:rPr>
        <w:t>《中华人民共和国预算法》</w:t>
      </w:r>
      <w:r>
        <w:rPr>
          <w:rFonts w:ascii="仿宋_GB2312" w:hAnsi="仿宋_GB2312" w:eastAsia="仿宋_GB2312" w:cs="仿宋"/>
          <w:sz w:val="32"/>
          <w:szCs w:val="32"/>
        </w:rPr>
        <w:t>、《地方预决算公开操作规程》和《河北省省级预算公开办法》规定，现将无极县科学技术局201</w:t>
      </w:r>
      <w:r>
        <w:rPr>
          <w:rFonts w:hint="eastAsia" w:ascii="仿宋_GB2312" w:hAnsi="仿宋_GB2312" w:eastAsia="仿宋_GB2312" w:cs="仿宋"/>
          <w:sz w:val="32"/>
          <w:szCs w:val="32"/>
        </w:rPr>
        <w:t>9</w:t>
      </w:r>
      <w:r>
        <w:rPr>
          <w:rFonts w:ascii="仿宋_GB2312" w:hAnsi="仿宋_GB2312" w:eastAsia="仿宋_GB2312" w:cs="仿宋"/>
          <w:sz w:val="32"/>
          <w:szCs w:val="32"/>
        </w:rPr>
        <w:t>年部门预算公开如下：</w:t>
      </w:r>
    </w:p>
    <w:p>
      <w:pPr>
        <w:ind w:left="800"/>
        <w:rPr>
          <w:rFonts w:ascii="黑体" w:hAnsi="黑体" w:eastAsia="黑体" w:cs="仿宋_GB2312"/>
          <w:sz w:val="32"/>
          <w:szCs w:val="32"/>
        </w:rPr>
      </w:pPr>
      <w:r>
        <w:rPr>
          <w:rFonts w:ascii="黑体" w:hAnsi="黑体" w:eastAsia="黑体" w:cs="仿宋_GB2312"/>
          <w:sz w:val="32"/>
          <w:szCs w:val="32"/>
        </w:rPr>
        <w:t>一、部门职责及机构设置情况</w:t>
      </w:r>
    </w:p>
    <w:p>
      <w:pPr>
        <w:ind w:firstLine="645"/>
        <w:rPr>
          <w:rFonts w:hint="eastAsia" w:ascii="楷体_GB2312" w:hAnsi="楷体" w:eastAsia="楷体_GB2312" w:cs="仿宋_GB2312"/>
          <w:sz w:val="32"/>
          <w:szCs w:val="32"/>
        </w:rPr>
      </w:pPr>
      <w:r>
        <w:rPr>
          <w:rFonts w:hint="eastAsia" w:ascii="楷体_GB2312" w:hAnsi="楷体" w:eastAsia="楷体_GB2312" w:cs="仿宋_GB2312"/>
          <w:sz w:val="32"/>
          <w:szCs w:val="32"/>
        </w:rPr>
        <w:t>（一）部门职责</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1、</w:t>
      </w:r>
      <w:r>
        <w:rPr>
          <w:rFonts w:ascii="仿宋" w:hAnsi="仿宋" w:eastAsia="仿宋" w:cs="仿宋"/>
          <w:color w:val="000000"/>
          <w:sz w:val="32"/>
          <w:szCs w:val="32"/>
        </w:rPr>
        <w:t>全面宣传、贯彻党和国家的各项科技方针、政策、法律和法规，开展科技调研，组织拟定全县科学技术发展中长期规划，并组织实施。</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2、</w:t>
      </w:r>
      <w:r>
        <w:rPr>
          <w:rFonts w:ascii="仿宋" w:hAnsi="仿宋" w:eastAsia="仿宋" w:cs="仿宋"/>
          <w:color w:val="000000"/>
          <w:sz w:val="32"/>
          <w:szCs w:val="32"/>
        </w:rPr>
        <w:t>组织实施科研项目和经济技术开发项目以及先进实用技术的推广和成果管理，开展科技创新。</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3、</w:t>
      </w:r>
      <w:r>
        <w:rPr>
          <w:rFonts w:ascii="仿宋" w:hAnsi="仿宋" w:eastAsia="仿宋" w:cs="仿宋"/>
          <w:color w:val="000000"/>
          <w:sz w:val="32"/>
          <w:szCs w:val="32"/>
        </w:rPr>
        <w:t xml:space="preserve">规范技术市场管理，扶持民营科技企业的发展，开展专利服务和专利执法。 </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4、</w:t>
      </w:r>
      <w:r>
        <w:rPr>
          <w:rFonts w:ascii="仿宋" w:hAnsi="仿宋" w:eastAsia="仿宋" w:cs="仿宋"/>
          <w:color w:val="000000"/>
          <w:sz w:val="32"/>
          <w:szCs w:val="32"/>
        </w:rPr>
        <w:t>开展科技普及培训和科技服务，引进和管理科技人才。</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5、</w:t>
      </w:r>
      <w:r>
        <w:rPr>
          <w:rFonts w:ascii="仿宋" w:hAnsi="仿宋" w:eastAsia="仿宋" w:cs="仿宋"/>
          <w:color w:val="000000"/>
          <w:sz w:val="32"/>
          <w:szCs w:val="32"/>
        </w:rPr>
        <w:t>归口管理地震局，发展防震减灾事业。</w:t>
      </w:r>
    </w:p>
    <w:p>
      <w:pPr>
        <w:ind w:firstLine="645"/>
        <w:rPr>
          <w:rFonts w:ascii="仿宋" w:hAnsi="仿宋" w:eastAsia="仿宋" w:cs="仿宋"/>
          <w:color w:val="000000"/>
          <w:sz w:val="32"/>
          <w:szCs w:val="32"/>
        </w:rPr>
      </w:pPr>
      <w:r>
        <w:rPr>
          <w:rFonts w:hint="eastAsia" w:cs="仿宋" w:asciiTheme="minorEastAsia" w:hAnsiTheme="minorEastAsia"/>
          <w:color w:val="000000"/>
          <w:sz w:val="32"/>
          <w:szCs w:val="32"/>
        </w:rPr>
        <w:t>6、</w:t>
      </w:r>
      <w:r>
        <w:rPr>
          <w:rFonts w:ascii="仿宋" w:hAnsi="仿宋" w:eastAsia="仿宋" w:cs="仿宋"/>
          <w:color w:val="000000"/>
          <w:sz w:val="32"/>
          <w:szCs w:val="32"/>
        </w:rPr>
        <w:t>承办县委、县政府交办的其他事项。</w:t>
      </w:r>
    </w:p>
    <w:p>
      <w:pPr>
        <w:ind w:firstLine="645"/>
        <w:rPr>
          <w:rFonts w:hint="eastAsia" w:ascii="楷体_GB2312" w:hAnsi="楷体" w:eastAsia="楷体_GB2312" w:cs="仿宋_GB2312"/>
          <w:sz w:val="32"/>
          <w:szCs w:val="32"/>
        </w:rPr>
      </w:pPr>
      <w:r>
        <w:rPr>
          <w:rFonts w:hint="eastAsia" w:ascii="楷体_GB2312" w:hAnsi="楷体" w:eastAsia="楷体_GB2312" w:cs="仿宋_GB2312"/>
          <w:sz w:val="32"/>
          <w:szCs w:val="32"/>
        </w:rPr>
        <w:t>（二）机构设置</w:t>
      </w:r>
    </w:p>
    <w:p>
      <w:pPr>
        <w:jc w:val="center"/>
        <w:rPr>
          <w:rFonts w:ascii="仿宋" w:hAnsi="仿宋" w:eastAsia="仿宋"/>
          <w:sz w:val="32"/>
          <w:szCs w:val="32"/>
        </w:rPr>
      </w:pPr>
      <w:r>
        <w:rPr>
          <w:rFonts w:ascii="仿宋" w:hAnsi="仿宋" w:eastAsia="仿宋"/>
          <w:sz w:val="32"/>
          <w:szCs w:val="32"/>
        </w:rPr>
        <w:t>部门机构设置情况</w:t>
      </w:r>
    </w:p>
    <w:tbl>
      <w:tblPr>
        <w:tblStyle w:val="7"/>
        <w:tblW w:w="12191" w:type="dxa"/>
        <w:tblInd w:w="674" w:type="dxa"/>
        <w:tblBorders>
          <w:top w:val="single" w:color="FFFFFF" w:sz="6" w:space="0"/>
          <w:left w:val="single" w:color="FFFFFF" w:sz="6" w:space="0"/>
          <w:bottom w:val="single" w:color="000000" w:sz="6" w:space="0"/>
          <w:right w:val="single" w:color="FFFFFF" w:sz="6" w:space="0"/>
          <w:insideH w:val="single" w:color="000000" w:sz="6" w:space="0"/>
          <w:insideV w:val="single" w:color="FFFFFF" w:sz="6" w:space="0"/>
        </w:tblBorders>
        <w:tblLayout w:type="autofit"/>
        <w:tblCellMar>
          <w:top w:w="0" w:type="dxa"/>
          <w:left w:w="107" w:type="dxa"/>
          <w:bottom w:w="0" w:type="dxa"/>
          <w:right w:w="108" w:type="dxa"/>
        </w:tblCellMar>
      </w:tblPr>
      <w:tblGrid>
        <w:gridCol w:w="4111"/>
        <w:gridCol w:w="3402"/>
        <w:gridCol w:w="1418"/>
        <w:gridCol w:w="3260"/>
      </w:tblGrid>
      <w:tr>
        <w:tblPrEx>
          <w:tblBorders>
            <w:top w:val="single" w:color="FFFFFF" w:sz="6" w:space="0"/>
            <w:left w:val="single" w:color="FFFFFF" w:sz="6" w:space="0"/>
            <w:bottom w:val="single" w:color="000000" w:sz="6" w:space="0"/>
            <w:right w:val="single" w:color="FFFFFF" w:sz="6" w:space="0"/>
            <w:insideH w:val="single" w:color="000000" w:sz="6" w:space="0"/>
            <w:insideV w:val="single" w:color="FFFFFF" w:sz="6" w:space="0"/>
          </w:tblBorders>
          <w:tblCellMar>
            <w:top w:w="0" w:type="dxa"/>
            <w:left w:w="107" w:type="dxa"/>
            <w:bottom w:w="0" w:type="dxa"/>
            <w:right w:w="108" w:type="dxa"/>
          </w:tblCellMar>
        </w:tblPrEx>
        <w:trPr>
          <w:trHeight w:val="300" w:hRule="atLeast"/>
          <w:tblHeader/>
        </w:trPr>
        <w:tc>
          <w:tcPr>
            <w:tcW w:w="411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单位名称</w:t>
            </w:r>
          </w:p>
        </w:tc>
        <w:tc>
          <w:tcPr>
            <w:tcW w:w="3402"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单位性质</w:t>
            </w:r>
          </w:p>
        </w:tc>
        <w:tc>
          <w:tcPr>
            <w:tcW w:w="1418"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单位规格</w:t>
            </w:r>
          </w:p>
        </w:tc>
        <w:tc>
          <w:tcPr>
            <w:tcW w:w="3260"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r>
              <w:rPr>
                <w:rFonts w:ascii="方正书宋_GBK" w:hAnsi="方正书宋_GBK" w:eastAsia="方正书宋_GBK"/>
                <w:b/>
              </w:rPr>
              <w:t>经费保障形式</w:t>
            </w:r>
          </w:p>
        </w:tc>
      </w:tr>
      <w:tr>
        <w:tblPrEx>
          <w:tblBorders>
            <w:top w:val="single" w:color="FFFFFF" w:sz="6" w:space="0"/>
            <w:left w:val="single" w:color="FFFFFF" w:sz="6" w:space="0"/>
            <w:bottom w:val="single" w:color="000000" w:sz="6" w:space="0"/>
            <w:right w:val="single" w:color="FFFFFF" w:sz="6" w:space="0"/>
            <w:insideH w:val="single" w:color="000000" w:sz="6" w:space="0"/>
            <w:insideV w:val="single" w:color="FFFFFF" w:sz="6" w:space="0"/>
          </w:tblBorders>
          <w:tblCellMar>
            <w:top w:w="0" w:type="dxa"/>
            <w:left w:w="107" w:type="dxa"/>
            <w:bottom w:w="0" w:type="dxa"/>
            <w:right w:w="108" w:type="dxa"/>
          </w:tblCellMar>
        </w:tblPrEx>
        <w:trPr>
          <w:trHeight w:val="300" w:hRule="atLeast"/>
          <w:tblHeader/>
        </w:trPr>
        <w:tc>
          <w:tcPr>
            <w:tcW w:w="411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outlineLvl w:val="0"/>
            </w:pPr>
          </w:p>
        </w:tc>
        <w:tc>
          <w:tcPr>
            <w:tcW w:w="340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outlineLvl w:val="0"/>
            </w:pPr>
          </w:p>
        </w:tc>
        <w:tc>
          <w:tcPr>
            <w:tcW w:w="1418"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outlineLvl w:val="0"/>
            </w:pPr>
          </w:p>
        </w:tc>
        <w:tc>
          <w:tcPr>
            <w:tcW w:w="3260"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outlineLvl w:val="0"/>
            </w:pPr>
          </w:p>
        </w:tc>
      </w:tr>
      <w:tr>
        <w:tblPrEx>
          <w:tblBorders>
            <w:top w:val="single" w:color="FFFFFF" w:sz="6" w:space="0"/>
            <w:left w:val="single" w:color="FFFFFF" w:sz="6" w:space="0"/>
            <w:bottom w:val="single" w:color="000000" w:sz="6" w:space="0"/>
            <w:right w:val="single" w:color="FFFFFF" w:sz="6" w:space="0"/>
            <w:insideH w:val="single" w:color="000000" w:sz="6" w:space="0"/>
            <w:insideV w:val="single" w:color="FFFFFF" w:sz="6" w:space="0"/>
          </w:tblBorders>
          <w:tblCellMar>
            <w:top w:w="0" w:type="dxa"/>
            <w:left w:w="107" w:type="dxa"/>
            <w:bottom w:w="0" w:type="dxa"/>
            <w:right w:w="108" w:type="dxa"/>
          </w:tblCellMar>
        </w:tblPrEx>
        <w:trPr>
          <w:trHeight w:val="227" w:hRule="atLeast"/>
        </w:trPr>
        <w:tc>
          <w:tcPr>
            <w:tcW w:w="411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r>
              <w:rPr>
                <w:rFonts w:ascii="方正书宋_GBK" w:hAnsi="方正书宋_GBK" w:eastAsia="方正书宋_GBK"/>
                <w:b/>
              </w:rPr>
              <w:t>合    计</w:t>
            </w:r>
          </w:p>
        </w:tc>
        <w:tc>
          <w:tcPr>
            <w:tcW w:w="340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p>
        </w:tc>
        <w:tc>
          <w:tcPr>
            <w:tcW w:w="141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p>
        </w:tc>
        <w:tc>
          <w:tcPr>
            <w:tcW w:w="3260"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b/>
              </w:rPr>
            </w:pPr>
          </w:p>
        </w:tc>
      </w:tr>
      <w:tr>
        <w:tblPrEx>
          <w:tblBorders>
            <w:top w:val="single" w:color="FFFFFF" w:sz="6" w:space="0"/>
            <w:left w:val="single" w:color="FFFFFF" w:sz="6" w:space="0"/>
            <w:bottom w:val="single" w:color="000000" w:sz="6" w:space="0"/>
            <w:right w:val="single" w:color="FFFFFF" w:sz="6" w:space="0"/>
            <w:insideH w:val="single" w:color="000000" w:sz="6" w:space="0"/>
            <w:insideV w:val="single" w:color="FFFFFF" w:sz="6" w:space="0"/>
          </w:tblBorders>
          <w:tblCellMar>
            <w:top w:w="0" w:type="dxa"/>
            <w:left w:w="107" w:type="dxa"/>
            <w:bottom w:w="0" w:type="dxa"/>
            <w:right w:w="108" w:type="dxa"/>
          </w:tblCellMar>
        </w:tblPrEx>
        <w:trPr>
          <w:trHeight w:val="227" w:hRule="atLeast"/>
        </w:trPr>
        <w:tc>
          <w:tcPr>
            <w:tcW w:w="411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hAnsi="方正书宋_GBK" w:eastAsia="方正书宋_GBK"/>
              </w:rPr>
            </w:pPr>
            <w:r>
              <w:rPr>
                <w:rFonts w:ascii="方正书宋_GBK" w:hAnsi="方正书宋_GBK" w:eastAsia="方正书宋_GBK"/>
              </w:rPr>
              <w:t>无极县科学技术局</w:t>
            </w:r>
          </w:p>
        </w:tc>
        <w:tc>
          <w:tcPr>
            <w:tcW w:w="340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rPr>
            </w:pPr>
            <w:r>
              <w:rPr>
                <w:rFonts w:ascii="方正书宋_GBK" w:hAnsi="方正书宋_GBK" w:eastAsia="方正书宋_GBK"/>
              </w:rPr>
              <w:t>行政</w:t>
            </w:r>
          </w:p>
        </w:tc>
        <w:tc>
          <w:tcPr>
            <w:tcW w:w="141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rPr>
            </w:pPr>
            <w:r>
              <w:rPr>
                <w:rFonts w:ascii="方正书宋_GBK" w:hAnsi="方正书宋_GBK" w:eastAsia="方正书宋_GBK"/>
              </w:rPr>
              <w:t>正科级</w:t>
            </w:r>
          </w:p>
        </w:tc>
        <w:tc>
          <w:tcPr>
            <w:tcW w:w="3260"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hAnsi="方正书宋_GBK" w:eastAsia="方正书宋_GBK"/>
              </w:rPr>
            </w:pPr>
            <w:r>
              <w:rPr>
                <w:rFonts w:ascii="方正书宋_GBK" w:hAnsi="方正书宋_GBK" w:eastAsia="方正书宋_GBK"/>
              </w:rPr>
              <w:t>财政拨款</w:t>
            </w:r>
          </w:p>
        </w:tc>
      </w:tr>
    </w:tbl>
    <w:p>
      <w:pPr>
        <w:jc w:val="center"/>
        <w:rPr>
          <w:rFonts w:ascii="仿宋" w:hAnsi="仿宋" w:eastAsia="仿宋"/>
          <w:sz w:val="32"/>
          <w:szCs w:val="32"/>
        </w:rPr>
      </w:pPr>
    </w:p>
    <w:p>
      <w:pPr>
        <w:ind w:firstLine="640"/>
        <w:rPr>
          <w:rFonts w:ascii="黑体" w:hAnsi="黑体" w:eastAsia="黑体" w:cs="仿宋_GB2312"/>
          <w:sz w:val="32"/>
          <w:szCs w:val="32"/>
        </w:rPr>
      </w:pPr>
      <w:r>
        <w:rPr>
          <w:rFonts w:ascii="黑体" w:hAnsi="黑体" w:eastAsia="黑体" w:cs="仿宋_GB2312"/>
          <w:sz w:val="32"/>
          <w:szCs w:val="32"/>
        </w:rPr>
        <w:t>二、部门预算安排的总体情况</w:t>
      </w:r>
    </w:p>
    <w:p>
      <w:pPr>
        <w:ind w:firstLine="640"/>
        <w:rPr>
          <w:rFonts w:hint="eastAsia" w:ascii="仿宋_GB2312" w:hAnsi="黑体"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黑体" w:eastAsia="仿宋_GB2312" w:cs="仿宋_GB2312"/>
          <w:sz w:val="30"/>
          <w:szCs w:val="30"/>
        </w:rPr>
        <w:t>。</w:t>
      </w:r>
    </w:p>
    <w:p>
      <w:pPr>
        <w:pStyle w:val="17"/>
        <w:numPr>
          <w:ilvl w:val="0"/>
          <w:numId w:val="1"/>
        </w:numPr>
        <w:rPr>
          <w:rFonts w:hint="eastAsia" w:ascii="楷体_GB2312" w:hAnsi="楷体" w:eastAsia="楷体_GB2312" w:cs="仿宋_GB2312"/>
          <w:sz w:val="30"/>
          <w:szCs w:val="30"/>
        </w:rPr>
      </w:pPr>
      <w:r>
        <w:rPr>
          <w:rFonts w:hint="eastAsia" w:ascii="楷体_GB2312" w:hAnsi="楷体" w:eastAsia="楷体_GB2312" w:cs="仿宋_GB2312"/>
          <w:sz w:val="30"/>
          <w:szCs w:val="30"/>
        </w:rPr>
        <w:t>收入说明</w:t>
      </w:r>
    </w:p>
    <w:p>
      <w:pPr>
        <w:snapToGrid w:val="0"/>
        <w:spacing w:line="600" w:lineRule="exact"/>
        <w:ind w:firstLine="640"/>
        <w:jc w:val="left"/>
      </w:pPr>
      <w:r>
        <w:rPr>
          <w:rFonts w:ascii="仿宋_GB2312" w:hAnsi="仿宋_GB2312" w:eastAsia="仿宋_GB2312" w:cs="仿宋_GB2312"/>
          <w:bCs/>
          <w:sz w:val="32"/>
          <w:szCs w:val="32"/>
        </w:rPr>
        <w:t>无极县科技局2019年预算收入总计168.04万元。其中，一般公共预算收入168.04万元、政府性基金收入0万元、财政专户核拨收入0万元，其他来源收入0万元。</w:t>
      </w:r>
    </w:p>
    <w:p>
      <w:pPr>
        <w:rPr>
          <w:rFonts w:ascii="楷体" w:hAnsi="楷体" w:eastAsia="楷体" w:cs="仿宋_GB2312"/>
          <w:sz w:val="32"/>
          <w:szCs w:val="32"/>
        </w:rPr>
      </w:pPr>
    </w:p>
    <w:p>
      <w:pPr>
        <w:pStyle w:val="17"/>
        <w:numPr>
          <w:ilvl w:val="0"/>
          <w:numId w:val="1"/>
        </w:numPr>
        <w:rPr>
          <w:rFonts w:hint="eastAsia" w:ascii="楷体_GB2312" w:hAnsi="楷体" w:eastAsia="楷体_GB2312"/>
          <w:sz w:val="32"/>
          <w:szCs w:val="32"/>
        </w:rPr>
      </w:pPr>
      <w:r>
        <w:rPr>
          <w:rFonts w:hint="eastAsia" w:ascii="楷体_GB2312" w:hAnsi="楷体" w:eastAsia="楷体_GB2312"/>
          <w:sz w:val="32"/>
          <w:szCs w:val="32"/>
        </w:rPr>
        <w:t>支出说明</w:t>
      </w:r>
    </w:p>
    <w:p>
      <w:pPr>
        <w:snapToGrid w:val="0"/>
        <w:spacing w:line="600" w:lineRule="exact"/>
        <w:ind w:firstLine="640"/>
        <w:jc w:val="left"/>
      </w:pPr>
      <w:r>
        <w:rPr>
          <w:rFonts w:ascii="仿宋_GB2312" w:hAnsi="仿宋_GB2312" w:eastAsia="仿宋_GB2312" w:cs="仿宋_GB2312"/>
          <w:bCs/>
          <w:sz w:val="32"/>
          <w:szCs w:val="32"/>
        </w:rPr>
        <w:t>2019年预算支出168.04万元。其中，人员经费支出140.54万元，正常公用经费14.5万元，项目支出13万元。</w:t>
      </w:r>
    </w:p>
    <w:p>
      <w:pPr>
        <w:ind w:firstLine="645"/>
        <w:rPr>
          <w:rFonts w:hint="eastAsia" w:ascii="楷体_GB2312" w:hAnsi="楷体" w:eastAsia="楷体_GB2312"/>
          <w:sz w:val="32"/>
          <w:szCs w:val="32"/>
        </w:rPr>
      </w:pPr>
      <w:r>
        <w:rPr>
          <w:rFonts w:hint="eastAsia" w:ascii="楷体_GB2312" w:hAnsi="楷体" w:eastAsia="楷体_GB2312"/>
          <w:sz w:val="32"/>
          <w:szCs w:val="32"/>
        </w:rPr>
        <w:t>（三）比上年增减情况</w:t>
      </w:r>
    </w:p>
    <w:p>
      <w:pPr>
        <w:ind w:firstLine="645"/>
      </w:pPr>
      <w:r>
        <w:rPr>
          <w:rFonts w:ascii="仿宋_GB2312" w:hAnsi="仿宋_GB2312" w:eastAsia="仿宋_GB2312" w:cs="仿宋_GB2312"/>
          <w:bCs/>
          <w:sz w:val="32"/>
          <w:szCs w:val="32"/>
        </w:rPr>
        <w:t>无极县科技局2019年预算收入与2018年相比减少90.78万元，减少原因为上级财政安排的项目支出减少。</w:t>
      </w:r>
    </w:p>
    <w:p>
      <w:pPr>
        <w:ind w:firstLine="640"/>
        <w:rPr>
          <w:rFonts w:ascii="黑体" w:hAnsi="黑体" w:eastAsia="黑体" w:cs="仿宋_GB2312"/>
          <w:sz w:val="32"/>
          <w:szCs w:val="32"/>
        </w:rPr>
      </w:pPr>
      <w:r>
        <w:rPr>
          <w:rFonts w:ascii="黑体" w:hAnsi="黑体" w:eastAsia="黑体" w:cs="仿宋_GB2312"/>
          <w:sz w:val="32"/>
          <w:szCs w:val="32"/>
        </w:rPr>
        <w:t>三、机关运行经费安排情况</w:t>
      </w:r>
    </w:p>
    <w:p>
      <w:pPr>
        <w:ind w:firstLine="640"/>
      </w:pPr>
      <w:r>
        <w:rPr>
          <w:rFonts w:ascii="仿宋_GB2312" w:hAnsi="仿宋_GB2312" w:eastAsia="仿宋_GB2312" w:cs="仿宋_GB2312"/>
          <w:sz w:val="32"/>
          <w:szCs w:val="32"/>
        </w:rPr>
        <w:t>2019年机关运行经费共计安排14.5万元，主要用于我部门日常办公，办公区水电费、日常维修，办公用房取暖费，办公用房物业管理费等日常运行支出。</w:t>
      </w:r>
    </w:p>
    <w:p>
      <w:pPr>
        <w:ind w:firstLine="640"/>
        <w:jc w:val="left"/>
        <w:rPr>
          <w:rFonts w:ascii="黑体" w:hAnsi="黑体" w:eastAsia="黑体" w:cs="仿宋_GB2312"/>
          <w:sz w:val="32"/>
          <w:szCs w:val="32"/>
        </w:rPr>
      </w:pPr>
      <w:r>
        <w:rPr>
          <w:rFonts w:ascii="黑体" w:hAnsi="黑体" w:eastAsia="黑体" w:cs="仿宋_GB2312"/>
          <w:sz w:val="32"/>
          <w:szCs w:val="32"/>
        </w:rPr>
        <w:t>四、财政拨款“三公”经费预算情况及增减变化原因</w:t>
      </w:r>
    </w:p>
    <w:p>
      <w:pPr>
        <w:ind w:firstLine="640"/>
        <w:rPr>
          <w:rFonts w:hint="eastAsia" w:ascii="仿宋_GB2312" w:eastAsia="仿宋_GB2312"/>
        </w:rPr>
      </w:pPr>
      <w:r>
        <w:rPr>
          <w:rFonts w:hint="eastAsia" w:ascii="仿宋_GB2312" w:hAnsi="仿宋" w:eastAsia="仿宋_GB2312"/>
          <w:sz w:val="32"/>
          <w:szCs w:val="32"/>
        </w:rPr>
        <w:t>2019年本部门安排“三公”经费 3万元。</w:t>
      </w:r>
    </w:p>
    <w:p>
      <w:pPr>
        <w:ind w:firstLine="640"/>
        <w:outlineLvl w:val="0"/>
        <w:rPr>
          <w:rFonts w:hint="eastAsia" w:ascii="仿宋_GB2312" w:hAnsi="仿宋" w:eastAsia="仿宋_GB2312"/>
          <w:sz w:val="32"/>
          <w:szCs w:val="32"/>
        </w:rPr>
      </w:pPr>
      <w:r>
        <w:rPr>
          <w:rFonts w:hint="eastAsia" w:ascii="仿宋_GB2312" w:hAnsi="仿宋" w:eastAsia="仿宋_GB2312"/>
          <w:sz w:val="32"/>
          <w:szCs w:val="32"/>
        </w:rPr>
        <w:t>其中：</w:t>
      </w:r>
    </w:p>
    <w:p>
      <w:pPr>
        <w:ind w:firstLine="640"/>
        <w:outlineLvl w:val="0"/>
        <w:rPr>
          <w:rFonts w:hint="eastAsia"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outlineLvl w:val="0"/>
        <w:rPr>
          <w:rFonts w:hint="eastAsia" w:ascii="仿宋_GB2312" w:hAnsi="仿宋" w:eastAsia="仿宋_GB2312"/>
          <w:sz w:val="32"/>
          <w:szCs w:val="32"/>
        </w:rPr>
      </w:pPr>
      <w:r>
        <w:rPr>
          <w:rFonts w:hint="eastAsia" w:ascii="仿宋_GB2312" w:hAnsi="仿宋" w:eastAsia="仿宋_GB2312"/>
          <w:sz w:val="32"/>
          <w:szCs w:val="32"/>
        </w:rPr>
        <w:t>2、公务用车购置0万元，运行维护费3万元，与上年持平，无增减变化。</w:t>
      </w:r>
    </w:p>
    <w:p>
      <w:pPr>
        <w:ind w:firstLine="640"/>
        <w:outlineLvl w:val="0"/>
        <w:rPr>
          <w:rFonts w:hint="eastAsia" w:ascii="仿宋_GB2312" w:hAnsi="仿宋" w:eastAsia="仿宋_GB2312"/>
          <w:sz w:val="32"/>
          <w:szCs w:val="32"/>
        </w:rPr>
      </w:pPr>
      <w:r>
        <w:rPr>
          <w:rFonts w:hint="eastAsia" w:ascii="仿宋_GB2312" w:hAnsi="仿宋" w:eastAsia="仿宋_GB2312"/>
          <w:sz w:val="32"/>
          <w:szCs w:val="32"/>
        </w:rPr>
        <w:t>3、公务接待费0万元，与上年持平，无增减变化。</w:t>
      </w:r>
    </w:p>
    <w:p>
      <w:pPr>
        <w:ind w:firstLine="640"/>
        <w:outlineLvl w:val="0"/>
        <w:rPr>
          <w:rFonts w:hint="eastAsia" w:ascii="仿宋_GB2312" w:eastAsia="仿宋_GB2312"/>
        </w:rPr>
      </w:pPr>
      <w:r>
        <w:rPr>
          <w:rFonts w:hint="eastAsia" w:ascii="仿宋_GB2312" w:hAnsi="仿宋" w:eastAsia="仿宋_GB2312"/>
          <w:sz w:val="32"/>
          <w:szCs w:val="32"/>
        </w:rPr>
        <w:t>2019年本部门</w:t>
      </w:r>
      <w:r>
        <w:rPr>
          <w:rFonts w:hint="eastAsia" w:ascii="仿宋_GB2312" w:hAnsi="仿宋" w:eastAsia="仿宋_GB2312" w:cs="仿宋_GB2312"/>
          <w:sz w:val="32"/>
          <w:szCs w:val="32"/>
        </w:rPr>
        <w:t>三公经费与2018年持平</w:t>
      </w:r>
      <w:r>
        <w:rPr>
          <w:rFonts w:hint="eastAsia" w:ascii="仿宋_GB2312" w:hAnsi="仿宋" w:eastAsia="仿宋_GB2312"/>
          <w:sz w:val="32"/>
          <w:szCs w:val="32"/>
        </w:rPr>
        <w:t>，无增减变化。</w:t>
      </w:r>
    </w:p>
    <w:p>
      <w:pPr>
        <w:ind w:firstLine="640"/>
        <w:jc w:val="left"/>
        <w:rPr>
          <w:rFonts w:ascii="黑体" w:hAnsi="黑体" w:eastAsia="黑体" w:cs="仿宋_GB2312"/>
          <w:sz w:val="32"/>
          <w:szCs w:val="32"/>
        </w:rPr>
      </w:pPr>
      <w:r>
        <w:rPr>
          <w:rFonts w:ascii="黑体" w:hAnsi="黑体" w:eastAsia="黑体" w:cs="仿宋_GB2312"/>
          <w:sz w:val="32"/>
          <w:szCs w:val="32"/>
        </w:rPr>
        <w:t>五、绩效预算信息</w:t>
      </w:r>
    </w:p>
    <w:p>
      <w:pPr>
        <w:ind w:firstLine="645"/>
        <w:rPr>
          <w:rFonts w:hint="eastAsia" w:ascii="楷体_GB2312" w:hAnsi="楷体" w:eastAsia="楷体_GB2312"/>
          <w:sz w:val="32"/>
          <w:szCs w:val="32"/>
        </w:rPr>
      </w:pPr>
      <w:r>
        <w:rPr>
          <w:rFonts w:hint="eastAsia" w:ascii="楷体_GB2312" w:hAnsi="楷体" w:eastAsia="楷体_GB2312"/>
          <w:sz w:val="32"/>
          <w:szCs w:val="32"/>
        </w:rPr>
        <w:t>（一）总体绩效目标</w:t>
      </w:r>
    </w:p>
    <w:p>
      <w:pPr>
        <w:ind w:firstLine="640"/>
        <w:rPr>
          <w:rFonts w:hint="eastAsia" w:ascii="仿宋_GB2312" w:hAnsi="楷体" w:eastAsia="仿宋_GB2312"/>
          <w:sz w:val="32"/>
          <w:szCs w:val="32"/>
        </w:rPr>
      </w:pPr>
      <w:r>
        <w:rPr>
          <w:rFonts w:hint="eastAsia" w:ascii="仿宋_GB2312" w:hAnsi="仿宋" w:eastAsia="仿宋_GB2312"/>
          <w:sz w:val="32"/>
          <w:szCs w:val="32"/>
        </w:rPr>
        <w:t>一是加大对国家、省市指令性科研项目的跑办力度，为县域经济的发展提供有力的经济支撑。</w:t>
      </w:r>
    </w:p>
    <w:p>
      <w:pPr>
        <w:ind w:firstLine="640"/>
        <w:rPr>
          <w:rFonts w:hint="eastAsia" w:ascii="仿宋_GB2312" w:hAnsi="仿宋" w:eastAsia="仿宋_GB2312"/>
          <w:sz w:val="32"/>
          <w:szCs w:val="32"/>
        </w:rPr>
      </w:pPr>
      <w:r>
        <w:rPr>
          <w:rFonts w:hint="eastAsia" w:ascii="仿宋_GB2312" w:hAnsi="仿宋" w:eastAsia="仿宋_GB2312"/>
          <w:sz w:val="32"/>
          <w:szCs w:val="32"/>
        </w:rPr>
        <w:t>二是抓好科技型中小企业和高新技术企业认定工作，进一步为县域经济发展提供科技支撑。</w:t>
      </w:r>
    </w:p>
    <w:p>
      <w:pPr>
        <w:ind w:firstLine="640"/>
        <w:rPr>
          <w:rFonts w:hint="eastAsia" w:ascii="仿宋_GB2312" w:hAnsi="仿宋" w:eastAsia="仿宋_GB2312"/>
          <w:sz w:val="32"/>
          <w:szCs w:val="32"/>
        </w:rPr>
      </w:pPr>
      <w:r>
        <w:rPr>
          <w:rFonts w:hint="eastAsia" w:ascii="仿宋_GB2312" w:hAnsi="仿宋" w:eastAsia="仿宋_GB2312"/>
          <w:sz w:val="32"/>
          <w:szCs w:val="32"/>
        </w:rPr>
        <w:t>三是抓好校企合作。通过校企合作，进一步帮助企业解决技术难题，同时搞好新技术、新产品的引进和推广。</w:t>
      </w:r>
    </w:p>
    <w:p>
      <w:pPr>
        <w:ind w:firstLine="560"/>
        <w:rPr>
          <w:rFonts w:hint="eastAsia" w:ascii="仿宋_GB2312" w:hAnsi="仿宋" w:eastAsia="仿宋_GB2312"/>
          <w:sz w:val="32"/>
          <w:szCs w:val="32"/>
        </w:rPr>
      </w:pPr>
      <w:r>
        <w:rPr>
          <w:rFonts w:hint="eastAsia" w:ascii="仿宋_GB2312" w:hAnsi="仿宋" w:eastAsia="仿宋_GB2312"/>
          <w:sz w:val="32"/>
          <w:szCs w:val="32"/>
        </w:rPr>
        <w:t>四是搞好专利工作，调动企业和个人开展发明创造和科技创新的积极性。</w:t>
      </w:r>
    </w:p>
    <w:p>
      <w:pPr>
        <w:ind w:firstLine="560"/>
        <w:rPr>
          <w:rFonts w:hint="eastAsia" w:ascii="仿宋_GB2312" w:hAnsi="仿宋" w:eastAsia="仿宋_GB2312"/>
          <w:sz w:val="32"/>
          <w:szCs w:val="32"/>
        </w:rPr>
      </w:pPr>
      <w:r>
        <w:rPr>
          <w:rFonts w:hint="eastAsia" w:ascii="仿宋_GB2312" w:hAnsi="仿宋" w:eastAsia="仿宋_GB2312"/>
          <w:sz w:val="32"/>
          <w:szCs w:val="32"/>
        </w:rPr>
        <w:t>五是抓好科技服务平台建设，重点抓好石家庄市无极县耕天下星创天地、无极极峰星创天地和青年创客空间建设。</w:t>
      </w:r>
    </w:p>
    <w:p>
      <w:pPr>
        <w:ind w:firstLine="560"/>
        <w:rPr>
          <w:rFonts w:hint="eastAsia" w:ascii="仿宋_GB2312" w:hAnsi="仿宋" w:eastAsia="仿宋_GB2312"/>
          <w:sz w:val="32"/>
          <w:szCs w:val="32"/>
        </w:rPr>
      </w:pPr>
      <w:r>
        <w:rPr>
          <w:rFonts w:hint="eastAsia" w:ascii="仿宋_GB2312" w:hAnsi="仿宋" w:eastAsia="仿宋_GB2312"/>
          <w:sz w:val="32"/>
          <w:szCs w:val="32"/>
        </w:rPr>
        <w:t>六是积极开展科普宣传活动，在科技活动周、科普之春活动期间，集中组织了内容丰富、形式多样的科普宣传活动，同时抓好科技培训和科技下乡。</w:t>
      </w:r>
    </w:p>
    <w:p>
      <w:pPr>
        <w:ind w:firstLine="560"/>
        <w:rPr>
          <w:rFonts w:hint="eastAsia" w:ascii="仿宋_GB2312" w:hAnsi="仿宋" w:eastAsia="仿宋_GB2312"/>
          <w:sz w:val="32"/>
          <w:szCs w:val="32"/>
        </w:rPr>
      </w:pPr>
      <w:r>
        <w:rPr>
          <w:rFonts w:hint="eastAsia" w:ascii="仿宋_GB2312" w:hAnsi="仿宋" w:eastAsia="仿宋_GB2312"/>
          <w:sz w:val="32"/>
          <w:szCs w:val="32"/>
        </w:rPr>
        <w:t>七是抓好地震工作，按时上报地震数据，搞好地震台站管理，同时抓好防震减灾知识宣传。</w:t>
      </w:r>
    </w:p>
    <w:p>
      <w:pPr>
        <w:ind w:left="600"/>
        <w:rPr>
          <w:rFonts w:hint="eastAsia" w:ascii="楷体_GB2312" w:hAnsi="楷体" w:eastAsia="楷体_GB2312"/>
          <w:sz w:val="32"/>
          <w:szCs w:val="32"/>
        </w:rPr>
      </w:pPr>
      <w:r>
        <w:rPr>
          <w:rFonts w:hint="eastAsia" w:ascii="楷体_GB2312" w:hAnsi="楷体" w:eastAsia="楷体_GB2312"/>
          <w:sz w:val="32"/>
          <w:szCs w:val="32"/>
        </w:rPr>
        <w:t>（二）职责分类绩效目标</w:t>
      </w:r>
    </w:p>
    <w:p>
      <w:pPr>
        <w:ind w:firstLine="640"/>
        <w:rPr>
          <w:rFonts w:hint="eastAsia" w:ascii="仿宋_GB2312" w:hAnsi="仿宋" w:eastAsia="仿宋_GB2312"/>
          <w:sz w:val="32"/>
          <w:szCs w:val="32"/>
        </w:rPr>
      </w:pPr>
      <w:r>
        <w:rPr>
          <w:rFonts w:hint="eastAsia" w:ascii="仿宋_GB2312" w:hAnsi="仿宋" w:eastAsia="仿宋_GB2312"/>
          <w:sz w:val="32"/>
          <w:szCs w:val="32"/>
        </w:rPr>
        <w:t>知识产权管理与保护    知识产权保护专业市场体系不健全，专利侵权违法行为得到有效遏制，知识产权维护援助与举报投诉服务能力提升，权利人合法权益得到较好维护。</w:t>
      </w:r>
    </w:p>
    <w:p>
      <w:pPr>
        <w:ind w:firstLine="640"/>
        <w:rPr>
          <w:rFonts w:hint="eastAsia" w:ascii="仿宋_GB2312" w:hAnsi="仿宋" w:eastAsia="仿宋_GB2312"/>
          <w:sz w:val="32"/>
          <w:szCs w:val="32"/>
        </w:rPr>
      </w:pPr>
      <w:r>
        <w:rPr>
          <w:rFonts w:hint="eastAsia" w:ascii="仿宋_GB2312" w:hAnsi="仿宋" w:eastAsia="仿宋_GB2312"/>
          <w:sz w:val="32"/>
          <w:szCs w:val="32"/>
        </w:rPr>
        <w:t>科技政务管理    各类科技管理业务工作谋划到位、开展有序，助推科技事业发展能力提升。</w:t>
      </w:r>
    </w:p>
    <w:p>
      <w:pPr>
        <w:ind w:firstLine="640"/>
        <w:rPr>
          <w:rFonts w:hint="eastAsia" w:ascii="仿宋_GB2312" w:hAnsi="仿宋" w:eastAsia="仿宋_GB2312"/>
          <w:sz w:val="32"/>
          <w:szCs w:val="32"/>
        </w:rPr>
      </w:pPr>
      <w:r>
        <w:rPr>
          <w:rFonts w:hint="eastAsia" w:ascii="仿宋_GB2312" w:hAnsi="仿宋" w:eastAsia="仿宋_GB2312"/>
          <w:sz w:val="32"/>
          <w:szCs w:val="32"/>
        </w:rPr>
        <w:t>科技创新项目支撑    发挥财政资金引导作用，推动科技型中小企业技术创新能力不断增强；发挥科技基金作用，逐步建立有利于促进企业自主创新的多元化、多层次、多渠道科技投融资体系。</w:t>
      </w:r>
    </w:p>
    <w:p>
      <w:pPr>
        <w:ind w:firstLine="645"/>
        <w:rPr>
          <w:rFonts w:hint="eastAsia" w:ascii="楷体_GB2312" w:hAnsi="楷体" w:eastAsia="楷体_GB2312"/>
          <w:sz w:val="32"/>
          <w:szCs w:val="32"/>
        </w:rPr>
      </w:pPr>
      <w:r>
        <w:rPr>
          <w:rFonts w:hint="eastAsia" w:ascii="楷体_GB2312" w:hAnsi="楷体" w:eastAsia="楷体_GB2312"/>
          <w:sz w:val="32"/>
          <w:szCs w:val="32"/>
        </w:rPr>
        <w:t>（三）部门职责-工作活动绩效目标</w:t>
      </w:r>
    </w:p>
    <w:p>
      <w:pPr>
        <w:jc w:val="center"/>
        <w:outlineLvl w:val="0"/>
        <w:rPr>
          <w:rFonts w:ascii="方正小标宋_GBK" w:eastAsia="方正小标宋_GBK"/>
          <w:color w:val="FFFFFF"/>
          <w:sz w:val="32"/>
        </w:rPr>
      </w:pPr>
      <w:bookmarkStart w:id="0" w:name="_Toc2341862"/>
      <w:r>
        <w:rPr>
          <w:rFonts w:hint="eastAsia" w:ascii="方正小标宋_GBK" w:eastAsia="方正小标宋_GBK"/>
          <w:sz w:val="32"/>
        </w:rPr>
        <w:t>部门职责-工作活动绩效目标</w:t>
      </w:r>
      <w:r>
        <w:rPr>
          <w:rStyle w:val="9"/>
          <w:rFonts w:ascii="方正小标宋_GBK" w:eastAsia="方正小标宋_GBK"/>
          <w:color w:val="FFFFFF"/>
          <w:sz w:val="32"/>
        </w:rPr>
        <w:footnoteReference w:id="0" w:customMarkFollows="1"/>
        <w:sym w:font="Symbol" w:char="F020"/>
      </w:r>
      <w:bookmarkEnd w:id="0"/>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306</w:t>
            </w:r>
            <w:r>
              <w:rPr>
                <w:rFonts w:hint="eastAsia" w:ascii="方正小标宋_GBK" w:eastAsia="方正小标宋_GBK"/>
                <w:sz w:val="24"/>
              </w:rPr>
              <w:t>科技局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一、科技创新项目支撑</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以促进产业转型升级、治理生态环境、改善民生等重大科技需求为重点，在高新技术、现代农业发展、生态环境治理与科技惠民等领域，实施关键共性技术应用示范；支持重大科技成果转化和产业化</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为产业转型升级、现代农业建设、和谐宜居环境创建和民生改善提供创新支撑；提升科技开放与合作的水平，提高科技成果转化和产业化能力</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、社会公益技术研究</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重点围绕大气污染防治、资源环境保护与利用、提升百姓健康水平和保障公共安全等社会公益方面开展关键技术及新产品的应用示范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应用示范一批改善生态环境、惠及民生的新技术、新工艺、新产品，科技支撑改善环境和惠及民生能力增强。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新技术应用率（</w:t>
            </w:r>
            <w:r>
              <w:rPr>
                <w:rFonts w:ascii="方正书宋_GBK" w:eastAsia="方正书宋_GBK"/>
              </w:rPr>
              <w:t>%</w:t>
            </w:r>
            <w:r>
              <w:rPr>
                <w:rFonts w:hint="eastAsia"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、现代农业技术研究</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推动农业科技创新，组织开展新品种、新技术、新产品的应用示范，解决制约现代农业发展和新农村建设的重大关键技术问题</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现代农业领域新技术、新品种、新产品的研究和应用水平进一步提升。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推广转化实用新技术数量（个）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、支持科技型中小企业技术创新</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和引导科技型中小企业开展技术创新；建立健全多元化、多层次的中小企业技术创新公共服务体系；壮大科技型中小企业创业投资引导基金规模，建立和完善融资风险补偿基金、科技成果转化引导基金、科技担保机制等；开展科技与金融的对接合作，搭建科技金融服务平台</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发挥财政资金引导作用，推动科技型中小企业技术创新能力不断增强；发挥科技基金作用，逐步建立有利于促进企业自主创新的多元化、多层次、多渠道科技投融资体系。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完成产品研发和产业化目标任务的企业比重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开展科技与金融合作的机构数量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二、科技创新环境建设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发挥政府职能作用，支持科技创新平台、创业平台建设，支持技术创新服务体系建设，实施科学技术奖励，加强科技人才引进培养，开展软科学研究，加强科学技术普及，打造技术创新良好环境。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创新体系进一步完善，政策环境进一步优化，人才团队进一步壮大，创新平台对产业技术创新的支撑和服务能力进一步增强。</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、科技创新平台建设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围绕我县经济社会和科技发展需求，进行建设引导支持和绩效评价奖励性后补助。</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科研开发能力和创新贡献持续提升。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引进和培养高层次人才数量（人）</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科技创新平台增加数量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、科技创业平台（基地）建设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加强科技园区建设，建立健全高新技术产业创新创业载体及科技中介服务体系，组织开展科技信息服务、科技特派员创新创业及培训等工作。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形成高新技术产业孵化链条；全县科技中介机构、创新创业基地等服务能力得到提升，科技特派员队伍不断壮大。</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高新区主要经济指标年增长率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科技企业孵化器孵化企业数量</w:t>
            </w:r>
            <w:r>
              <w:rPr>
                <w:rFonts w:ascii="方正书宋_GBK" w:eastAsia="方正书宋_GBK"/>
              </w:rPr>
              <w:t>(</w:t>
            </w:r>
            <w:r>
              <w:rPr>
                <w:rFonts w:hint="eastAsia" w:ascii="方正书宋_GBK" w:eastAsia="方正书宋_GBK"/>
              </w:rPr>
              <w:t>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、科技创新服务体系建设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科技基础条件服务平台建设；向社会提供科技信息、科技政策、专利情报、专业标准检索查询及专题咨询等服务；开展科技统计、分析与监测；推广应用创新方法，培育创新型企业；开展形式多样的科技交流活动。开展软科学研究和科学技术普及，打造科技创新软环境。</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科技资源面向社会开放共享程度提高；创新企业培育和创新方法应用推广取得成效；科普能力建设不断提升；服务政府决策能力增强，科技合作交流机制健全，科技信息服务能力不断增强。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应用创新方法解决企业技术或管理难题（项）</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创新型企业研发费用占主营业务收入比率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科技信息、技术咨询、科技宣传服务人次（人次）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、科技人才队伍建设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加快各类科技人才的引进、培养、选拔和使用。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引进、培养和选拔一批高层次科技人才。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高层次科技人才团队引进和培养的数量（个）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三、知识产权管理与保护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加强知识产权管理，促进知识产权运用，加大知识产权保护力度；加强知识产权宣传培训，加快知识产权服务业发展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知识产权管理、保护和运用水平不断提高，知识产权竞争优势明显，有效推进知识产权战略实施</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、知识产权管理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引导企业制定专利战略，规范企业知识产权管理</w:t>
            </w:r>
            <w:r>
              <w:rPr>
                <w:rFonts w:ascii="方正书宋_GBK" w:eastAsia="方正书宋_GBK"/>
              </w:rPr>
              <w:t>,</w:t>
            </w:r>
            <w:r>
              <w:rPr>
                <w:rFonts w:hint="eastAsia" w:ascii="方正书宋_GBK" w:eastAsia="方正书宋_GBK"/>
              </w:rPr>
              <w:t>培育知识产权竞争优势。健全专利奖励机制，促进专利转化。推进国家知识产权战略纲要实施。</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科技创新成果获得知识产权能力增强，科技型中小企业融资渠道拓宽，重点企业知识产权竞争优势进一步显现。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发明专利申请增长率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资助专利数（件）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、知识产权保护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依法及时调处专利纠纷案件，查处假冒专利行为，规范专业市场知识产权保护，提供知识产权维权援助与举报投诉服务，开展全县知识保护产权工作。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知识产权保护专业市场体系不断健全，专利侵权违法行为得到有效遏制，知识产权维权援助与举报投诉服务能力提升，权利人合法权益得到较好维护。</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专利案件结案率（</w:t>
            </w:r>
            <w:r>
              <w:rPr>
                <w:rFonts w:ascii="方正书宋_GBK" w:eastAsia="方正书宋_GBK"/>
              </w:rPr>
              <w:t>%</w:t>
            </w:r>
            <w:r>
              <w:rPr>
                <w:rFonts w:hint="eastAsia"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专利案件立案数（件）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专利执法检查次数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、知识产权服务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开展知识产权宣传普及和教育培训活动。促进专利服务业发展，加强专利代理中介机构监管。培育品牌服务机构，推动京津冀知识产权服务协同发展。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社会公众知识产权意识提高，知识产权服务业加快发展。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举办宣传活动数（次）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四、科技政务管理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负责机关综合业务管理和机关综合管理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确保各项业务工作谋划到位、顺利开展。保障机关工作正常高效运转。</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13.00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负责科技计划、项目及经费管理</w:t>
            </w:r>
            <w:r>
              <w:rPr>
                <w:rFonts w:ascii="方正书宋_GBK" w:eastAsia="方正书宋_GBK"/>
              </w:rPr>
              <w:t>,</w:t>
            </w:r>
            <w:r>
              <w:rPr>
                <w:rFonts w:hint="eastAsia" w:ascii="方正书宋_GBK" w:eastAsia="方正书宋_GBK"/>
              </w:rPr>
              <w:t>开展科技重点工作，开展科技宣传、科技调研、高新技术企业认定、技术市场管理、科技档案管理，科技成果管理、科普管理、科技评估管理、绩效评价管理、国防科技动员等综合业务。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各类科技管理业务工作谋划到位、开展有序，助推科技事业发展能力提升。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科技管理业务工作保障率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发布科技新闻数量（条）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高企新增数量</w:t>
            </w:r>
            <w:r>
              <w:rPr>
                <w:rFonts w:ascii="方正书宋_GBK" w:eastAsia="方正书宋_GBK"/>
              </w:rPr>
              <w:t>(</w:t>
            </w:r>
            <w:r>
              <w:rPr>
                <w:rFonts w:hint="eastAsia" w:ascii="方正书宋_GBK" w:eastAsia="方正书宋_GBK"/>
              </w:rPr>
              <w:t>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主要开展会议组织管理、信息化建设、机关财务和资产管理、标准化建设、人事管理、机关党工委、老干部工作以及直属企事业单位管理服务保障等工作。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ind w:firstLine="645"/>
        <w:jc w:val="center"/>
        <w:rPr>
          <w:rFonts w:ascii="仿宋" w:hAnsi="仿宋" w:eastAsia="仿宋"/>
          <w:sz w:val="32"/>
          <w:szCs w:val="32"/>
        </w:rPr>
      </w:pPr>
    </w:p>
    <w:p>
      <w:pPr>
        <w:ind w:firstLine="640"/>
        <w:jc w:val="left"/>
        <w:rPr>
          <w:rFonts w:ascii="黑体" w:hAnsi="黑体" w:eastAsia="黑体" w:cs="仿宋_GB2312"/>
          <w:sz w:val="32"/>
          <w:szCs w:val="32"/>
        </w:rPr>
      </w:pPr>
      <w:r>
        <w:rPr>
          <w:rFonts w:ascii="黑体" w:hAnsi="黑体" w:eastAsia="黑体" w:cs="仿宋_GB2312"/>
          <w:sz w:val="32"/>
          <w:szCs w:val="32"/>
        </w:rPr>
        <w:t>六、政府采购预算情况</w:t>
      </w:r>
    </w:p>
    <w:p>
      <w:pPr>
        <w:ind w:firstLine="645"/>
      </w:pPr>
      <w:r>
        <w:rPr>
          <w:rFonts w:ascii="仿宋_GB2312" w:hAnsi="仿宋_GB2312" w:eastAsia="仿宋_GB2312"/>
          <w:sz w:val="30"/>
          <w:szCs w:val="30"/>
        </w:rPr>
        <w:t>2019年我部门安排政府采购预算0元。</w:t>
      </w:r>
    </w:p>
    <w:p>
      <w:pPr>
        <w:ind w:firstLine="640"/>
        <w:jc w:val="left"/>
        <w:rPr>
          <w:rFonts w:ascii="黑体" w:hAnsi="黑体" w:eastAsia="黑体" w:cs="仿宋_GB2312"/>
          <w:sz w:val="32"/>
          <w:szCs w:val="32"/>
        </w:rPr>
      </w:pPr>
      <w:r>
        <w:rPr>
          <w:rFonts w:ascii="黑体" w:hAnsi="黑体" w:eastAsia="黑体" w:cs="仿宋_GB2312"/>
          <w:sz w:val="32"/>
          <w:szCs w:val="32"/>
        </w:rPr>
        <w:t>七、国有资产信息</w:t>
      </w:r>
    </w:p>
    <w:p>
      <w:pPr>
        <w:ind w:firstLine="688"/>
        <w:rPr>
          <w:rFonts w:hint="eastAsia" w:ascii="仿宋_GB2312" w:eastAsia="仿宋_GB2312"/>
        </w:rPr>
      </w:pPr>
      <w:r>
        <w:rPr>
          <w:rFonts w:hint="eastAsia" w:ascii="仿宋_GB2312" w:hAnsi="仿宋" w:eastAsia="仿宋_GB2312" w:cs="仿宋"/>
          <w:sz w:val="32"/>
          <w:szCs w:val="32"/>
        </w:rPr>
        <w:t>无极县科学技术局上年末固定资产金额为5.33万元（详见下表）。本年度拟购置固定资产金额为0万元。</w:t>
      </w:r>
    </w:p>
    <w:p>
      <w:pPr>
        <w:ind w:left="420"/>
        <w:jc w:val="center"/>
        <w:rPr>
          <w:rFonts w:hint="eastAsia" w:ascii="仿宋" w:hAnsi="仿宋"/>
          <w:sz w:val="32"/>
        </w:rPr>
      </w:pPr>
    </w:p>
    <w:p>
      <w:pPr>
        <w:ind w:left="420"/>
        <w:jc w:val="center"/>
        <w:rPr>
          <w:rFonts w:hint="eastAsia" w:ascii="仿宋" w:hAnsi="仿宋"/>
          <w:sz w:val="32"/>
        </w:rPr>
      </w:pPr>
    </w:p>
    <w:p>
      <w:pPr>
        <w:ind w:left="420"/>
        <w:jc w:val="center"/>
        <w:rPr>
          <w:rFonts w:ascii="仿宋" w:hAnsi="仿宋" w:eastAsia="仿宋"/>
          <w:sz w:val="32"/>
        </w:rPr>
      </w:pPr>
      <w:r>
        <w:rPr>
          <w:rFonts w:ascii="仿宋" w:hAnsi="仿宋" w:eastAsia="仿宋"/>
          <w:sz w:val="32"/>
        </w:rPr>
        <w:t>无极县科学技术局固定资产占用情况表</w:t>
      </w:r>
    </w:p>
    <w:tbl>
      <w:tblPr>
        <w:tblStyle w:val="7"/>
        <w:tblW w:w="14190" w:type="dxa"/>
        <w:tblInd w:w="93" w:type="dxa"/>
        <w:tblLayout w:type="autofit"/>
        <w:tblCellMar>
          <w:top w:w="0" w:type="dxa"/>
          <w:left w:w="108" w:type="dxa"/>
          <w:bottom w:w="0" w:type="dxa"/>
          <w:right w:w="108" w:type="dxa"/>
        </w:tblCellMar>
      </w:tblPr>
      <w:tblGrid>
        <w:gridCol w:w="4126"/>
        <w:gridCol w:w="1843"/>
        <w:gridCol w:w="8221"/>
      </w:tblGrid>
      <w:tr>
        <w:trPr>
          <w:trHeight w:val="510" w:hRule="atLeast"/>
        </w:trPr>
        <w:tc>
          <w:tcPr>
            <w:tcW w:w="5969" w:type="dxa"/>
            <w:gridSpan w:val="2"/>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编制部门：无极县科技局</w:t>
            </w:r>
          </w:p>
        </w:tc>
        <w:tc>
          <w:tcPr>
            <w:tcW w:w="8221" w:type="dxa"/>
            <w:shd w:val="clear" w:color="auto" w:fill="auto"/>
            <w:vAlign w:val="center"/>
          </w:tcPr>
          <w:p>
            <w:pPr>
              <w:widowControl/>
              <w:jc w:val="left"/>
            </w:pPr>
            <w:r>
              <w:rPr>
                <w:rFonts w:ascii="仿宋" w:hAnsi="仿宋" w:eastAsia="仿宋" w:cs="宋体"/>
                <w:kern w:val="0"/>
                <w:sz w:val="32"/>
                <w:szCs w:val="32"/>
              </w:rPr>
              <w:t xml:space="preserve">截止时间：2018年12月31日  </w:t>
            </w: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b/>
                <w:bCs/>
                <w:kern w:val="0"/>
                <w:sz w:val="32"/>
                <w:szCs w:val="32"/>
              </w:rPr>
            </w:pPr>
            <w:r>
              <w:rPr>
                <w:rFonts w:ascii="仿宋" w:hAnsi="仿宋" w:eastAsia="仿宋" w:cs="宋体"/>
                <w:b/>
                <w:bCs/>
                <w:kern w:val="0"/>
                <w:sz w:val="32"/>
                <w:szCs w:val="32"/>
              </w:rPr>
              <w:t>项   目</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b/>
                <w:bCs/>
                <w:kern w:val="0"/>
                <w:sz w:val="32"/>
                <w:szCs w:val="32"/>
              </w:rPr>
            </w:pPr>
            <w:r>
              <w:rPr>
                <w:rFonts w:ascii="仿宋" w:hAnsi="仿宋" w:eastAsia="仿宋" w:cs="宋体"/>
                <w:b/>
                <w:bCs/>
                <w:kern w:val="0"/>
                <w:sz w:val="32"/>
                <w:szCs w:val="32"/>
              </w:rPr>
              <w:t>数量</w:t>
            </w: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b/>
                <w:bCs/>
                <w:kern w:val="0"/>
                <w:sz w:val="32"/>
                <w:szCs w:val="32"/>
              </w:rPr>
            </w:pPr>
            <w:r>
              <w:rPr>
                <w:rFonts w:ascii="仿宋" w:hAnsi="仿宋" w:eastAsia="仿宋"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r>
              <w:rPr>
                <w:rFonts w:ascii="仿宋" w:hAnsi="仿宋" w:eastAsia="仿宋" w:cs="宋体"/>
                <w:kern w:val="0"/>
                <w:sz w:val="32"/>
                <w:szCs w:val="32"/>
              </w:rPr>
              <w:t>资产总额</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r>
              <w:rPr>
                <w:rFonts w:ascii="仿宋" w:hAnsi="仿宋" w:eastAsia="仿宋" w:cs="宋体"/>
                <w:kern w:val="0"/>
                <w:sz w:val="32"/>
                <w:szCs w:val="32"/>
              </w:rPr>
              <w:t>——</w:t>
            </w: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pPr>
            <w:r>
              <w:rPr>
                <w:rFonts w:ascii="仿宋" w:hAnsi="仿宋" w:eastAsia="仿宋" w:cs="宋体"/>
                <w:kern w:val="0"/>
                <w:sz w:val="32"/>
                <w:szCs w:val="32"/>
              </w:rPr>
              <w:t>5.33</w:t>
            </w: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1、房屋（平方米）</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其中：办公用房（平方米）</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2、车辆（台、辆）</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3、单价在20万元以上设备</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r>
              <w:rPr>
                <w:rFonts w:ascii="仿宋" w:hAnsi="仿宋" w:eastAsia="仿宋" w:cs="宋体"/>
                <w:kern w:val="0"/>
                <w:sz w:val="32"/>
                <w:szCs w:val="32"/>
              </w:rPr>
              <w:t>——</w:t>
            </w: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p>
        </w:tc>
      </w:tr>
      <w:tr>
        <w:tblPrEx>
          <w:tblCellMar>
            <w:top w:w="0" w:type="dxa"/>
            <w:left w:w="108" w:type="dxa"/>
            <w:bottom w:w="0" w:type="dxa"/>
            <w:right w:w="108" w:type="dxa"/>
          </w:tblCellMar>
        </w:tblPrEx>
        <w:trPr>
          <w:trHeight w:val="645" w:hRule="atLeast"/>
        </w:trPr>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仿宋" w:hAnsi="仿宋" w:eastAsia="仿宋" w:cs="宋体"/>
                <w:kern w:val="0"/>
                <w:sz w:val="32"/>
                <w:szCs w:val="32"/>
              </w:rPr>
            </w:pPr>
            <w:r>
              <w:rPr>
                <w:rFonts w:ascii="仿宋" w:hAnsi="仿宋" w:eastAsia="仿宋" w:cs="宋体"/>
                <w:kern w:val="0"/>
                <w:sz w:val="32"/>
                <w:szCs w:val="32"/>
              </w:rPr>
              <w:t>4、其他固定资产</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kern w:val="0"/>
                <w:sz w:val="32"/>
                <w:szCs w:val="32"/>
              </w:rPr>
            </w:pPr>
            <w:r>
              <w:rPr>
                <w:rFonts w:ascii="仿宋" w:hAnsi="仿宋" w:eastAsia="仿宋" w:cs="宋体"/>
                <w:kern w:val="0"/>
                <w:sz w:val="32"/>
                <w:szCs w:val="32"/>
              </w:rPr>
              <w:t>——</w:t>
            </w:r>
          </w:p>
        </w:tc>
        <w:tc>
          <w:tcPr>
            <w:tcW w:w="82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pPr>
            <w:r>
              <w:rPr>
                <w:rFonts w:ascii="仿宋" w:hAnsi="仿宋" w:eastAsia="仿宋" w:cs="宋体"/>
                <w:kern w:val="0"/>
                <w:sz w:val="32"/>
                <w:szCs w:val="32"/>
              </w:rPr>
              <w:t>5.33</w:t>
            </w:r>
          </w:p>
        </w:tc>
      </w:tr>
    </w:tbl>
    <w:p>
      <w:pPr>
        <w:ind w:left="420"/>
        <w:jc w:val="center"/>
        <w:rPr>
          <w:rFonts w:ascii="仿宋" w:hAnsi="仿宋" w:eastAsia="仿宋"/>
          <w:sz w:val="32"/>
        </w:rPr>
      </w:pPr>
    </w:p>
    <w:p>
      <w:pPr>
        <w:ind w:firstLine="640"/>
        <w:jc w:val="left"/>
        <w:rPr>
          <w:rFonts w:ascii="黑体" w:hAnsi="黑体" w:eastAsia="黑体" w:cs="仿宋_GB2312"/>
          <w:sz w:val="32"/>
          <w:szCs w:val="32"/>
        </w:rPr>
      </w:pPr>
      <w:r>
        <w:rPr>
          <w:rFonts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1.财政拨款收入</w:t>
      </w:r>
    </w:p>
    <w:p>
      <w:pPr>
        <w:ind w:firstLine="720"/>
        <w:rPr>
          <w:rFonts w:hint="eastAsia"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2.基本支出、项目支出</w:t>
      </w:r>
    </w:p>
    <w:p>
      <w:pPr>
        <w:ind w:firstLine="720"/>
        <w:rPr>
          <w:rFonts w:hint="eastAsia"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hint="eastAsia"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3.一般公共服务支出</w:t>
      </w:r>
    </w:p>
    <w:p>
      <w:pPr>
        <w:ind w:firstLine="720"/>
        <w:rPr>
          <w:rFonts w:hint="eastAsia"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4.文化体育与传媒支出</w:t>
      </w:r>
    </w:p>
    <w:p>
      <w:pPr>
        <w:ind w:firstLine="720"/>
        <w:rPr>
          <w:rFonts w:hint="eastAsia"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5.社会保障和就业支出</w:t>
      </w:r>
    </w:p>
    <w:p>
      <w:pPr>
        <w:ind w:firstLine="720"/>
        <w:rPr>
          <w:rFonts w:hint="eastAsia"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6.机关运行经费</w:t>
      </w:r>
    </w:p>
    <w:p>
      <w:pPr>
        <w:ind w:firstLine="720"/>
        <w:rPr>
          <w:rFonts w:hint="eastAsia"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7.“三公”经费</w:t>
      </w:r>
    </w:p>
    <w:p>
      <w:pPr>
        <w:ind w:firstLine="720"/>
        <w:rPr>
          <w:rFonts w:hint="eastAsia"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hint="eastAsia"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hint="eastAsia"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hint="eastAsia"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ind w:firstLine="640"/>
        <w:jc w:val="left"/>
        <w:rPr>
          <w:rFonts w:ascii="黑体" w:hAnsi="黑体" w:eastAsia="黑体"/>
          <w:sz w:val="32"/>
          <w:szCs w:val="32"/>
        </w:rPr>
      </w:pPr>
      <w:r>
        <w:rPr>
          <w:rFonts w:ascii="黑体" w:hAnsi="黑体" w:eastAsia="黑体" w:cs="仿宋_GB2312"/>
          <w:sz w:val="32"/>
          <w:szCs w:val="32"/>
        </w:rPr>
        <w:t>九、其他需要说明的事项</w:t>
      </w:r>
    </w:p>
    <w:p>
      <w:pPr>
        <w:ind w:firstLine="688"/>
        <w:rPr>
          <w:rFonts w:hint="eastAsia" w:ascii="仿宋_GB2312" w:eastAsia="仿宋_GB2312"/>
        </w:rPr>
      </w:pPr>
      <w:r>
        <w:rPr>
          <w:rFonts w:hint="eastAsia" w:ascii="仿宋_GB2312" w:hAnsi="仿宋" w:eastAsia="仿宋_GB2312"/>
          <w:sz w:val="32"/>
          <w:szCs w:val="32"/>
        </w:rPr>
        <w:t>无。</w:t>
      </w:r>
    </w:p>
    <w:sectPr>
      <w:pgSz w:w="16838" w:h="11906" w:orient="landscape"/>
      <w:pgMar w:top="1800" w:right="1440" w:bottom="1800" w:left="1440" w:header="0" w:footer="0" w:gutter="0"/>
      <w:cols w:space="720" w:num="1"/>
      <w:formProt w:val="0"/>
      <w:docGrid w:type="lines" w:linePitch="312" w:charSpace="593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64D3D55"/>
    <w:multiLevelType w:val="multilevel"/>
    <w:tmpl w:val="764D3D55"/>
    <w:lvl w:ilvl="0" w:tentative="0">
      <w:start w:val="1"/>
      <w:numFmt w:val="taiwaneseCountingThousand"/>
      <w:lvlText w:val="（%1）"/>
      <w:lvlJc w:val="left"/>
      <w:pPr>
        <w:ind w:left="1680" w:hanging="1080"/>
      </w:p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characterSpacingControl w:val="doNotCompress"/>
  <w:footnotePr>
    <w:footnote w:id="2"/>
    <w:footnote w:id="3"/>
  </w:footnotePr>
  <w:compat>
    <w:doNotExpandShiftReturn/>
    <w:useFELayout/>
    <w:compatSetting w:name="compatibilityMode" w:uri="http://schemas.microsoft.com/office/word" w:val="12"/>
  </w:compat>
  <w:rsids>
    <w:rsidRoot w:val="00252C08"/>
    <w:rsid w:val="001A3915"/>
    <w:rsid w:val="00213193"/>
    <w:rsid w:val="00252C08"/>
    <w:rsid w:val="002E1C0E"/>
    <w:rsid w:val="004C6E1A"/>
    <w:rsid w:val="00891D34"/>
    <w:rsid w:val="00A23C47"/>
    <w:rsid w:val="00AB3764"/>
    <w:rsid w:val="00C212DB"/>
    <w:rsid w:val="00C3259B"/>
    <w:rsid w:val="00DF2C2C"/>
    <w:rsid w:val="00E948D6"/>
    <w:rsid w:val="00F33A73"/>
    <w:rsid w:val="23F93F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cs="Times New Roman" w:eastAsiaTheme="minorEastAsia"/>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uiPriority w:val="0"/>
    <w:pPr>
      <w:spacing w:after="140" w:line="276" w:lineRule="auto"/>
    </w:pPr>
  </w:style>
  <w:style w:type="paragraph" w:styleId="3">
    <w:name w:val="footer"/>
    <w:basedOn w:val="1"/>
    <w:link w:val="19"/>
    <w:semiHidden/>
    <w:unhideWhenUsed/>
    <w:uiPriority w:val="99"/>
    <w:pPr>
      <w:tabs>
        <w:tab w:val="center" w:pos="4153"/>
        <w:tab w:val="right" w:pos="8306"/>
      </w:tabs>
      <w:snapToGrid w:val="0"/>
      <w:jc w:val="left"/>
    </w:pPr>
    <w:rPr>
      <w:sz w:val="18"/>
      <w:szCs w:val="18"/>
    </w:rPr>
  </w:style>
  <w:style w:type="paragraph" w:styleId="4">
    <w:name w:val="header"/>
    <w:basedOn w:val="1"/>
    <w:link w:val="18"/>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List"/>
    <w:basedOn w:val="2"/>
    <w:uiPriority w:val="0"/>
    <w:rPr>
      <w:rFonts w:cs="Arial"/>
    </w:rPr>
  </w:style>
  <w:style w:type="paragraph" w:styleId="6">
    <w:name w:val="footnote text"/>
    <w:basedOn w:val="1"/>
    <w:link w:val="20"/>
    <w:semiHidden/>
    <w:uiPriority w:val="0"/>
    <w:pPr>
      <w:snapToGrid w:val="0"/>
      <w:jc w:val="left"/>
    </w:pPr>
    <w:rPr>
      <w:rFonts w:eastAsia="宋体"/>
      <w:sz w:val="18"/>
      <w:szCs w:val="18"/>
    </w:rPr>
  </w:style>
  <w:style w:type="character" w:styleId="9">
    <w:name w:val="footnote reference"/>
    <w:basedOn w:val="8"/>
    <w:semiHidden/>
    <w:uiPriority w:val="0"/>
    <w:rPr>
      <w:vertAlign w:val="superscript"/>
    </w:rPr>
  </w:style>
  <w:style w:type="character" w:customStyle="1" w:styleId="10">
    <w:name w:val="页眉 字符"/>
    <w:basedOn w:val="8"/>
    <w:qFormat/>
    <w:uiPriority w:val="99"/>
    <w:rPr>
      <w:rFonts w:ascii="Times New Roman" w:hAnsi="Times New Roman" w:eastAsia="宋体" w:cs="Times New Roman"/>
      <w:sz w:val="18"/>
      <w:szCs w:val="18"/>
    </w:rPr>
  </w:style>
  <w:style w:type="character" w:customStyle="1" w:styleId="11">
    <w:name w:val="页脚 字符"/>
    <w:basedOn w:val="8"/>
    <w:qFormat/>
    <w:uiPriority w:val="99"/>
    <w:rPr>
      <w:rFonts w:ascii="Times New Roman" w:hAnsi="Times New Roman" w:eastAsia="宋体" w:cs="Times New Roman"/>
      <w:sz w:val="18"/>
      <w:szCs w:val="18"/>
    </w:rPr>
  </w:style>
  <w:style w:type="paragraph" w:customStyle="1" w:styleId="12">
    <w:name w:val="标题样式"/>
    <w:basedOn w:val="1"/>
    <w:next w:val="2"/>
    <w:qFormat/>
    <w:uiPriority w:val="0"/>
    <w:pPr>
      <w:keepNext/>
      <w:spacing w:before="240" w:after="120"/>
    </w:pPr>
    <w:rPr>
      <w:rFonts w:ascii="Arial" w:hAnsi="Arial" w:eastAsia="微软雅黑" w:cs="Arial"/>
      <w:sz w:val="28"/>
      <w:szCs w:val="28"/>
    </w:rPr>
  </w:style>
  <w:style w:type="paragraph" w:customStyle="1" w:styleId="13">
    <w:name w:val="Caption"/>
    <w:basedOn w:val="1"/>
    <w:qFormat/>
    <w:uiPriority w:val="0"/>
    <w:pPr>
      <w:suppressLineNumbers/>
      <w:spacing w:before="120" w:after="120"/>
    </w:pPr>
    <w:rPr>
      <w:rFonts w:cs="Arial"/>
      <w:i/>
      <w:iCs/>
      <w:sz w:val="24"/>
    </w:rPr>
  </w:style>
  <w:style w:type="paragraph" w:customStyle="1" w:styleId="14">
    <w:name w:val="索引"/>
    <w:basedOn w:val="1"/>
    <w:qFormat/>
    <w:uiPriority w:val="0"/>
    <w:pPr>
      <w:suppressLineNumbers/>
    </w:pPr>
    <w:rPr>
      <w:rFonts w:cs="Arial"/>
    </w:rPr>
  </w:style>
  <w:style w:type="paragraph" w:customStyle="1" w:styleId="15">
    <w:name w:val="Header"/>
    <w:basedOn w:val="1"/>
    <w:unhideWhenUsed/>
    <w:uiPriority w:val="99"/>
    <w:pPr>
      <w:pBdr>
        <w:bottom w:val="single" w:color="000000" w:sz="6" w:space="1"/>
      </w:pBdr>
      <w:tabs>
        <w:tab w:val="center" w:pos="4153"/>
        <w:tab w:val="right" w:pos="8306"/>
      </w:tabs>
      <w:snapToGrid w:val="0"/>
      <w:jc w:val="center"/>
    </w:pPr>
    <w:rPr>
      <w:sz w:val="18"/>
      <w:szCs w:val="18"/>
    </w:rPr>
  </w:style>
  <w:style w:type="paragraph" w:customStyle="1" w:styleId="16">
    <w:name w:val="Footer"/>
    <w:basedOn w:val="1"/>
    <w:unhideWhenUsed/>
    <w:uiPriority w:val="99"/>
    <w:pPr>
      <w:tabs>
        <w:tab w:val="center" w:pos="4153"/>
        <w:tab w:val="right" w:pos="8306"/>
      </w:tabs>
      <w:snapToGrid w:val="0"/>
      <w:jc w:val="left"/>
    </w:pPr>
    <w:rPr>
      <w:sz w:val="18"/>
      <w:szCs w:val="18"/>
    </w:rPr>
  </w:style>
  <w:style w:type="paragraph" w:styleId="17">
    <w:name w:val="List Paragraph"/>
    <w:basedOn w:val="1"/>
    <w:qFormat/>
    <w:uiPriority w:val="34"/>
    <w:pPr>
      <w:ind w:firstLine="420"/>
    </w:pPr>
  </w:style>
  <w:style w:type="character" w:customStyle="1" w:styleId="18">
    <w:name w:val="页眉 Char"/>
    <w:basedOn w:val="8"/>
    <w:link w:val="4"/>
    <w:semiHidden/>
    <w:uiPriority w:val="99"/>
    <w:rPr>
      <w:rFonts w:ascii="Times New Roman" w:hAnsi="Times New Roman" w:cs="Times New Roman"/>
      <w:sz w:val="18"/>
      <w:szCs w:val="18"/>
    </w:rPr>
  </w:style>
  <w:style w:type="character" w:customStyle="1" w:styleId="19">
    <w:name w:val="页脚 Char"/>
    <w:basedOn w:val="8"/>
    <w:link w:val="3"/>
    <w:semiHidden/>
    <w:uiPriority w:val="99"/>
    <w:rPr>
      <w:rFonts w:ascii="Times New Roman" w:hAnsi="Times New Roman" w:cs="Times New Roman"/>
      <w:sz w:val="18"/>
      <w:szCs w:val="18"/>
    </w:rPr>
  </w:style>
  <w:style w:type="character" w:customStyle="1" w:styleId="20">
    <w:name w:val="脚注文本 Char"/>
    <w:basedOn w:val="8"/>
    <w:link w:val="6"/>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14</Pages>
  <Words>794</Words>
  <Characters>4531</Characters>
  <Lines>37</Lines>
  <Paragraphs>10</Paragraphs>
  <TotalTime>120</TotalTime>
  <ScaleCrop>false</ScaleCrop>
  <LinksUpToDate>false</LinksUpToDate>
  <CharactersWithSpaces>5315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2024-01-16T05:56:40Z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微软中国</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KSOProductBuildVer">
    <vt:lpwstr>2052-11.8.2.11813</vt:lpwstr>
  </property>
  <property fmtid="{D5CDD505-2E9C-101B-9397-08002B2CF9AE}" pid="10" name="ICV">
    <vt:lpwstr>358DE809D6E447E5AF206E87C77B4720</vt:lpwstr>
  </property>
</Properties>
</file>