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130" w:firstLineChars="935"/>
        <w:rPr>
          <w:rFonts w:ascii="宋体" w:hAnsi="宋体" w:cs="宋体"/>
          <w:b/>
          <w:bCs/>
          <w:sz w:val="44"/>
          <w:szCs w:val="44"/>
        </w:rPr>
      </w:pPr>
      <w:r>
        <w:rPr>
          <w:rFonts w:hint="eastAsia" w:ascii="宋体" w:hAnsi="宋体" w:cs="宋体"/>
          <w:b/>
          <w:bCs/>
          <w:sz w:val="44"/>
          <w:szCs w:val="44"/>
        </w:rPr>
        <w:t>无极县安全生产监督管理局</w:t>
      </w:r>
    </w:p>
    <w:p>
      <w:pPr>
        <w:jc w:val="center"/>
        <w:rPr>
          <w:rFonts w:ascii="宋体" w:hAnsi="宋体" w:cs="宋体"/>
          <w:b/>
          <w:bCs/>
          <w:sz w:val="44"/>
          <w:szCs w:val="44"/>
        </w:rPr>
      </w:pPr>
      <w:bookmarkStart w:id="0" w:name="_GoBack"/>
      <w:r>
        <w:rPr>
          <w:rFonts w:hint="eastAsia" w:ascii="宋体" w:hAnsi="宋体" w:cs="宋体"/>
          <w:b/>
          <w:bCs/>
          <w:sz w:val="44"/>
          <w:szCs w:val="44"/>
        </w:rPr>
        <w:t>2017年部门预算信息公开说明目录</w:t>
      </w:r>
    </w:p>
    <w:bookmarkEnd w:id="0"/>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、《地方预决算公开操作规程》和《河北省省级预算公开办法》规定，现将无极县安全生产监督管理局2017年部门预算公开如下：</w:t>
      </w:r>
    </w:p>
    <w:p>
      <w:pPr>
        <w:pStyle w:val="9"/>
        <w:numPr>
          <w:ilvl w:val="0"/>
          <w:numId w:val="1"/>
        </w:numPr>
        <w:ind w:firstLineChars="0"/>
        <w:rPr>
          <w:rFonts w:ascii="黑体" w:hAnsi="黑体" w:eastAsia="黑体" w:cs="仿宋_GB2312"/>
          <w:sz w:val="32"/>
          <w:szCs w:val="32"/>
        </w:rPr>
      </w:pPr>
      <w:r>
        <w:rPr>
          <w:rFonts w:hint="eastAsia" w:ascii="黑体" w:hAnsi="黑体" w:eastAsia="黑体" w:cs="仿宋_GB2312"/>
          <w:sz w:val="32"/>
          <w:szCs w:val="32"/>
        </w:rPr>
        <w:t>部门职责及机构设置情况</w:t>
      </w:r>
    </w:p>
    <w:p>
      <w:pPr>
        <w:ind w:firstLine="640" w:firstLineChars="200"/>
        <w:rPr>
          <w:rFonts w:hint="eastAsia" w:ascii="楷体" w:hAnsi="楷体" w:eastAsia="楷体" w:cs="仿宋"/>
          <w:sz w:val="32"/>
          <w:szCs w:val="32"/>
        </w:rPr>
      </w:pPr>
      <w:r>
        <w:rPr>
          <w:rFonts w:hint="eastAsia" w:ascii="楷体" w:hAnsi="楷体" w:eastAsia="楷体" w:cs="仿宋"/>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
          <w:sz w:val="32"/>
          <w:szCs w:val="32"/>
        </w:rPr>
        <w:t>1、对本县行政区域内安全生产工作实施综合监督管理、指导、协调和监督政府有关部门及乡镇履行安全生产监督和管理职责，分析、预测安全生产形势，拟定安全生产工作规划，依法履行安全生产综合监督管理职责。</w:t>
      </w:r>
    </w:p>
    <w:p>
      <w:pPr>
        <w:ind w:firstLine="640" w:firstLineChars="200"/>
        <w:rPr>
          <w:rFonts w:ascii="仿宋" w:hAnsi="仿宋" w:eastAsia="仿宋" w:cs="仿宋"/>
          <w:sz w:val="32"/>
          <w:szCs w:val="32"/>
        </w:rPr>
      </w:pPr>
      <w:r>
        <w:rPr>
          <w:rFonts w:hint="eastAsia" w:ascii="仿宋" w:hAnsi="仿宋" w:eastAsia="仿宋" w:cs="仿宋"/>
          <w:sz w:val="32"/>
          <w:szCs w:val="32"/>
        </w:rPr>
        <w:t>2、研究起草安全生产方面的规章制度草案，制定相关政策并组织实施；负责安全生产重大问题的调查研究，并提出对策和建议。</w:t>
      </w:r>
    </w:p>
    <w:p>
      <w:pPr>
        <w:ind w:firstLine="640" w:firstLineChars="200"/>
        <w:rPr>
          <w:rFonts w:ascii="仿宋" w:hAnsi="仿宋" w:eastAsia="仿宋" w:cs="仿宋"/>
          <w:sz w:val="32"/>
          <w:szCs w:val="32"/>
        </w:rPr>
      </w:pPr>
      <w:r>
        <w:rPr>
          <w:rFonts w:hint="eastAsia" w:ascii="仿宋" w:hAnsi="仿宋" w:eastAsia="仿宋" w:cs="仿宋"/>
          <w:sz w:val="32"/>
          <w:szCs w:val="32"/>
        </w:rPr>
        <w:t>3、负责统计安全生产事故，发布安全生产信息；依法组织调查处理安全生产事故，提出安全生产责任追究意见并监督事故查处的落实情况；组织、协调安全生产事故应急救援工作。</w:t>
      </w:r>
    </w:p>
    <w:p>
      <w:pPr>
        <w:ind w:firstLine="640" w:firstLineChars="200"/>
        <w:rPr>
          <w:rFonts w:ascii="仿宋" w:hAnsi="仿宋" w:eastAsia="仿宋" w:cs="仿宋"/>
          <w:sz w:val="32"/>
          <w:szCs w:val="32"/>
        </w:rPr>
      </w:pPr>
      <w:r>
        <w:rPr>
          <w:rFonts w:hint="eastAsia" w:ascii="仿宋" w:hAnsi="仿宋" w:eastAsia="仿宋" w:cs="仿宋"/>
          <w:sz w:val="32"/>
          <w:szCs w:val="32"/>
        </w:rPr>
        <w:t>4、依法监督检查新建、改建、扩建工程项目的安全设施与主体工程同时设计、同时施工、同时投产使用情况。</w:t>
      </w:r>
    </w:p>
    <w:p>
      <w:pPr>
        <w:ind w:firstLine="640" w:firstLineChars="200"/>
        <w:rPr>
          <w:rFonts w:ascii="仿宋" w:hAnsi="仿宋" w:eastAsia="仿宋" w:cs="仿宋"/>
          <w:sz w:val="32"/>
          <w:szCs w:val="32"/>
        </w:rPr>
      </w:pPr>
      <w:r>
        <w:rPr>
          <w:rFonts w:hint="eastAsia" w:ascii="仿宋" w:hAnsi="仿宋" w:eastAsia="仿宋" w:cs="仿宋"/>
          <w:sz w:val="32"/>
          <w:szCs w:val="32"/>
        </w:rPr>
        <w:t>5、依法监督检查生产经营单位贯彻执行安全生产方面法律、法规情况，作业场所职业卫生情况和重大危险源监控、重大事故隐患的整改工作，及其安全生产条件和有关设备设施（特种设备除外）、劳动防护用品的安全生产管理工作，依法查处不具备安全生产条件的生产经营单位。</w:t>
      </w:r>
    </w:p>
    <w:p>
      <w:pPr>
        <w:ind w:firstLine="640" w:firstLineChars="200"/>
        <w:rPr>
          <w:rFonts w:ascii="仿宋" w:hAnsi="仿宋" w:eastAsia="仿宋" w:cs="仿宋"/>
          <w:sz w:val="32"/>
          <w:szCs w:val="32"/>
        </w:rPr>
      </w:pPr>
      <w:r>
        <w:rPr>
          <w:rFonts w:hint="eastAsia" w:ascii="仿宋" w:hAnsi="仿宋" w:eastAsia="仿宋" w:cs="仿宋"/>
          <w:sz w:val="32"/>
          <w:szCs w:val="32"/>
        </w:rPr>
        <w:t>6、负责从事安全生产评价、咨询、检测、检验等社会中介组织的资质管理，并进行监督检查。</w:t>
      </w:r>
    </w:p>
    <w:p>
      <w:pPr>
        <w:ind w:firstLine="640" w:firstLineChars="200"/>
        <w:rPr>
          <w:rFonts w:ascii="仿宋" w:hAnsi="仿宋" w:eastAsia="仿宋" w:cs="仿宋"/>
          <w:sz w:val="32"/>
          <w:szCs w:val="32"/>
        </w:rPr>
      </w:pPr>
      <w:r>
        <w:rPr>
          <w:rFonts w:hint="eastAsia" w:ascii="仿宋" w:hAnsi="仿宋" w:eastAsia="仿宋" w:cs="仿宋"/>
          <w:sz w:val="32"/>
          <w:szCs w:val="32"/>
        </w:rPr>
        <w:t>7、负责组织安全生产宣传教育、依法负责安全生产方面的培训、考核工作。</w:t>
      </w:r>
    </w:p>
    <w:p>
      <w:pPr>
        <w:ind w:firstLine="640" w:firstLineChars="200"/>
        <w:rPr>
          <w:rFonts w:ascii="仿宋" w:hAnsi="仿宋" w:eastAsia="仿宋" w:cs="仿宋"/>
          <w:sz w:val="32"/>
          <w:szCs w:val="32"/>
        </w:rPr>
      </w:pPr>
      <w:r>
        <w:rPr>
          <w:rFonts w:hint="eastAsia" w:ascii="仿宋" w:hAnsi="仿宋" w:eastAsia="仿宋" w:cs="仿宋"/>
          <w:sz w:val="32"/>
          <w:szCs w:val="32"/>
        </w:rPr>
        <w:t>8、负责综合监督管理危险化学品和烟花爆竹的安全生产工作。</w:t>
      </w:r>
    </w:p>
    <w:p>
      <w:pPr>
        <w:ind w:firstLine="640" w:firstLineChars="200"/>
        <w:rPr>
          <w:rFonts w:ascii="仿宋" w:hAnsi="仿宋" w:eastAsia="仿宋" w:cs="仿宋"/>
          <w:sz w:val="32"/>
          <w:szCs w:val="32"/>
        </w:rPr>
      </w:pPr>
      <w:r>
        <w:rPr>
          <w:rFonts w:hint="eastAsia" w:ascii="仿宋" w:hAnsi="仿宋" w:eastAsia="仿宋" w:cs="仿宋"/>
          <w:sz w:val="32"/>
          <w:szCs w:val="32"/>
        </w:rPr>
        <w:t>9、负责县安全生产委员会办公室日常工作。</w:t>
      </w:r>
    </w:p>
    <w:p>
      <w:pPr>
        <w:ind w:firstLine="640" w:firstLineChars="200"/>
        <w:rPr>
          <w:rFonts w:ascii="仿宋" w:hAnsi="仿宋" w:eastAsia="仿宋" w:cs="仿宋"/>
          <w:sz w:val="32"/>
          <w:szCs w:val="32"/>
        </w:rPr>
      </w:pPr>
      <w:r>
        <w:rPr>
          <w:rFonts w:hint="eastAsia" w:ascii="仿宋" w:hAnsi="仿宋" w:eastAsia="仿宋" w:cs="仿宋"/>
          <w:sz w:val="32"/>
          <w:szCs w:val="32"/>
        </w:rPr>
        <w:t>10、承办县政府交办的其他事项。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549"/>
        <w:gridCol w:w="1559"/>
        <w:gridCol w:w="32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单位名称</w:t>
            </w:r>
          </w:p>
        </w:tc>
        <w:tc>
          <w:tcPr>
            <w:tcW w:w="1549"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单位性质</w:t>
            </w:r>
          </w:p>
        </w:tc>
        <w:tc>
          <w:tcPr>
            <w:tcW w:w="1559"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单位规格</w:t>
            </w:r>
          </w:p>
        </w:tc>
        <w:tc>
          <w:tcPr>
            <w:tcW w:w="3261" w:type="dxa"/>
            <w:vMerge w:val="restart"/>
            <w:vAlign w:val="center"/>
          </w:tcPr>
          <w:p>
            <w:pPr>
              <w:spacing w:line="300" w:lineRule="exact"/>
              <w:jc w:val="center"/>
              <w:rPr>
                <w:rFonts w:ascii="仿宋_GB2312" w:eastAsia="仿宋_GB2312"/>
                <w:b/>
                <w:sz w:val="32"/>
                <w:szCs w:val="32"/>
              </w:rPr>
            </w:pPr>
            <w:r>
              <w:rPr>
                <w:rFonts w:hint="eastAsia" w:ascii="仿宋_GB2312" w:eastAsia="仿宋_GB2312"/>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仿宋_GB2312" w:eastAsia="仿宋_GB2312"/>
                <w:sz w:val="32"/>
                <w:szCs w:val="32"/>
              </w:rPr>
            </w:pPr>
          </w:p>
        </w:tc>
        <w:tc>
          <w:tcPr>
            <w:tcW w:w="1549" w:type="dxa"/>
            <w:vMerge w:val="continue"/>
            <w:vAlign w:val="center"/>
          </w:tcPr>
          <w:p>
            <w:pPr>
              <w:spacing w:line="300" w:lineRule="exact"/>
              <w:jc w:val="left"/>
              <w:outlineLvl w:val="0"/>
              <w:rPr>
                <w:rFonts w:ascii="仿宋_GB2312" w:eastAsia="仿宋_GB2312"/>
                <w:sz w:val="32"/>
                <w:szCs w:val="32"/>
              </w:rPr>
            </w:pPr>
          </w:p>
        </w:tc>
        <w:tc>
          <w:tcPr>
            <w:tcW w:w="1559" w:type="dxa"/>
            <w:vMerge w:val="continue"/>
            <w:vAlign w:val="center"/>
          </w:tcPr>
          <w:p>
            <w:pPr>
              <w:spacing w:line="300" w:lineRule="exact"/>
              <w:jc w:val="left"/>
              <w:outlineLvl w:val="0"/>
              <w:rPr>
                <w:rFonts w:ascii="仿宋_GB2312" w:eastAsia="仿宋_GB2312"/>
                <w:sz w:val="32"/>
                <w:szCs w:val="32"/>
              </w:rPr>
            </w:pPr>
          </w:p>
        </w:tc>
        <w:tc>
          <w:tcPr>
            <w:tcW w:w="3261" w:type="dxa"/>
            <w:vMerge w:val="continue"/>
            <w:vAlign w:val="center"/>
          </w:tcPr>
          <w:p>
            <w:pPr>
              <w:spacing w:line="300" w:lineRule="exact"/>
              <w:jc w:val="left"/>
              <w:outlineLvl w:val="0"/>
              <w:rPr>
                <w:rFonts w:ascii="仿宋_GB2312" w:eastAsia="仿宋_GB2312"/>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4417" w:type="dxa"/>
            <w:vAlign w:val="center"/>
          </w:tcPr>
          <w:p>
            <w:pPr>
              <w:spacing w:line="300" w:lineRule="exact"/>
              <w:jc w:val="left"/>
              <w:rPr>
                <w:rFonts w:ascii="仿宋_GB2312" w:eastAsia="仿宋_GB2312"/>
                <w:sz w:val="32"/>
                <w:szCs w:val="32"/>
              </w:rPr>
            </w:pPr>
            <w:r>
              <w:rPr>
                <w:rFonts w:hint="eastAsia" w:ascii="仿宋_GB2312" w:eastAsia="仿宋_GB2312"/>
                <w:sz w:val="32"/>
                <w:szCs w:val="32"/>
              </w:rPr>
              <w:t>无极县安全生产监督管理局</w:t>
            </w:r>
          </w:p>
        </w:tc>
        <w:tc>
          <w:tcPr>
            <w:tcW w:w="1549"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行政</w:t>
            </w:r>
          </w:p>
        </w:tc>
        <w:tc>
          <w:tcPr>
            <w:tcW w:w="1559"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正科级</w:t>
            </w:r>
          </w:p>
        </w:tc>
        <w:tc>
          <w:tcPr>
            <w:tcW w:w="3261" w:type="dxa"/>
            <w:vAlign w:val="center"/>
          </w:tcPr>
          <w:p>
            <w:pPr>
              <w:spacing w:line="300" w:lineRule="exact"/>
              <w:jc w:val="center"/>
              <w:rPr>
                <w:rFonts w:ascii="仿宋_GB2312" w:eastAsia="仿宋_GB2312"/>
                <w:sz w:val="32"/>
                <w:szCs w:val="32"/>
              </w:rPr>
            </w:pPr>
            <w:r>
              <w:rPr>
                <w:rFonts w:hint="eastAsia" w:ascii="仿宋_GB2312" w:eastAsia="仿宋_GB2312"/>
                <w:sz w:val="32"/>
                <w:szCs w:val="32"/>
              </w:rPr>
              <w:t>财政拨款</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9"/>
        <w:numPr>
          <w:ilvl w:val="0"/>
          <w:numId w:val="2"/>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ind w:left="601" w:leftChars="286"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反映本部门当年全部收入，2017年预算收入519.48万元，其中一般公共预算收入421.98万元，其他收入97.50万元。</w:t>
      </w:r>
    </w:p>
    <w:p>
      <w:pPr>
        <w:pStyle w:val="9"/>
        <w:numPr>
          <w:ilvl w:val="0"/>
          <w:numId w:val="2"/>
        </w:numPr>
        <w:ind w:firstLineChars="0"/>
        <w:rPr>
          <w:rFonts w:ascii="楷体" w:hAnsi="楷体" w:eastAsia="楷体"/>
          <w:sz w:val="32"/>
          <w:szCs w:val="32"/>
        </w:rPr>
      </w:pPr>
      <w:r>
        <w:rPr>
          <w:rFonts w:hint="eastAsia" w:ascii="楷体" w:hAnsi="楷体" w:eastAsia="楷体"/>
          <w:sz w:val="32"/>
          <w:szCs w:val="32"/>
        </w:rPr>
        <w:t>支出说明</w:t>
      </w:r>
    </w:p>
    <w:p>
      <w:pPr>
        <w:ind w:left="601" w:leftChars="286" w:firstLine="640" w:firstLineChars="200"/>
        <w:rPr>
          <w:rFonts w:ascii="楷体" w:hAnsi="楷体" w:eastAsia="楷体"/>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我部门本年度支出预算的总体情况。2017年支出预算519.48万元，其中基本支出519.48万元，包括人员经费和日常公用经费；项目支出0万元。</w:t>
      </w:r>
    </w:p>
    <w:p>
      <w:pPr>
        <w:pStyle w:val="9"/>
        <w:numPr>
          <w:ilvl w:val="0"/>
          <w:numId w:val="2"/>
        </w:numPr>
        <w:ind w:firstLineChars="0"/>
        <w:rPr>
          <w:rFonts w:ascii="楷体" w:hAnsi="楷体" w:eastAsia="楷体"/>
          <w:sz w:val="32"/>
          <w:szCs w:val="32"/>
        </w:rPr>
      </w:pPr>
      <w:r>
        <w:rPr>
          <w:rFonts w:hint="eastAsia" w:ascii="楷体" w:hAnsi="楷体" w:eastAsia="楷体"/>
          <w:sz w:val="32"/>
          <w:szCs w:val="32"/>
        </w:rPr>
        <w:t>比上年增减情况</w:t>
      </w:r>
    </w:p>
    <w:p>
      <w:pPr>
        <w:ind w:left="601" w:leftChars="286" w:firstLine="640" w:firstLineChars="200"/>
        <w:rPr>
          <w:rFonts w:ascii="楷体" w:hAnsi="楷体" w:eastAsia="楷体"/>
          <w:sz w:val="32"/>
          <w:szCs w:val="32"/>
        </w:rPr>
      </w:pPr>
      <w:r>
        <w:rPr>
          <w:rFonts w:hint="eastAsia" w:ascii="仿宋_GB2312" w:hAnsi="仿宋_GB2312" w:eastAsia="仿宋_GB2312" w:cs="仿宋_GB2312"/>
          <w:sz w:val="32"/>
          <w:szCs w:val="32"/>
        </w:rPr>
        <w:t>2017年部门预算较2016年增长19.85万元，其中：基本支出增长19.85万元，主要是人员经费、办公费、邮电费、公用经费等比上年都有所增加。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2017年机关运行经费共计安排32.27万元，主要用于我部门日常办公，办公区水电费、日常维修，办公用房取暖费，办公用房物业管理费等日常运行支出。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2017年本部门安排“三公”经费 3.5万元。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2、公务用车购置0万元，运行维护费3万元。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3、公务接待费0.5万元。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2017年三公经费与上年相比增加1.5万元.其中：公务用车购置0万元，与上年持平，无增减变化；公务用车运行维护费 3万元，与上年相比增加1万元，主要原因是财政部门按规定标准安排公用车运行经费。</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确保年终安全生产事故起数和伤亡人员数实现双下降，并且达到上级下达的目标考核指标。</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制定年初工作计划，细化每项工作要求，严格落实季度和半年考核制度，从事前、事中做好安全监管指导工作，严格按照《安全生产法》赋予的职责，通过落实全年执法计划，结合全国“打非治违行动”、重要时期的专项监察等，对违法行为进行严厉打击，确保全年绩效目标考核合格。</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一、组织全县安全生产综合监督管理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承担全县安全生产综合监督管理责任，依法行使综合监督管理职权；根据《安全生产法》、《安全生产违法行为行政处罚办法》等法律法规，依法开展执法检查工作，对发现的安全生产违法行为依法进行行政处罚，遏制重特大事故发生，确保全县安全生产形势稳定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定期组织在全县开展安全生产督导检查活动，对重点行业和作业场所职业卫生安全生产加强行政执法监察，依法对违法行为实施行政处罚；不断加强安全生产监管能力建设，改善执法检测、监察检查等能力。加强重大危险源的监测、监控安全管理，建设县级监管体系；开展重大危险源执法检查工作。组织调查处理职业危害事故和违法违规行为；组织查处用人单位职业病危害事故。</w:t>
            </w:r>
            <w:r>
              <w:rPr>
                <w:rFonts w:ascii="方正书宋_GBK" w:eastAsia="方正书宋_GBK"/>
              </w:rPr>
              <w:t xml:space="preserve">  </w:t>
            </w:r>
            <w:r>
              <w:rPr>
                <w:rFonts w:hint="eastAsia" w:ascii="方正书宋_GBK" w:eastAsia="方正书宋_GBK"/>
              </w:rPr>
              <w:t>组织制订全县各行业隐患排查标准；组织开展安全生产事故专项调查；提出安全生产举报奖励意见；开展安全生产宣传教育活动，定期向社会公布安全生产重大事项情况；组织对安全生产责任人</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加强安全生产执法监察检查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定期组织在全县开展安全生产督导检查活动，对重点行业和作业场所职业卫生安全生产进行督导检查，加强行政执法监察，依法对违法行为实施行政处罚；不断加强安全生产监管能力建设，改善执法检测、监察检查等能力。</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通过督导检查全县安全生产，最大限度地发现、纠正、督促企业消除各类隐患，预防和减少事故的发生，确保全县安全生产形势持续稳定好转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行政处罚率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生产经营单位执法检查率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加强重大危险源安全管理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加强重大危险源的监测、监控、辨识与评估及登记建档、备案与核销等安全管理；建设县级重大危险源单位监管体系；开展重大危险源执法检查工作。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科学准确进行重大危险源等级界定；有效开展监测数据的综合分析、数据发布工作；督促企业切实加强危险源监控，有效治理隐患，落实监管责任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重大危险源企业备案率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危险源点安全运行率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重大危险源辨识、登记建档数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重大危险源备案数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加强职业危害防治及专项治理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承担工矿商贸作业场所（煤矿作业场所除外）职业卫生监督检查责任，依法颁发和管理职业卫生安全许可证，组织调查处理职业危害事故和违法违规行为；完成对水泥、石材加工行业以及重点行业的专项治理，组织查处用人单位职业病危害事故。</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开展职业病危害严重行业的专项治理，组织职业病危害项目申报工作，查处用人单位职业病危害事故和违法行为。</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群体性职业病危害事件发生次数</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树立职业卫生标杆示范企业数量</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职业病危害专项治理企业占比数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构建和完善安全生产监管体系</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实施行业及有关综合性安全生产规章、规程和工矿商贸安全生产标准；组织开展安全生产事故专项调查；提出安全生产举报奖励意见；开展安全生产宣传教育活动，定期向社会公布安全生产重大事项情况；组织全县安全生产目标管理及考核工作；促进企业全面落实安全生产诚信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基本建成全县安全生产隐患排查治理体系，提高生产经营单位建设标准，规范安全生产操作规程，提升特种作业人员安全操作能力和执法监察能力和水平，加大安全生产宣传和信息公开力度，提高全社会安全生产意识，提高事故调查工作的准确性、真实性和可靠性，组织完成安全生产责任目标考核，推进企业诚信和承诺制相关工作制度化、信息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安全事故有效处理率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ascii="方正书宋_GBK" w:eastAsia="方正书宋_GBK"/>
              </w:rPr>
              <w:t>A</w:t>
            </w:r>
            <w:r>
              <w:rPr>
                <w:rFonts w:hint="eastAsia" w:ascii="方正书宋_GBK" w:eastAsia="方正书宋_GBK"/>
              </w:rPr>
              <w:t>级以上企业比例</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信息平台功能实现情况</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安全培训达标率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安全生产标准化达标率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专项抽查覆盖率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监管覆盖率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促进安全生产科学技术研究与推广应用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组织有关企事业单位和科研院所开展全县安全生产创新科技成果研发和推广；按照国家统一要求，组织推荐申报国家安全生产科技成果。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完成科技成果奖励和推广应用工作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安全科技成果推广应用效果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事故下降</w:t>
            </w:r>
            <w:r>
              <w:rPr>
                <w:rFonts w:ascii="方正书宋_GBK" w:eastAsia="方正书宋_GBK"/>
              </w:rPr>
              <w:t>2%</w:t>
            </w:r>
            <w:r>
              <w:rPr>
                <w:rFonts w:hint="eastAsia" w:ascii="方正书宋_GBK" w:eastAsia="方正书宋_GBK"/>
              </w:rPr>
              <w:t>以上</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事故下降</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上升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优秀成果数量</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创新科技成果评选</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重点行业安全生产监管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按照分级、属地原则，依法监督检查工矿商贸生产经营单位贯彻执行安全生产法律法规情况及其安全生产条件和有关设备</w:t>
            </w:r>
            <w:r>
              <w:rPr>
                <w:rFonts w:ascii="方正书宋_GBK" w:eastAsia="方正书宋_GBK"/>
              </w:rPr>
              <w:t>(</w:t>
            </w:r>
            <w:r>
              <w:rPr>
                <w:rFonts w:hint="eastAsia" w:ascii="方正书宋_GBK" w:eastAsia="方正书宋_GBK"/>
              </w:rPr>
              <w:t>适用《特种设备安全监察条例》的特种设备除外</w:t>
            </w:r>
            <w:r>
              <w:rPr>
                <w:rFonts w:ascii="方正书宋_GBK" w:eastAsia="方正书宋_GBK"/>
              </w:rPr>
              <w:t>)</w:t>
            </w:r>
            <w:r>
              <w:rPr>
                <w:rFonts w:hint="eastAsia" w:ascii="方正书宋_GBK" w:eastAsia="方正书宋_GBK"/>
              </w:rPr>
              <w:t>、材料、劳动防护用品的安全管理工作；承担非煤矿山企业和危险化学品、烟花爆竹生产企业安全生产准入管理责任，依法组织实施安全生产准入制度；负责危险化学品安全监督管理综合工作和烟花爆竹安全生产监督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加强煤矿的安全生产执法、职业卫生监管和隐患排查力度；实施全县煤矿整合关闭等整顿政策；组织开展煤矿安全生产标准化和执法活动；监督指导煤矿安全事故隐患排查治理；监督</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加强高危重点行业、商贸及金属非金属矿山安全生产监管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加强高危行业安全生产事故排查和事故隐患治理力度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事故发生数</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事故有效处理率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排查高危生产经营企业（家）安全隐患企业数量</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隐患排查率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矿山整治率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加强煤炭安全监管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煤矿的安全生产执法、职业卫生监管和隐患排查力度；实施全县煤矿整合关闭等整顿政策；组织开展煤矿安全生产标准化和执法活动；监督指导煤矿安全事故隐患排查治理；监督指导煤矿灾害防治措施的落实；开展煤矿隐蔽致灾因素普查工作；组织对煤矿建设项目联合试运转审查；监督企业提升煤矿安全保障能力，组织煤矿新建、改扩建、资源整合项目设计审查。</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矿井安全质量标准、完成淘汰落后产能任务、消除灾害威胁危害；全县生产矿井安全质量标准化建设全部达标，力争实现动态达标；完成关闭整顿、淘汰落后产能目标任务；同时按设计要求实施煤矿建设项目联合试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煤矿事故有效处理率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安全质量标准化达标率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煤矿关停工作目标完成率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煤矿事故起数和死亡人数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低于国家下达目标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与国家下达目标持平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高于国家下达目标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大幅度高于国家下达目标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非煤矿山综合治理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对尾矿库进行必库和生态修复，实施石膏矿关闭退出，组织非煤矿山隐患排查活动，实施一批安全隐患治理项目，提升非煤矿山安全生产水平。</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消除危库、险库，完成尾矿库生态修复工作任务，完成石膏矿退出，实现非煤矿山事故起数和死亡人数双下降，坚决遏制较大以上事故。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隐患排查整改率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非煤矿山安全事故的减少量</w:t>
            </w:r>
          </w:p>
        </w:tc>
        <w:tc>
          <w:tcPr>
            <w:tcW w:w="737" w:type="dxa"/>
            <w:vAlign w:val="center"/>
          </w:tcPr>
          <w:p>
            <w:pPr>
              <w:spacing w:line="300" w:lineRule="exact"/>
              <w:jc w:val="center"/>
              <w:rPr>
                <w:rFonts w:ascii="方正书宋_GBK" w:eastAsia="方正书宋_GBK"/>
              </w:rPr>
            </w:pPr>
            <w:r>
              <w:rPr>
                <w:rFonts w:ascii="方正书宋_GBK" w:eastAsia="方正书宋_GBK"/>
              </w:rPr>
              <w:t>3</w:t>
            </w:r>
            <w:r>
              <w:rPr>
                <w:rFonts w:hint="eastAsia" w:ascii="方正书宋_GBK" w:eastAsia="方正书宋_GBK"/>
              </w:rPr>
              <w:t>起以上</w:t>
            </w:r>
          </w:p>
        </w:tc>
        <w:tc>
          <w:tcPr>
            <w:tcW w:w="737" w:type="dxa"/>
            <w:vAlign w:val="center"/>
          </w:tcPr>
          <w:p>
            <w:pPr>
              <w:spacing w:line="300" w:lineRule="exact"/>
              <w:jc w:val="center"/>
              <w:rPr>
                <w:rFonts w:ascii="方正书宋_GBK" w:eastAsia="方正书宋_GBK"/>
              </w:rPr>
            </w:pPr>
            <w:r>
              <w:rPr>
                <w:rFonts w:ascii="方正书宋_GBK" w:eastAsia="方正书宋_GBK"/>
              </w:rPr>
              <w:t>1</w:t>
            </w:r>
            <w:r>
              <w:rPr>
                <w:rFonts w:hint="eastAsia" w:ascii="方正书宋_GBK" w:eastAsia="方正书宋_GBK"/>
              </w:rPr>
              <w:t>起</w:t>
            </w:r>
            <w:r>
              <w:rPr>
                <w:rFonts w:ascii="方正书宋_GBK" w:eastAsia="方正书宋_GBK"/>
              </w:rPr>
              <w:t>-3</w:t>
            </w:r>
            <w:r>
              <w:rPr>
                <w:rFonts w:hint="eastAsia" w:ascii="方正书宋_GBK" w:eastAsia="方正书宋_GBK"/>
              </w:rPr>
              <w:t>起</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w:t>
            </w:r>
            <w:r>
              <w:rPr>
                <w:rFonts w:ascii="方正书宋_GBK" w:eastAsia="方正书宋_GBK"/>
              </w:rPr>
              <w:t>2016</w:t>
            </w:r>
            <w:r>
              <w:rPr>
                <w:rFonts w:hint="eastAsia" w:ascii="方正书宋_GBK" w:eastAsia="方正书宋_GBK"/>
              </w:rPr>
              <w:t>年持平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事故增加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尾矿库生态修复任务完成率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石膏矿关停取缔完成率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全县铁路道口安全管理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本县监护道口安全管理制度，会同县政府及铁路部门综合分析全县监护道口安全监护现状及存在问题，制定改进措施，并监督实施；组织全县监护道口安全大检查和专项督查，督促有关部门及时消除安全隐患；配合铁路有关部门对重大道口事故进行调查、处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确保本县铁路道口正常运转；实现道口雨后无积水，天寒无冻结，确保车辆行人安全和铁路交通通畅运行；降低铁路道口交通事故。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铁路交通运行情况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通畅运行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出现拥堵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发生交通事故</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发生死亡事故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铁路道口安全隐患排查整改率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铁路道口标准化创建情况</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组织指挥和协调全县安全生产应急救援</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安全生产指导预案编制和备案管理，组织应急救援演练，组织协调全县安全生产救援工作。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组织指导全县安全生产应急救援预案编制和备案管理，结合事故多发、易发，应急管理基础薄弱的地区、领域、时段、岗位等重点，组织开展实战化应急演练。</w:t>
            </w:r>
            <w:r>
              <w:rPr>
                <w:rFonts w:ascii="方正书宋_GBK" w:eastAsia="方正书宋_GBK"/>
              </w:rPr>
              <w:t xml:space="preserve">          </w:t>
            </w:r>
            <w:r>
              <w:rPr>
                <w:rFonts w:hint="eastAsia" w:ascii="方正书宋_GBK" w:eastAsia="方正书宋_GBK"/>
              </w:rPr>
              <w:t>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启动应急预案，组织协调救援力量、装备、专家参与救</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组织应急预案编制及应急演练</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组织指导全县安全生产应急救援预案编制和备案管理，结合事故多发、易发，应急管理基础薄弱的地区、领域、时段、岗位等重点，组织开展实战化应急演练。</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加强应急预案的管理与实施，及时组织锻炼应急救援队伍，切实提升应急处置能力。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专业救援队伍人员增长率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持平</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降低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应急预案演练完成率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应急演练次数</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加强应急救援体系建设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理顺应急救援工作机制，推动应急救援指挥中心和应急平台建设，提高突发事件的应急救援能力，保证政府及时采取应对措施，避免或降低事故及其危害程度。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应急管理人员培训人次</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应急救援中心设备有效运转率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应急救援装备、设备完好率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应急基地演练次数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应急救援平台功能实现率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组织实施应急处置与救援</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启动应急预案，组织协调救援力量、装备、专家参与救援，制定救援方案，科学施救，保障救援工作顺利进行</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增强组织协调能力，提高应急救援效果。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专业救援队伍人员增长率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应急预案演练完成率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应急救援任务有效完成率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安全生产政务管理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实施安全生产法规及标准制定</w:t>
            </w:r>
            <w:r>
              <w:rPr>
                <w:rFonts w:ascii="方正书宋_GBK" w:eastAsia="方正书宋_GBK"/>
              </w:rPr>
              <w:t>,</w:t>
            </w:r>
            <w:r>
              <w:rPr>
                <w:rFonts w:hint="eastAsia" w:ascii="方正书宋_GBK" w:eastAsia="方正书宋_GBK"/>
              </w:rPr>
              <w:t>编制安全生产规划，开展安全生产调研和相关政策制订；开展对外合作交流；加强行政审批管理；为保障机关履行安全生产监管基本职责提供必要条件。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制定全县安全生产发展战略和规划、指导系统业务活动；加强专项资金监管；开展对外合作交流；加强安全生产审批管理；信访接待、业务宣传、政务信息公开等工作；开展网上行政服务；依法行政等。</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做好会议组织管理、信息化建设与维护、机关财务和资产管理、标准化建设、基建及维修、大型设备购置、人事管理、党务管理、老干部工作等。负责直属企事业单位管理工作。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制定全县安全生产发展战略和规划、指导系统业务活动；开展安全生产专项调查研究，加强专项资金监管；开展对外合作交流；加强安全生产审批管理；信访接待、业务宣传、政务信息公开等工作；开展网上行政服务；依法行政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指导系统业务活动，依法开展网上行政服务。保障各项业务工作畅通。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做好会议组织管理、信息化建设与维护、机关财务和资产管理、标准化建设、基建及维修、大型设备购置、人事管理、党务管理、老干部工作等。负责直属企事业单位管理工作。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加强资产管理、完善机关基础建设，保障机关各项工作高效运转。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hint="eastAsia" w:ascii="仿宋_GB2312" w:eastAsia="仿宋_GB2312"/>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 xml:space="preserve">无极县安全生产监督管理局上年末固定资产金额为 </w:t>
      </w:r>
      <w:r>
        <w:rPr>
          <w:rFonts w:hint="eastAsia" w:ascii="仿宋_GB2312" w:eastAsia="仿宋_GB2312" w:cs="宋体"/>
          <w:kern w:val="0"/>
          <w:sz w:val="32"/>
          <w:szCs w:val="32"/>
        </w:rPr>
        <w:t>84.1</w:t>
      </w:r>
      <w:r>
        <w:rPr>
          <w:rFonts w:hint="eastAsia" w:ascii="仿宋" w:hAnsi="仿宋" w:eastAsia="仿宋" w:cs="仿宋"/>
          <w:sz w:val="32"/>
          <w:szCs w:val="32"/>
        </w:rPr>
        <w:t>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无极县安全生产监督管理局固定资产占用情况表</w:t>
      </w:r>
    </w:p>
    <w:tbl>
      <w:tblPr>
        <w:tblStyle w:val="5"/>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84.1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1100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34.7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1100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34.7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42.9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6.5</w:t>
            </w:r>
          </w:p>
        </w:tc>
      </w:tr>
    </w:tbl>
    <w:p>
      <w:pPr>
        <w:autoSpaceDE w:val="0"/>
        <w:autoSpaceDN w:val="0"/>
        <w:adjustRightInd w:val="0"/>
        <w:ind w:left="420" w:leftChars="20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366640"/>
    <w:multiLevelType w:val="multilevel"/>
    <w:tmpl w:val="11366640"/>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
    <w:nsid w:val="211B379E"/>
    <w:multiLevelType w:val="multilevel"/>
    <w:tmpl w:val="211B379E"/>
    <w:lvl w:ilvl="0" w:tentative="0">
      <w:start w:val="1"/>
      <w:numFmt w:val="japaneseCounting"/>
      <w:lvlText w:val="%1、"/>
      <w:lvlJc w:val="left"/>
      <w:pPr>
        <w:ind w:left="1520" w:hanging="720"/>
      </w:pPr>
      <w:rPr>
        <w:rFonts w:hint="default"/>
      </w:rPr>
    </w:lvl>
    <w:lvl w:ilvl="1" w:tentative="0">
      <w:start w:val="1"/>
      <w:numFmt w:val="lowerLetter"/>
      <w:lvlText w:val="%2)"/>
      <w:lvlJc w:val="left"/>
      <w:pPr>
        <w:ind w:left="1640" w:hanging="420"/>
      </w:pPr>
    </w:lvl>
    <w:lvl w:ilvl="2" w:tentative="0">
      <w:start w:val="1"/>
      <w:numFmt w:val="lowerRoman"/>
      <w:lvlText w:val="%3."/>
      <w:lvlJc w:val="right"/>
      <w:pPr>
        <w:ind w:left="2060" w:hanging="420"/>
      </w:pPr>
    </w:lvl>
    <w:lvl w:ilvl="3" w:tentative="0">
      <w:start w:val="1"/>
      <w:numFmt w:val="decimal"/>
      <w:lvlText w:val="%4."/>
      <w:lvlJc w:val="left"/>
      <w:pPr>
        <w:ind w:left="2480" w:hanging="420"/>
      </w:pPr>
    </w:lvl>
    <w:lvl w:ilvl="4" w:tentative="0">
      <w:start w:val="1"/>
      <w:numFmt w:val="lowerLetter"/>
      <w:lvlText w:val="%5)"/>
      <w:lvlJc w:val="left"/>
      <w:pPr>
        <w:ind w:left="2900" w:hanging="420"/>
      </w:pPr>
    </w:lvl>
    <w:lvl w:ilvl="5" w:tentative="0">
      <w:start w:val="1"/>
      <w:numFmt w:val="lowerRoman"/>
      <w:lvlText w:val="%6."/>
      <w:lvlJc w:val="right"/>
      <w:pPr>
        <w:ind w:left="3320" w:hanging="420"/>
      </w:pPr>
    </w:lvl>
    <w:lvl w:ilvl="6" w:tentative="0">
      <w:start w:val="1"/>
      <w:numFmt w:val="decimal"/>
      <w:lvlText w:val="%7."/>
      <w:lvlJc w:val="left"/>
      <w:pPr>
        <w:ind w:left="3740" w:hanging="420"/>
      </w:pPr>
    </w:lvl>
    <w:lvl w:ilvl="7" w:tentative="0">
      <w:start w:val="1"/>
      <w:numFmt w:val="lowerLetter"/>
      <w:lvlText w:val="%8)"/>
      <w:lvlJc w:val="left"/>
      <w:pPr>
        <w:ind w:left="4160" w:hanging="420"/>
      </w:pPr>
    </w:lvl>
    <w:lvl w:ilvl="8" w:tentative="0">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187BA2"/>
    <w:rsid w:val="00235D6E"/>
    <w:rsid w:val="002719C3"/>
    <w:rsid w:val="002D58D2"/>
    <w:rsid w:val="00345A4D"/>
    <w:rsid w:val="003576F4"/>
    <w:rsid w:val="00376D2C"/>
    <w:rsid w:val="003C5368"/>
    <w:rsid w:val="003C5865"/>
    <w:rsid w:val="00462DB3"/>
    <w:rsid w:val="004D49AE"/>
    <w:rsid w:val="00507037"/>
    <w:rsid w:val="00510DDD"/>
    <w:rsid w:val="0063034A"/>
    <w:rsid w:val="006556B5"/>
    <w:rsid w:val="006A2358"/>
    <w:rsid w:val="00832657"/>
    <w:rsid w:val="0097724F"/>
    <w:rsid w:val="00A23A45"/>
    <w:rsid w:val="00AC22AE"/>
    <w:rsid w:val="00C42BCB"/>
    <w:rsid w:val="00C91C6F"/>
    <w:rsid w:val="00D14401"/>
    <w:rsid w:val="00D77FCE"/>
    <w:rsid w:val="1FDF58F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Indent"/>
    <w:basedOn w:val="1"/>
    <w:link w:val="10"/>
    <w:uiPriority w:val="0"/>
    <w:pPr>
      <w:ind w:firstLine="640" w:firstLineChars="200"/>
    </w:pPr>
    <w:rPr>
      <w:rFonts w:ascii="仿宋_GB2312" w:hAnsi="Calibri" w:eastAsia="仿宋_GB2312" w:cs="黑体"/>
      <w:sz w:val="32"/>
      <w:szCs w:val="22"/>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rFonts w:ascii="Times New Roman" w:hAnsi="Times New Roman" w:eastAsia="宋体" w:cs="Times New Roman"/>
      <w:sz w:val="18"/>
      <w:szCs w:val="18"/>
    </w:rPr>
  </w:style>
  <w:style w:type="character" w:customStyle="1" w:styleId="8">
    <w:name w:val="页脚 Char"/>
    <w:basedOn w:val="6"/>
    <w:link w:val="3"/>
    <w:uiPriority w:val="99"/>
    <w:rPr>
      <w:rFonts w:ascii="Times New Roman" w:hAnsi="Times New Roman" w:eastAsia="宋体" w:cs="Times New Roman"/>
      <w:sz w:val="18"/>
      <w:szCs w:val="18"/>
    </w:rPr>
  </w:style>
  <w:style w:type="paragraph" w:styleId="9">
    <w:name w:val="List Paragraph"/>
    <w:basedOn w:val="1"/>
    <w:qFormat/>
    <w:uiPriority w:val="34"/>
    <w:pPr>
      <w:ind w:firstLine="420" w:firstLineChars="200"/>
    </w:pPr>
  </w:style>
  <w:style w:type="character" w:customStyle="1" w:styleId="10">
    <w:name w:val="正文文本缩进 Char"/>
    <w:basedOn w:val="6"/>
    <w:link w:val="2"/>
    <w:uiPriority w:val="0"/>
    <w:rPr>
      <w:rFonts w:ascii="仿宋_GB2312" w:hAnsi="Calibri" w:eastAsia="仿宋_GB2312" w:cs="黑体"/>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18</Pages>
  <Words>1214</Words>
  <Characters>6922</Characters>
  <Lines>57</Lines>
  <Paragraphs>16</Paragraphs>
  <TotalTime>169</TotalTime>
  <ScaleCrop>false</ScaleCrop>
  <LinksUpToDate>false</LinksUpToDate>
  <CharactersWithSpaces>8120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2024-01-16T05:58:12Z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4F62E83EB32942ED8B3370F6159E7E99</vt:lpwstr>
  </property>
</Properties>
</file>