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ascii="方正小标宋_GBK" w:hAnsi="Times New Roman" w:eastAsia="方正小标宋_GBK" w:cs="方正小标宋_GBK"/>
          <w:sz w:val="44"/>
          <w:szCs w:val="44"/>
        </w:rPr>
      </w:pPr>
      <w:bookmarkStart w:id="17" w:name="_GoBack"/>
      <w:bookmarkEnd w:id="17"/>
      <w:r>
        <w:rPr>
          <w:rFonts w:hint="eastAsia" w:ascii="方正小标宋_GBK" w:hAnsi="Times New Roman" w:eastAsia="方正小标宋_GBK" w:cs="方正小标宋_GBK"/>
          <w:sz w:val="44"/>
          <w:szCs w:val="44"/>
        </w:rPr>
        <w:t>无极县质量技术监督局</w:t>
      </w:r>
    </w:p>
    <w:p>
      <w:pPr>
        <w:adjustRightInd w:val="0"/>
        <w:snapToGrid w:val="0"/>
        <w:jc w:val="center"/>
        <w:rPr>
          <w:rFonts w:ascii="方正小标宋_GBK" w:hAnsi="Times New Roman" w:eastAsia="方正小标宋_GBK" w:cs="Times New Roman"/>
          <w:sz w:val="44"/>
          <w:szCs w:val="44"/>
        </w:rPr>
      </w:pPr>
      <w:r>
        <w:rPr>
          <w:rFonts w:ascii="方正小标宋_GBK" w:hAnsi="Times New Roman" w:eastAsia="方正小标宋_GBK" w:cs="方正小标宋_GBK"/>
          <w:sz w:val="44"/>
          <w:szCs w:val="44"/>
        </w:rPr>
        <w:t>2020</w:t>
      </w:r>
      <w:r>
        <w:rPr>
          <w:rFonts w:hint="eastAsia" w:ascii="方正小标宋_GBK" w:hAnsi="Times New Roman" w:eastAsia="方正小标宋_GBK" w:cs="方正小标宋_GBK"/>
          <w:sz w:val="44"/>
          <w:szCs w:val="44"/>
        </w:rPr>
        <w:t>年部门预算信息公开情况说明</w:t>
      </w:r>
    </w:p>
    <w:p>
      <w:pPr>
        <w:ind w:firstLine="640"/>
        <w:rPr>
          <w:rFonts w:ascii="Times New Roman" w:hAnsi="Times New Roman" w:eastAsia="仿宋" w:cs="Times New Roman"/>
          <w:sz w:val="32"/>
          <w:szCs w:val="32"/>
        </w:rPr>
      </w:pPr>
    </w:p>
    <w:p>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按照</w:t>
      </w:r>
      <w:r>
        <w:rPr>
          <w:rFonts w:hint="eastAsia" w:ascii="Times New Roman" w:hAnsi="Times New Roman" w:eastAsia="仿宋" w:cs="仿宋"/>
          <w:sz w:val="32"/>
          <w:szCs w:val="32"/>
          <w:lang w:eastAsia="zh-CN"/>
        </w:rPr>
        <w:t>《中华人民共和国预算法》</w:t>
      </w:r>
      <w:r>
        <w:rPr>
          <w:rFonts w:hint="eastAsia" w:ascii="Times New Roman" w:hAnsi="Times New Roman" w:eastAsia="仿宋" w:cs="仿宋"/>
          <w:sz w:val="32"/>
          <w:szCs w:val="32"/>
        </w:rPr>
        <w:t>、《地方预决算公开操作规程》和《河北省省级预算公开办法》规定，现将无极县质监局</w:t>
      </w:r>
      <w:r>
        <w:rPr>
          <w:rFonts w:ascii="Times New Roman" w:hAnsi="Times New Roman" w:eastAsia="仿宋" w:cs="Times New Roman"/>
          <w:sz w:val="32"/>
          <w:szCs w:val="32"/>
        </w:rPr>
        <w:t>2020</w:t>
      </w:r>
      <w:r>
        <w:rPr>
          <w:rFonts w:hint="eastAsia" w:ascii="Times New Roman" w:hAnsi="Times New Roman" w:eastAsia="仿宋" w:cs="仿宋"/>
          <w:sz w:val="32"/>
          <w:szCs w:val="32"/>
        </w:rPr>
        <w:t>年部门预算公开如下：</w:t>
      </w:r>
    </w:p>
    <w:p>
      <w:pPr>
        <w:ind w:firstLine="640"/>
        <w:rPr>
          <w:rFonts w:ascii="黑体" w:hAnsi="黑体" w:eastAsia="黑体" w:cs="Times New Roman"/>
          <w:sz w:val="32"/>
          <w:szCs w:val="32"/>
        </w:rPr>
      </w:pPr>
      <w:r>
        <w:rPr>
          <w:rFonts w:hint="eastAsia" w:ascii="黑体" w:hAnsi="黑体" w:eastAsia="黑体" w:cs="黑体"/>
          <w:sz w:val="32"/>
          <w:szCs w:val="32"/>
        </w:rPr>
        <w:t>一、部门职责及机构设置情况</w:t>
      </w:r>
    </w:p>
    <w:p>
      <w:pPr>
        <w:spacing w:line="500" w:lineRule="exact"/>
        <w:ind w:firstLine="643" w:firstLineChars="200"/>
        <w:jc w:val="left"/>
        <w:rPr>
          <w:rFonts w:ascii="仿宋" w:hAnsi="仿宋" w:eastAsia="仿宋" w:cs="仿宋"/>
          <w:b/>
          <w:bCs/>
          <w:sz w:val="32"/>
          <w:szCs w:val="32"/>
        </w:rPr>
      </w:pPr>
      <w:r>
        <w:rPr>
          <w:rFonts w:hint="eastAsia" w:ascii="仿宋" w:hAnsi="仿宋" w:eastAsia="仿宋" w:cs="仿宋"/>
          <w:b/>
          <w:bCs/>
          <w:sz w:val="32"/>
          <w:szCs w:val="32"/>
        </w:rPr>
        <w:t>部门职责：</w:t>
      </w:r>
    </w:p>
    <w:p>
      <w:pPr>
        <w:spacing w:line="500" w:lineRule="exact"/>
        <w:ind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（一）贯彻执行国家、省和市有关质量技术监督工作的方针、政策，负责组织实施《标准化法》、</w:t>
      </w:r>
      <w:r>
        <w:rPr>
          <w:rFonts w:hint="eastAsia" w:ascii="Times New Roman" w:hAnsi="Times New Roman" w:eastAsia="仿宋" w:cs="仿宋"/>
          <w:sz w:val="32"/>
          <w:szCs w:val="32"/>
          <w:lang w:eastAsia="zh-CN"/>
        </w:rPr>
        <w:t>《中华人民共和国计量法》</w:t>
      </w:r>
      <w:r>
        <w:rPr>
          <w:rFonts w:hint="eastAsia" w:ascii="Times New Roman" w:hAnsi="Times New Roman" w:eastAsia="仿宋" w:cs="仿宋"/>
          <w:sz w:val="32"/>
          <w:szCs w:val="32"/>
        </w:rPr>
        <w:t>、</w:t>
      </w:r>
      <w:r>
        <w:rPr>
          <w:rFonts w:hint="default" w:ascii="Times New Roman" w:hAnsi="Times New Roman" w:eastAsia="仿宋" w:cs="仿宋"/>
          <w:sz w:val="32"/>
          <w:szCs w:val="32"/>
          <w:lang w:val="en-US"/>
        </w:rPr>
        <w:t>《中华人民共和国产品质量法》</w:t>
      </w:r>
      <w:r>
        <w:rPr>
          <w:rFonts w:hint="eastAsia" w:ascii="Times New Roman" w:hAnsi="Times New Roman" w:eastAsia="仿宋" w:cs="仿宋"/>
          <w:sz w:val="32"/>
          <w:szCs w:val="32"/>
        </w:rPr>
        <w:t>等有关法律、法规、规章，参与制订全县质量技术监督工作的方针政策，指导、协调和质量技术监督行政执法工作。</w:t>
      </w:r>
    </w:p>
    <w:p>
      <w:pPr>
        <w:spacing w:line="500" w:lineRule="exact"/>
        <w:ind w:firstLine="640" w:firstLineChars="200"/>
        <w:jc w:val="left"/>
        <w:rPr>
          <w:rFonts w:ascii="Times New Roman" w:hAnsi="Times New Roman" w:eastAsia="仿宋" w:cs="仿宋"/>
          <w:sz w:val="32"/>
          <w:szCs w:val="32"/>
        </w:rPr>
      </w:pPr>
      <w:r>
        <w:rPr>
          <w:rFonts w:ascii="Times New Roman" w:hAnsi="Times New Roman" w:eastAsia="仿宋" w:cs="仿宋"/>
          <w:sz w:val="32"/>
          <w:szCs w:val="32"/>
        </w:rPr>
        <w:t>（二）管理和指导全县质量工作。组织实施国家的《质量振兴纲要》，研究拟定提高我县质量水平的发展战略，推广先进的质量管理经验和方法，组织推动全县企业的质量体系认证和产品质量认证。同时管理和指导质量监督检查工作，组织查处生产和经销假冒伪劣产商品活动。</w:t>
      </w:r>
    </w:p>
    <w:p>
      <w:pPr>
        <w:spacing w:line="500" w:lineRule="exact"/>
        <w:ind w:firstLine="640" w:firstLineChars="200"/>
        <w:jc w:val="left"/>
        <w:rPr>
          <w:rFonts w:ascii="Times New Roman" w:hAnsi="Times New Roman" w:eastAsia="仿宋" w:cs="仿宋"/>
          <w:sz w:val="32"/>
          <w:szCs w:val="32"/>
        </w:rPr>
      </w:pPr>
      <w:r>
        <w:rPr>
          <w:rFonts w:ascii="Times New Roman" w:hAnsi="Times New Roman" w:eastAsia="仿宋" w:cs="仿宋"/>
          <w:sz w:val="32"/>
          <w:szCs w:val="32"/>
        </w:rPr>
        <w:t>（三）综合管理全县标准化工作。贯彻执行国家有关标准化工作的政策、法律、法规，管理全县企业产品执行标准登记、企业标准备案和标准监督工作。</w:t>
      </w:r>
    </w:p>
    <w:p>
      <w:pPr>
        <w:spacing w:line="500" w:lineRule="exact"/>
        <w:ind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（四）统一管理全县的计量工作。推行法定计量单位和国家计量制度，贯彻国家计量检定系统、检定规程和计量技术规范，依法管理和监督全县计量器具，组织量值传递，规范和监督商品量的计量行为。</w:t>
      </w:r>
    </w:p>
    <w:p>
      <w:pPr>
        <w:spacing w:line="500" w:lineRule="exact"/>
        <w:ind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（五）负责管理全县工业产品生产许可证申报工作。帮助企业申领国家或省管的工业产品生产许可证，负责实行生产许可证管理的产品的监督检查工作。</w:t>
      </w:r>
    </w:p>
    <w:p>
      <w:pPr>
        <w:spacing w:line="500" w:lineRule="exact"/>
        <w:ind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（六）统一管理全县的锅炉、压力容器、压力管道、特种设备的安全监察工作，抓好锅容管特设备的登记、检验、人员培训和持证上岗，进行安全事故处理和责任追究。</w:t>
      </w:r>
    </w:p>
    <w:p>
      <w:pPr>
        <w:spacing w:line="500" w:lineRule="exact"/>
        <w:ind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（七）制订实施全县质量技术监督事业发展规划和年度计划，组织管理质量技术监督的宣传、教育、培训、信息工作。管理和监督全县组织机构统一代码工作。</w:t>
      </w:r>
    </w:p>
    <w:p>
      <w:pPr>
        <w:spacing w:line="500" w:lineRule="exact"/>
        <w:ind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（八）承担县委县政府交办的其他事项。</w:t>
      </w:r>
    </w:p>
    <w:p>
      <w:pPr>
        <w:ind w:firstLine="640"/>
        <w:rPr>
          <w:rFonts w:ascii="Times New Roman" w:hAnsi="Times New Roman" w:eastAsia="仿宋" w:cs="仿宋"/>
          <w:sz w:val="32"/>
          <w:szCs w:val="32"/>
        </w:rPr>
      </w:pPr>
    </w:p>
    <w:p>
      <w:pPr>
        <w:rPr>
          <w:rFonts w:ascii="仿宋" w:hAnsi="仿宋" w:eastAsia="仿宋" w:cs="Times New Roman"/>
          <w:sz w:val="32"/>
          <w:szCs w:val="32"/>
        </w:rPr>
      </w:pPr>
    </w:p>
    <w:p>
      <w:pPr>
        <w:ind w:firstLine="643" w:firstLineChars="200"/>
        <w:rPr>
          <w:rFonts w:ascii="仿宋" w:hAnsi="仿宋" w:eastAsia="仿宋" w:cs="Times New Roman"/>
          <w:b/>
          <w:bCs/>
          <w:sz w:val="32"/>
          <w:szCs w:val="32"/>
        </w:rPr>
      </w:pPr>
      <w:r>
        <w:rPr>
          <w:rFonts w:hint="eastAsia" w:ascii="仿宋" w:hAnsi="仿宋" w:eastAsia="仿宋" w:cs="仿宋"/>
          <w:b/>
          <w:bCs/>
          <w:sz w:val="32"/>
          <w:szCs w:val="32"/>
        </w:rPr>
        <w:t>机构设置：</w:t>
      </w:r>
    </w:p>
    <w:p>
      <w:pPr>
        <w:jc w:val="center"/>
        <w:outlineLvl w:val="0"/>
        <w:rPr>
          <w:rFonts w:ascii="Times New Roman" w:hAnsi="Times New Roman" w:eastAsia="方正小标宋_GBK" w:cs="Times New Roman"/>
          <w:sz w:val="32"/>
          <w:szCs w:val="32"/>
        </w:rPr>
      </w:pPr>
      <w:r>
        <w:rPr>
          <w:rFonts w:hint="eastAsia" w:ascii="Times New Roman" w:hAnsi="Times New Roman" w:eastAsia="方正小标宋_GBK" w:cs="方正小标宋_GBK"/>
          <w:sz w:val="32"/>
          <w:szCs w:val="32"/>
        </w:rPr>
        <w:t>部门机构设置情况</w:t>
      </w:r>
    </w:p>
    <w:tbl>
      <w:tblPr>
        <w:tblStyle w:val="7"/>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pPr>
              <w:spacing w:line="300" w:lineRule="exact"/>
              <w:jc w:val="center"/>
              <w:rPr>
                <w:rFonts w:ascii="Times New Roman" w:hAnsi="Times New Roman" w:eastAsia="方正书宋_GBK" w:cs="Times New Roman"/>
                <w:b/>
                <w:bCs/>
              </w:rPr>
            </w:pPr>
            <w:r>
              <w:rPr>
                <w:rFonts w:hint="eastAsia" w:ascii="Times New Roman" w:hAnsi="Times New Roman" w:eastAsia="方正书宋_GBK" w:cs="方正书宋_GBK"/>
                <w:b/>
                <w:bCs/>
              </w:rPr>
              <w:t>单位名称</w:t>
            </w:r>
          </w:p>
        </w:tc>
        <w:tc>
          <w:tcPr>
            <w:tcW w:w="1134" w:type="dxa"/>
            <w:vMerge w:val="restart"/>
            <w:vAlign w:val="center"/>
          </w:tcPr>
          <w:p>
            <w:pPr>
              <w:spacing w:line="300" w:lineRule="exact"/>
              <w:jc w:val="center"/>
              <w:rPr>
                <w:rFonts w:ascii="Times New Roman" w:hAnsi="Times New Roman" w:eastAsia="方正书宋_GBK" w:cs="Times New Roman"/>
                <w:b/>
                <w:bCs/>
              </w:rPr>
            </w:pPr>
            <w:r>
              <w:rPr>
                <w:rFonts w:hint="eastAsia" w:ascii="Times New Roman" w:hAnsi="Times New Roman" w:eastAsia="方正书宋_GBK" w:cs="方正书宋_GBK"/>
                <w:b/>
                <w:bCs/>
              </w:rPr>
              <w:t>单位性质</w:t>
            </w:r>
          </w:p>
        </w:tc>
        <w:tc>
          <w:tcPr>
            <w:tcW w:w="1276" w:type="dxa"/>
            <w:vMerge w:val="restart"/>
            <w:vAlign w:val="center"/>
          </w:tcPr>
          <w:p>
            <w:pPr>
              <w:spacing w:line="300" w:lineRule="exact"/>
              <w:jc w:val="center"/>
              <w:rPr>
                <w:rFonts w:ascii="Times New Roman" w:hAnsi="Times New Roman" w:eastAsia="方正书宋_GBK" w:cs="Times New Roman"/>
                <w:b/>
                <w:bCs/>
              </w:rPr>
            </w:pPr>
            <w:r>
              <w:rPr>
                <w:rFonts w:hint="eastAsia" w:ascii="Times New Roman" w:hAnsi="Times New Roman" w:eastAsia="方正书宋_GBK" w:cs="方正书宋_GBK"/>
                <w:b/>
                <w:bCs/>
              </w:rPr>
              <w:t>单位规格</w:t>
            </w:r>
          </w:p>
        </w:tc>
        <w:tc>
          <w:tcPr>
            <w:tcW w:w="2902" w:type="dxa"/>
            <w:vMerge w:val="restart"/>
            <w:vAlign w:val="center"/>
          </w:tcPr>
          <w:p>
            <w:pPr>
              <w:spacing w:line="300" w:lineRule="exact"/>
              <w:jc w:val="center"/>
              <w:rPr>
                <w:rFonts w:ascii="Times New Roman" w:hAnsi="Times New Roman" w:eastAsia="方正书宋_GBK" w:cs="Times New Roman"/>
                <w:b/>
                <w:bCs/>
              </w:rPr>
            </w:pPr>
            <w:r>
              <w:rPr>
                <w:rFonts w:hint="eastAsia" w:ascii="Times New Roman" w:hAnsi="Times New Roman" w:eastAsia="方正书宋_GBK" w:cs="方正书宋_GBK"/>
                <w:b/>
                <w:bCs/>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0" w:hRule="atLeast"/>
          <w:tblHeader/>
          <w:jc w:val="center"/>
        </w:trPr>
        <w:tc>
          <w:tcPr>
            <w:tcW w:w="4417" w:type="dxa"/>
            <w:vMerge w:val="continue"/>
            <w:vAlign w:val="center"/>
          </w:tcPr>
          <w:p>
            <w:pPr>
              <w:spacing w:line="300" w:lineRule="exact"/>
              <w:jc w:val="left"/>
              <w:outlineLvl w:val="0"/>
              <w:rPr>
                <w:rFonts w:ascii="Times New Roman" w:hAnsi="Times New Roman" w:cs="Times New Roman"/>
              </w:rPr>
            </w:pPr>
          </w:p>
        </w:tc>
        <w:tc>
          <w:tcPr>
            <w:tcW w:w="1134" w:type="dxa"/>
            <w:vMerge w:val="continue"/>
            <w:vAlign w:val="center"/>
          </w:tcPr>
          <w:p>
            <w:pPr>
              <w:spacing w:line="300" w:lineRule="exact"/>
              <w:jc w:val="left"/>
              <w:outlineLvl w:val="0"/>
              <w:rPr>
                <w:rFonts w:ascii="Times New Roman" w:hAnsi="Times New Roman" w:cs="Times New Roman"/>
              </w:rPr>
            </w:pPr>
          </w:p>
        </w:tc>
        <w:tc>
          <w:tcPr>
            <w:tcW w:w="1276" w:type="dxa"/>
            <w:vMerge w:val="continue"/>
            <w:vAlign w:val="center"/>
          </w:tcPr>
          <w:p>
            <w:pPr>
              <w:spacing w:line="300" w:lineRule="exact"/>
              <w:jc w:val="left"/>
              <w:outlineLvl w:val="0"/>
              <w:rPr>
                <w:rFonts w:ascii="Times New Roman" w:hAnsi="Times New Roman" w:cs="Times New Roman"/>
              </w:rPr>
            </w:pPr>
          </w:p>
        </w:tc>
        <w:tc>
          <w:tcPr>
            <w:tcW w:w="2902" w:type="dxa"/>
            <w:vMerge w:val="continue"/>
            <w:vAlign w:val="center"/>
          </w:tcPr>
          <w:p>
            <w:pPr>
              <w:spacing w:line="300" w:lineRule="exact"/>
              <w:jc w:val="left"/>
              <w:outlineLvl w:val="0"/>
              <w:rPr>
                <w:rFonts w:ascii="Times New Roman" w:hAnsi="Times New Roman"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60" w:hRule="atLeast"/>
          <w:jc w:val="center"/>
        </w:trPr>
        <w:tc>
          <w:tcPr>
            <w:tcW w:w="4417" w:type="dxa"/>
            <w:vAlign w:val="center"/>
          </w:tcPr>
          <w:p>
            <w:pPr>
              <w:spacing w:line="300" w:lineRule="exact"/>
              <w:jc w:val="left"/>
              <w:rPr>
                <w:rFonts w:ascii="Times New Roman" w:hAnsi="Times New Roman" w:eastAsia="方正书宋_GBK" w:cs="Times New Roman"/>
              </w:rPr>
            </w:pPr>
            <w:r>
              <w:rPr>
                <w:rFonts w:hint="eastAsia" w:ascii="Times New Roman" w:hAnsi="Times New Roman" w:eastAsia="方正书宋_GBK" w:cs="Times New Roman"/>
              </w:rPr>
              <w:t>无极县质量技术监督局</w:t>
            </w:r>
          </w:p>
        </w:tc>
        <w:tc>
          <w:tcPr>
            <w:tcW w:w="1134" w:type="dxa"/>
            <w:vAlign w:val="center"/>
          </w:tcPr>
          <w:p>
            <w:pPr>
              <w:spacing w:line="300" w:lineRule="exact"/>
              <w:jc w:val="center"/>
              <w:rPr>
                <w:rFonts w:ascii="Times New Roman" w:hAnsi="Times New Roman" w:eastAsia="方正书宋_GBK" w:cs="Times New Roman"/>
              </w:rPr>
            </w:pPr>
            <w:r>
              <w:rPr>
                <w:rFonts w:hint="eastAsia" w:ascii="方正书宋_GBK" w:eastAsia="方正书宋_GBK" w:cs="方正书宋_GBK"/>
              </w:rPr>
              <w:t>行政</w:t>
            </w:r>
          </w:p>
        </w:tc>
        <w:tc>
          <w:tcPr>
            <w:tcW w:w="1276" w:type="dxa"/>
            <w:vAlign w:val="center"/>
          </w:tcPr>
          <w:p>
            <w:pPr>
              <w:spacing w:line="300" w:lineRule="exact"/>
              <w:jc w:val="center"/>
              <w:rPr>
                <w:rFonts w:ascii="Times New Roman" w:hAnsi="Times New Roman" w:eastAsia="方正书宋_GBK" w:cs="Times New Roman"/>
              </w:rPr>
            </w:pPr>
            <w:r>
              <w:rPr>
                <w:rFonts w:hint="eastAsia" w:ascii="方正书宋_GBK" w:eastAsia="方正书宋_GBK" w:cs="方正书宋_GBK"/>
              </w:rPr>
              <w:t>正科级</w:t>
            </w:r>
          </w:p>
        </w:tc>
        <w:tc>
          <w:tcPr>
            <w:tcW w:w="2902" w:type="dxa"/>
            <w:vAlign w:val="center"/>
          </w:tcPr>
          <w:p>
            <w:pPr>
              <w:spacing w:line="300" w:lineRule="exact"/>
              <w:jc w:val="center"/>
              <w:rPr>
                <w:rFonts w:ascii="Times New Roman" w:hAnsi="Times New Roman" w:eastAsia="方正书宋_GBK" w:cs="Times New Roman"/>
              </w:rPr>
            </w:pPr>
            <w:r>
              <w:rPr>
                <w:rFonts w:hint="eastAsia" w:ascii="方正书宋_GBK" w:eastAsia="方正书宋_GBK" w:cs="方正书宋_GBK"/>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20" w:hRule="atLeast"/>
          <w:jc w:val="center"/>
        </w:trPr>
        <w:tc>
          <w:tcPr>
            <w:tcW w:w="4417" w:type="dxa"/>
            <w:vAlign w:val="center"/>
          </w:tcPr>
          <w:p>
            <w:pPr>
              <w:spacing w:line="300" w:lineRule="exact"/>
              <w:jc w:val="left"/>
              <w:rPr>
                <w:rFonts w:ascii="Times New Roman" w:hAnsi="Times New Roman" w:eastAsia="方正书宋_GBK" w:cs="Times New Roman"/>
              </w:rPr>
            </w:pPr>
            <w:r>
              <w:rPr>
                <w:rFonts w:hint="eastAsia" w:ascii="Times New Roman" w:hAnsi="Times New Roman" w:eastAsia="方正书宋_GBK" w:cs="Times New Roman"/>
              </w:rPr>
              <w:t>无极县质量技术监督检验所</w:t>
            </w:r>
          </w:p>
        </w:tc>
        <w:tc>
          <w:tcPr>
            <w:tcW w:w="1134" w:type="dxa"/>
            <w:vAlign w:val="center"/>
          </w:tcPr>
          <w:p>
            <w:pPr>
              <w:spacing w:line="300" w:lineRule="exact"/>
              <w:jc w:val="center"/>
              <w:rPr>
                <w:rFonts w:ascii="Times New Roman" w:hAnsi="Times New Roman" w:eastAsia="方正书宋_GBK" w:cs="Times New Roman"/>
              </w:rPr>
            </w:pPr>
            <w:r>
              <w:rPr>
                <w:rFonts w:hint="eastAsia" w:ascii="方正书宋_GBK" w:eastAsia="方正书宋_GBK" w:cs="方正书宋_GBK"/>
              </w:rPr>
              <w:t>事业</w:t>
            </w:r>
          </w:p>
        </w:tc>
        <w:tc>
          <w:tcPr>
            <w:tcW w:w="1276" w:type="dxa"/>
            <w:vAlign w:val="center"/>
          </w:tcPr>
          <w:p>
            <w:pPr>
              <w:spacing w:line="300" w:lineRule="exact"/>
              <w:jc w:val="center"/>
              <w:rPr>
                <w:rFonts w:ascii="Times New Roman" w:hAnsi="Times New Roman" w:eastAsia="方正书宋_GBK" w:cs="Times New Roman"/>
              </w:rPr>
            </w:pPr>
            <w:r>
              <w:rPr>
                <w:rFonts w:hint="eastAsia" w:ascii="方正书宋_GBK" w:eastAsia="方正书宋_GBK" w:cs="方正书宋_GBK"/>
              </w:rPr>
              <w:t>未定级</w:t>
            </w:r>
          </w:p>
        </w:tc>
        <w:tc>
          <w:tcPr>
            <w:tcW w:w="2902" w:type="dxa"/>
            <w:vAlign w:val="center"/>
          </w:tcPr>
          <w:p>
            <w:pPr>
              <w:spacing w:line="300" w:lineRule="exact"/>
              <w:jc w:val="center"/>
              <w:rPr>
                <w:rFonts w:ascii="Times New Roman" w:hAnsi="Times New Roman" w:eastAsia="方正书宋_GBK" w:cs="Times New Roman"/>
              </w:rPr>
            </w:pPr>
            <w:r>
              <w:rPr>
                <w:rFonts w:hint="eastAsia" w:ascii="方正书宋_GBK" w:eastAsia="方正书宋_GBK" w:cs="方正书宋_GBK"/>
              </w:rPr>
              <w:t>财政拨款</w:t>
            </w:r>
          </w:p>
        </w:tc>
      </w:tr>
    </w:tbl>
    <w:p>
      <w:pPr>
        <w:rPr>
          <w:rFonts w:cs="Times New Roman"/>
        </w:rPr>
      </w:pPr>
    </w:p>
    <w:p>
      <w:pPr>
        <w:ind w:firstLine="640"/>
        <w:rPr>
          <w:rFonts w:ascii="Times New Roman" w:hAnsi="Times New Roman" w:eastAsia="仿宋" w:cs="Times New Roman"/>
          <w:sz w:val="32"/>
          <w:szCs w:val="32"/>
        </w:rPr>
      </w:pPr>
      <w:r>
        <w:rPr>
          <w:rFonts w:hint="eastAsia" w:ascii="黑体" w:hAnsi="黑体" w:eastAsia="黑体" w:cs="黑体"/>
          <w:sz w:val="32"/>
          <w:szCs w:val="32"/>
        </w:rPr>
        <w:t>二、部门预算安排的总体情况</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仿宋"/>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反映本部门当年全部收入。</w:t>
      </w:r>
      <w:r>
        <w:rPr>
          <w:rFonts w:ascii="Times New Roman" w:hAnsi="Times New Roman" w:eastAsia="仿宋" w:cs="Times New Roman"/>
          <w:sz w:val="32"/>
          <w:szCs w:val="32"/>
        </w:rPr>
        <w:t>2020</w:t>
      </w:r>
      <w:r>
        <w:rPr>
          <w:rFonts w:hint="eastAsia" w:ascii="Times New Roman" w:hAnsi="Times New Roman" w:eastAsia="仿宋" w:cs="仿宋"/>
          <w:sz w:val="32"/>
          <w:szCs w:val="32"/>
        </w:rPr>
        <w:t>年预算收入</w:t>
      </w:r>
      <w:r>
        <w:rPr>
          <w:rFonts w:hint="eastAsia" w:ascii="Times New Roman" w:hAnsi="Times New Roman" w:eastAsia="仿宋" w:cs="Times New Roman"/>
          <w:sz w:val="32"/>
          <w:szCs w:val="32"/>
        </w:rPr>
        <w:t>876.44</w:t>
      </w:r>
      <w:r>
        <w:rPr>
          <w:rFonts w:hint="eastAsia" w:ascii="Times New Roman" w:hAnsi="Times New Roman" w:eastAsia="仿宋" w:cs="仿宋"/>
          <w:sz w:val="32"/>
          <w:szCs w:val="32"/>
        </w:rPr>
        <w:t>万元，其中：一般公共预算收入</w:t>
      </w:r>
      <w:r>
        <w:rPr>
          <w:rFonts w:hint="eastAsia" w:ascii="Times New Roman" w:hAnsi="Times New Roman" w:eastAsia="仿宋" w:cs="Times New Roman"/>
          <w:sz w:val="32"/>
          <w:szCs w:val="32"/>
        </w:rPr>
        <w:t>876.44</w:t>
      </w:r>
      <w:r>
        <w:rPr>
          <w:rFonts w:hint="eastAsia" w:ascii="Times New Roman" w:hAnsi="Times New Roman" w:eastAsia="仿宋" w:cs="仿宋"/>
          <w:sz w:val="32"/>
          <w:szCs w:val="32"/>
        </w:rPr>
        <w:t>万元，基金预算收入</w:t>
      </w:r>
      <w:r>
        <w:rPr>
          <w:rFonts w:ascii="Times New Roman" w:hAnsi="Times New Roman" w:eastAsia="仿宋" w:cs="Times New Roman"/>
          <w:sz w:val="32"/>
          <w:szCs w:val="32"/>
        </w:rPr>
        <w:t>0</w:t>
      </w:r>
      <w:r>
        <w:rPr>
          <w:rFonts w:hint="eastAsia" w:ascii="Times New Roman" w:hAnsi="Times New Roman" w:eastAsia="仿宋" w:cs="仿宋"/>
          <w:sz w:val="32"/>
          <w:szCs w:val="32"/>
        </w:rPr>
        <w:t>万元，财政专户核拨收入</w:t>
      </w:r>
      <w:r>
        <w:rPr>
          <w:rFonts w:ascii="Times New Roman" w:hAnsi="Times New Roman" w:eastAsia="仿宋" w:cs="Times New Roman"/>
          <w:sz w:val="32"/>
          <w:szCs w:val="32"/>
        </w:rPr>
        <w:t>0</w:t>
      </w:r>
      <w:r>
        <w:rPr>
          <w:rFonts w:hint="eastAsia" w:ascii="Times New Roman" w:hAnsi="Times New Roman" w:eastAsia="仿宋" w:cs="仿宋"/>
          <w:sz w:val="32"/>
          <w:szCs w:val="32"/>
        </w:rPr>
        <w:t>万元，其他来源收入</w:t>
      </w:r>
      <w:r>
        <w:rPr>
          <w:rFonts w:ascii="Times New Roman" w:hAnsi="Times New Roman" w:eastAsia="仿宋" w:cs="Times New Roman"/>
          <w:sz w:val="32"/>
          <w:szCs w:val="32"/>
        </w:rPr>
        <w:t>0</w:t>
      </w:r>
      <w:r>
        <w:rPr>
          <w:rFonts w:hint="eastAsia" w:ascii="Times New Roman" w:hAnsi="Times New Roman" w:eastAsia="仿宋" w:cs="仿宋"/>
          <w:sz w:val="32"/>
          <w:szCs w:val="32"/>
        </w:rPr>
        <w:t>万元。</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仿宋"/>
          <w:sz w:val="32"/>
          <w:szCs w:val="32"/>
        </w:rPr>
        <w:t>、支出说明</w:t>
      </w:r>
    </w:p>
    <w:p>
      <w:pPr>
        <w:ind w:firstLine="640"/>
        <w:rPr>
          <w:rFonts w:ascii="Times New Roman" w:hAnsi="Times New Roman" w:eastAsia="仿宋" w:cs="Times New Roman"/>
          <w:color w:val="000000"/>
          <w:sz w:val="32"/>
          <w:szCs w:val="32"/>
        </w:rPr>
      </w:pPr>
      <w:r>
        <w:rPr>
          <w:rFonts w:hint="eastAsia" w:ascii="Times New Roman" w:hAnsi="Times New Roman" w:eastAsia="仿宋" w:cs="仿宋"/>
          <w:sz w:val="32"/>
          <w:szCs w:val="32"/>
        </w:rPr>
        <w:t>收支预算总表支出栏、基本支出表、项目支出表按经济分类和支出功能分类科目编制，反映无极县质量技术监督局年度部门预算中支出预算的总体情况。</w:t>
      </w:r>
      <w:r>
        <w:rPr>
          <w:rFonts w:ascii="Times New Roman" w:hAnsi="Times New Roman" w:eastAsia="仿宋" w:cs="Times New Roman"/>
          <w:sz w:val="32"/>
          <w:szCs w:val="32"/>
        </w:rPr>
        <w:t>2020</w:t>
      </w:r>
      <w:r>
        <w:rPr>
          <w:rFonts w:hint="eastAsia" w:ascii="Times New Roman" w:hAnsi="Times New Roman" w:eastAsia="仿宋" w:cs="仿宋"/>
          <w:sz w:val="32"/>
          <w:szCs w:val="32"/>
        </w:rPr>
        <w:t>年部门支出预算为876.44万元，其中基本支出</w:t>
      </w:r>
      <w:r>
        <w:rPr>
          <w:rFonts w:hint="eastAsia" w:ascii="Times New Roman" w:hAnsi="Times New Roman" w:eastAsia="仿宋" w:cs="Times New Roman"/>
          <w:sz w:val="32"/>
          <w:szCs w:val="32"/>
        </w:rPr>
        <w:t>643.44</w:t>
      </w:r>
      <w:r>
        <w:rPr>
          <w:rFonts w:hint="eastAsia" w:ascii="Times New Roman" w:hAnsi="Times New Roman" w:eastAsia="仿宋" w:cs="仿宋"/>
          <w:sz w:val="32"/>
          <w:szCs w:val="32"/>
        </w:rPr>
        <w:t>万元，包括人员经费</w:t>
      </w:r>
      <w:r>
        <w:rPr>
          <w:rFonts w:hint="eastAsia" w:ascii="Times New Roman" w:hAnsi="Times New Roman" w:eastAsia="仿宋" w:cs="Times New Roman"/>
          <w:sz w:val="32"/>
          <w:szCs w:val="32"/>
        </w:rPr>
        <w:t>618.32</w:t>
      </w:r>
      <w:r>
        <w:rPr>
          <w:rFonts w:hint="eastAsia" w:ascii="Times New Roman" w:hAnsi="Times New Roman" w:eastAsia="仿宋" w:cs="仿宋"/>
          <w:sz w:val="32"/>
          <w:szCs w:val="32"/>
        </w:rPr>
        <w:t>万元和日常公用经费</w:t>
      </w:r>
      <w:r>
        <w:rPr>
          <w:rFonts w:hint="eastAsia" w:ascii="Times New Roman" w:hAnsi="Times New Roman" w:eastAsia="仿宋" w:cs="Times New Roman"/>
          <w:sz w:val="32"/>
          <w:szCs w:val="32"/>
        </w:rPr>
        <w:t>25.12</w:t>
      </w:r>
      <w:r>
        <w:rPr>
          <w:rFonts w:hint="eastAsia" w:ascii="Times New Roman" w:hAnsi="Times New Roman" w:eastAsia="仿宋" w:cs="仿宋"/>
          <w:sz w:val="32"/>
          <w:szCs w:val="32"/>
        </w:rPr>
        <w:t>万元；项目支出</w:t>
      </w:r>
      <w:r>
        <w:rPr>
          <w:rFonts w:hint="eastAsia" w:ascii="Times New Roman" w:hAnsi="Times New Roman" w:eastAsia="仿宋" w:cs="Times New Roman"/>
          <w:sz w:val="32"/>
          <w:szCs w:val="32"/>
        </w:rPr>
        <w:t>233</w:t>
      </w:r>
      <w:r>
        <w:rPr>
          <w:rFonts w:hint="eastAsia" w:ascii="Times New Roman" w:hAnsi="Times New Roman" w:eastAsia="仿宋" w:cs="仿宋"/>
          <w:sz w:val="32"/>
          <w:szCs w:val="32"/>
        </w:rPr>
        <w:t>万元，</w:t>
      </w:r>
      <w:r>
        <w:rPr>
          <w:rFonts w:hint="eastAsia" w:ascii="Times New Roman" w:hAnsi="Times New Roman" w:eastAsia="仿宋" w:cs="仿宋"/>
          <w:color w:val="000000"/>
          <w:sz w:val="32"/>
          <w:szCs w:val="32"/>
        </w:rPr>
        <w:t>主要为市场主体管理支出</w:t>
      </w:r>
      <w:r>
        <w:rPr>
          <w:rFonts w:hint="eastAsia" w:ascii="Times New Roman" w:hAnsi="Times New Roman" w:eastAsia="仿宋" w:cs="Times New Roman"/>
          <w:color w:val="000000"/>
          <w:sz w:val="32"/>
          <w:szCs w:val="32"/>
        </w:rPr>
        <w:t>210</w:t>
      </w:r>
      <w:r>
        <w:rPr>
          <w:rFonts w:hint="eastAsia" w:ascii="Times New Roman" w:hAnsi="Times New Roman" w:eastAsia="仿宋" w:cs="仿宋"/>
          <w:color w:val="000000"/>
          <w:sz w:val="32"/>
          <w:szCs w:val="32"/>
        </w:rPr>
        <w:t>万元，质量基础支出</w:t>
      </w:r>
      <w:r>
        <w:rPr>
          <w:rFonts w:hint="eastAsia" w:ascii="Times New Roman" w:hAnsi="Times New Roman" w:eastAsia="仿宋" w:cs="Times New Roman"/>
          <w:color w:val="000000"/>
          <w:sz w:val="32"/>
          <w:szCs w:val="32"/>
        </w:rPr>
        <w:t>13</w:t>
      </w:r>
      <w:r>
        <w:rPr>
          <w:rFonts w:hint="eastAsia" w:ascii="Times New Roman" w:hAnsi="Times New Roman" w:eastAsia="仿宋" w:cs="仿宋"/>
          <w:color w:val="000000"/>
          <w:sz w:val="32"/>
          <w:szCs w:val="32"/>
        </w:rPr>
        <w:t>万元，质量安全监管支出</w:t>
      </w:r>
      <w:r>
        <w:rPr>
          <w:rFonts w:hint="eastAsia" w:ascii="Times New Roman" w:hAnsi="Times New Roman" w:eastAsia="仿宋" w:cs="Times New Roman"/>
          <w:color w:val="000000"/>
          <w:sz w:val="32"/>
          <w:szCs w:val="32"/>
        </w:rPr>
        <w:t>10</w:t>
      </w:r>
      <w:r>
        <w:rPr>
          <w:rFonts w:hint="eastAsia" w:ascii="Times New Roman" w:hAnsi="Times New Roman" w:eastAsia="仿宋" w:cs="仿宋"/>
          <w:color w:val="000000"/>
          <w:sz w:val="32"/>
          <w:szCs w:val="32"/>
        </w:rPr>
        <w:t>万元；其他支出</w:t>
      </w:r>
      <w:r>
        <w:rPr>
          <w:rFonts w:hint="eastAsia" w:ascii="Times New Roman" w:hAnsi="Times New Roman" w:eastAsia="仿宋" w:cs="Times New Roman"/>
          <w:color w:val="000000"/>
          <w:sz w:val="32"/>
          <w:szCs w:val="32"/>
        </w:rPr>
        <w:t>0</w:t>
      </w:r>
      <w:r>
        <w:rPr>
          <w:rFonts w:hint="eastAsia" w:ascii="Times New Roman" w:hAnsi="Times New Roman" w:eastAsia="仿宋" w:cs="仿宋"/>
          <w:color w:val="000000"/>
          <w:sz w:val="32"/>
          <w:szCs w:val="32"/>
        </w:rPr>
        <w:t>万元。</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仿宋"/>
          <w:sz w:val="32"/>
          <w:szCs w:val="32"/>
        </w:rPr>
        <w:t>、比上年增减情况</w:t>
      </w:r>
    </w:p>
    <w:p>
      <w:pPr>
        <w:ind w:firstLine="640"/>
        <w:rPr>
          <w:rFonts w:ascii="Times New Roman" w:hAnsi="Times New Roman" w:eastAsia="仿宋" w:cs="Times New Roman"/>
          <w:sz w:val="32"/>
          <w:szCs w:val="32"/>
        </w:rPr>
      </w:pPr>
      <w:r>
        <w:rPr>
          <w:rFonts w:ascii="Times New Roman" w:hAnsi="Times New Roman" w:eastAsia="仿宋" w:cs="Times New Roman"/>
          <w:color w:val="000000"/>
          <w:sz w:val="32"/>
          <w:szCs w:val="32"/>
        </w:rPr>
        <w:t>2020</w:t>
      </w:r>
      <w:r>
        <w:rPr>
          <w:rFonts w:hint="eastAsia" w:ascii="Times New Roman" w:hAnsi="Times New Roman" w:eastAsia="仿宋" w:cs="仿宋"/>
          <w:color w:val="000000"/>
          <w:sz w:val="32"/>
          <w:szCs w:val="32"/>
        </w:rPr>
        <w:t>年部门预算收支安排</w:t>
      </w:r>
      <w:r>
        <w:rPr>
          <w:rFonts w:hint="eastAsia" w:ascii="Times New Roman" w:hAnsi="Times New Roman" w:eastAsia="仿宋" w:cs="Times New Roman"/>
          <w:sz w:val="32"/>
          <w:szCs w:val="32"/>
        </w:rPr>
        <w:t>876.44</w:t>
      </w:r>
      <w:r>
        <w:rPr>
          <w:rFonts w:hint="eastAsia" w:ascii="Times New Roman" w:hAnsi="Times New Roman" w:eastAsia="仿宋" w:cs="仿宋"/>
          <w:color w:val="000000"/>
          <w:sz w:val="32"/>
          <w:szCs w:val="32"/>
        </w:rPr>
        <w:t>万元，</w:t>
      </w:r>
      <w:r>
        <w:rPr>
          <w:rFonts w:hint="eastAsia" w:ascii="Times New Roman" w:hAnsi="Times New Roman" w:eastAsia="仿宋" w:cs="仿宋"/>
          <w:sz w:val="32"/>
          <w:szCs w:val="32"/>
        </w:rPr>
        <w:t>较</w:t>
      </w:r>
      <w:r>
        <w:rPr>
          <w:rFonts w:ascii="Times New Roman" w:hAnsi="Times New Roman" w:eastAsia="仿宋" w:cs="Times New Roman"/>
          <w:sz w:val="32"/>
          <w:szCs w:val="32"/>
        </w:rPr>
        <w:t>2019</w:t>
      </w:r>
      <w:r>
        <w:rPr>
          <w:rFonts w:hint="eastAsia" w:ascii="Times New Roman" w:hAnsi="Times New Roman" w:eastAsia="仿宋" w:cs="仿宋"/>
          <w:sz w:val="32"/>
          <w:szCs w:val="32"/>
        </w:rPr>
        <w:t>年减少84.76万元，其中：基本支出减少</w:t>
      </w:r>
      <w:r>
        <w:rPr>
          <w:rFonts w:hint="eastAsia" w:ascii="Times New Roman" w:hAnsi="Times New Roman" w:eastAsia="仿宋" w:cs="Times New Roman"/>
          <w:sz w:val="32"/>
          <w:szCs w:val="32"/>
        </w:rPr>
        <w:t>69.76</w:t>
      </w:r>
      <w:r>
        <w:rPr>
          <w:rFonts w:hint="eastAsia" w:ascii="Times New Roman" w:hAnsi="Times New Roman" w:eastAsia="仿宋" w:cs="仿宋"/>
          <w:sz w:val="32"/>
          <w:szCs w:val="32"/>
        </w:rPr>
        <w:t>万元，主要是人员减少，相应减少人员经费和日常公用经费；项目支出减少15万元，主要是项目减少；其他支出无增减变化。</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黑体"/>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2020</w:t>
      </w:r>
      <w:r>
        <w:rPr>
          <w:rFonts w:hint="eastAsia" w:ascii="Times New Roman" w:hAnsi="Times New Roman" w:eastAsia="仿宋" w:cs="仿宋"/>
          <w:sz w:val="32"/>
          <w:szCs w:val="32"/>
        </w:rPr>
        <w:t>年，我部门机关运行经费共计安排</w:t>
      </w:r>
      <w:r>
        <w:rPr>
          <w:rFonts w:hint="eastAsia" w:ascii="Times New Roman" w:hAnsi="Times New Roman" w:eastAsia="仿宋" w:cs="Times New Roman"/>
          <w:sz w:val="32"/>
          <w:szCs w:val="32"/>
        </w:rPr>
        <w:t>25.12</w:t>
      </w:r>
      <w:r>
        <w:rPr>
          <w:rFonts w:hint="eastAsia" w:ascii="Times New Roman" w:hAnsi="Times New Roman" w:eastAsia="仿宋" w:cs="仿宋"/>
          <w:sz w:val="32"/>
          <w:szCs w:val="32"/>
        </w:rPr>
        <w:t>万元，主要用于保证机关正常运转的办公及印刷费、邮电费、差旅费、会议费、福利费、专用材料及一般设备购置费、办公用房水电费、办公用房取暖费、日常维修费、办公楼物业管理费、公务车运行维护费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黑体"/>
          <w:sz w:val="32"/>
          <w:szCs w:val="32"/>
        </w:rPr>
        <w:t>四、财政拨款“三公”经费预算情况及增减变化原因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2020</w:t>
      </w:r>
      <w:r>
        <w:rPr>
          <w:rFonts w:hint="eastAsia" w:ascii="Times New Roman" w:hAnsi="Times New Roman" w:eastAsia="仿宋" w:cs="仿宋"/>
          <w:sz w:val="32"/>
          <w:szCs w:val="32"/>
        </w:rPr>
        <w:t>年，我部门财政拨款“三公”经费预算安排</w:t>
      </w:r>
      <w:r>
        <w:rPr>
          <w:rFonts w:hint="eastAsia" w:ascii="Times New Roman" w:hAnsi="Times New Roman" w:eastAsia="仿宋" w:cs="Times New Roman"/>
          <w:sz w:val="32"/>
          <w:szCs w:val="32"/>
        </w:rPr>
        <w:t>3.8</w:t>
      </w:r>
      <w:r>
        <w:rPr>
          <w:rFonts w:hint="eastAsia" w:ascii="Times New Roman" w:hAnsi="Times New Roman" w:eastAsia="仿宋" w:cs="仿宋"/>
          <w:sz w:val="32"/>
          <w:szCs w:val="32"/>
        </w:rPr>
        <w:t>万元，其中：因公出国（境）费</w:t>
      </w:r>
      <w:r>
        <w:rPr>
          <w:rFonts w:hint="eastAsia" w:ascii="Times New Roman" w:hAnsi="Times New Roman" w:eastAsia="仿宋" w:cs="Times New Roman"/>
          <w:sz w:val="32"/>
          <w:szCs w:val="32"/>
        </w:rPr>
        <w:t>0</w:t>
      </w:r>
      <w:r>
        <w:rPr>
          <w:rFonts w:hint="eastAsia" w:ascii="Times New Roman" w:hAnsi="Times New Roman" w:eastAsia="仿宋" w:cs="仿宋"/>
          <w:sz w:val="32"/>
          <w:szCs w:val="32"/>
        </w:rPr>
        <w:t>万元；公务用车购置及运维费</w:t>
      </w:r>
      <w:r>
        <w:rPr>
          <w:rFonts w:hint="eastAsia" w:ascii="Times New Roman" w:hAnsi="Times New Roman" w:eastAsia="仿宋" w:cs="Times New Roman"/>
          <w:sz w:val="32"/>
          <w:szCs w:val="32"/>
        </w:rPr>
        <w:t>3</w:t>
      </w:r>
      <w:r>
        <w:rPr>
          <w:rFonts w:hint="eastAsia" w:ascii="Times New Roman" w:hAnsi="Times New Roman" w:eastAsia="仿宋" w:cs="仿宋"/>
          <w:sz w:val="32"/>
          <w:szCs w:val="32"/>
        </w:rPr>
        <w:t>万元（其中：公务用车购置费</w:t>
      </w:r>
      <w:r>
        <w:rPr>
          <w:rFonts w:ascii="Times New Roman" w:hAnsi="Times New Roman" w:eastAsia="仿宋" w:cs="Times New Roman"/>
          <w:sz w:val="32"/>
          <w:szCs w:val="32"/>
        </w:rPr>
        <w:t>0</w:t>
      </w:r>
      <w:r>
        <w:rPr>
          <w:rFonts w:hint="eastAsia" w:ascii="Times New Roman" w:hAnsi="Times New Roman" w:eastAsia="仿宋" w:cs="仿宋"/>
          <w:sz w:val="32"/>
          <w:szCs w:val="32"/>
        </w:rPr>
        <w:t>万元，公务用车运行维护费</w:t>
      </w:r>
      <w:r>
        <w:rPr>
          <w:rFonts w:hint="eastAsia" w:ascii="Times New Roman" w:hAnsi="Times New Roman" w:eastAsia="仿宋" w:cs="Times New Roman"/>
          <w:sz w:val="32"/>
          <w:szCs w:val="32"/>
        </w:rPr>
        <w:t>3</w:t>
      </w:r>
      <w:r>
        <w:rPr>
          <w:rFonts w:hint="eastAsia" w:ascii="Times New Roman" w:hAnsi="Times New Roman" w:eastAsia="仿宋" w:cs="仿宋"/>
          <w:sz w:val="32"/>
          <w:szCs w:val="32"/>
        </w:rPr>
        <w:t>万元</w:t>
      </w:r>
      <w:r>
        <w:rPr>
          <w:rFonts w:ascii="Times New Roman" w:hAnsi="Times New Roman" w:eastAsia="仿宋" w:cs="Times New Roman"/>
          <w:sz w:val="32"/>
          <w:szCs w:val="32"/>
        </w:rPr>
        <w:t>)</w:t>
      </w:r>
      <w:r>
        <w:rPr>
          <w:rFonts w:hint="eastAsia" w:ascii="Times New Roman" w:hAnsi="Times New Roman" w:eastAsia="仿宋" w:cs="仿宋"/>
          <w:sz w:val="32"/>
          <w:szCs w:val="32"/>
        </w:rPr>
        <w:t>；公务接待费0.8万元。“三公”经费与上年持平，无增减变化。</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黑体"/>
          <w:sz w:val="32"/>
          <w:szCs w:val="32"/>
        </w:rPr>
        <w:t>五、预算绩效信息</w:t>
      </w:r>
    </w:p>
    <w:p>
      <w:pPr>
        <w:ind w:firstLine="643" w:firstLineChars="200"/>
        <w:jc w:val="left"/>
        <w:rPr>
          <w:rFonts w:ascii="Times New Roman" w:hAnsi="Times New Roman" w:eastAsia="仿宋" w:cs="Times New Roman"/>
          <w:sz w:val="32"/>
          <w:szCs w:val="32"/>
        </w:rPr>
      </w:pPr>
      <w:bookmarkStart w:id="0" w:name="_Toc471398463"/>
      <w:r>
        <w:rPr>
          <w:rFonts w:hint="eastAsia" w:ascii="Times New Roman" w:hAnsi="Times New Roman" w:eastAsia="方正仿宋_GBK" w:cs="方正仿宋_GBK"/>
          <w:b/>
          <w:bCs/>
          <w:sz w:val="32"/>
          <w:szCs w:val="32"/>
        </w:rPr>
        <w:t>第一部分部门整体绩效目标</w:t>
      </w:r>
    </w:p>
    <w:p>
      <w:pPr>
        <w:autoSpaceDE w:val="0"/>
        <w:autoSpaceDN w:val="0"/>
        <w:adjustRightInd w:val="0"/>
        <w:ind w:left="198" w:firstLine="643" w:firstLineChars="200"/>
        <w:jc w:val="left"/>
        <w:rPr>
          <w:rFonts w:ascii="Times New Roman" w:hAnsi="Times New Roman" w:eastAsia="方正仿宋_GBK" w:cs="Times New Roman"/>
          <w:b/>
          <w:bCs/>
          <w:sz w:val="32"/>
          <w:szCs w:val="32"/>
        </w:rPr>
      </w:pPr>
      <w:r>
        <w:rPr>
          <w:rFonts w:hint="eastAsia" w:ascii="Times New Roman" w:hAnsi="Times New Roman" w:eastAsia="方正仿宋_GBK" w:cs="方正仿宋_GBK"/>
          <w:b/>
          <w:bCs/>
          <w:sz w:val="32"/>
          <w:szCs w:val="32"/>
        </w:rPr>
        <w:t>（一）总体绩效目标</w:t>
      </w:r>
      <w:r>
        <w:rPr>
          <w:rFonts w:ascii="Times New Roman" w:hAnsi="Times New Roman" w:eastAsia="方正仿宋_GBK" w:cs="方正仿宋_GBK"/>
          <w:b/>
          <w:bCs/>
          <w:sz w:val="32"/>
          <w:szCs w:val="32"/>
        </w:rPr>
        <w:fldChar w:fldCharType="begin"/>
      </w:r>
      <w:r>
        <w:rPr>
          <w:rFonts w:ascii="Times New Roman" w:hAnsi="Times New Roman" w:eastAsia="方正仿宋_GBK" w:cs="Times New Roman"/>
          <w:b/>
          <w:bCs/>
          <w:sz w:val="32"/>
          <w:szCs w:val="32"/>
        </w:rPr>
        <w:instrText xml:space="preserve">tc "</w:instrText>
      </w:r>
      <w:bookmarkStart w:id="1" w:name="_Toc29484628"/>
      <w:r>
        <w:rPr>
          <w:rFonts w:hint="eastAsia" w:ascii="Times New Roman" w:hAnsi="Times New Roman" w:eastAsia="方正仿宋_GBK" w:cs="方正仿宋_GBK"/>
          <w:b/>
          <w:bCs/>
          <w:sz w:val="32"/>
          <w:szCs w:val="32"/>
        </w:rPr>
        <w:instrText xml:space="preserve">总体绩效目标</w:instrText>
      </w:r>
      <w:bookmarkEnd w:id="1"/>
      <w:r>
        <w:rPr>
          <w:rFonts w:ascii="Times New Roman" w:hAnsi="Times New Roman" w:eastAsia="方正仿宋_GBK" w:cs="Times New Roman"/>
          <w:b/>
          <w:bCs/>
          <w:sz w:val="32"/>
          <w:szCs w:val="32"/>
        </w:rPr>
        <w:instrText xml:space="preserve">" \f A \l 01</w:instrText>
      </w:r>
      <w:r>
        <w:rPr>
          <w:rFonts w:ascii="Times New Roman" w:hAnsi="Times New Roman" w:eastAsia="方正仿宋_GBK" w:cs="方正仿宋_GBK"/>
          <w:b/>
          <w:bCs/>
          <w:sz w:val="32"/>
          <w:szCs w:val="32"/>
        </w:rPr>
        <w:fldChar w:fldCharType="end"/>
      </w:r>
    </w:p>
    <w:p>
      <w:pPr>
        <w:spacing w:line="500" w:lineRule="exact"/>
        <w:ind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按照市局和县委、县政府的总体部署和要求，结合我县经济发展和自身工作实际，以提高质量、深入打假、保障安全、强化技术基础和队伍建设为重点，进一步深化改革，加快发展，逐步建立健全符合市场经济规律、适应经济发展需要的质量技术监督工作机制，在调整优化经济结构、转变增长方式、提高增长质量和效益，优化投资发展环境、完善市场经济体制过程中，努力发挥质检工作服务经济、促进发展的作用。</w:t>
      </w:r>
    </w:p>
    <w:p>
      <w:pPr>
        <w:spacing w:line="500" w:lineRule="exact"/>
        <w:ind w:firstLine="640" w:firstLineChars="200"/>
        <w:jc w:val="left"/>
        <w:rPr>
          <w:rFonts w:ascii="Times New Roman" w:hAnsi="Times New Roman" w:eastAsia="仿宋" w:cs="仿宋"/>
          <w:sz w:val="32"/>
          <w:szCs w:val="32"/>
        </w:rPr>
      </w:pPr>
      <w:r>
        <w:rPr>
          <w:rFonts w:ascii="Times New Roman" w:hAnsi="Times New Roman" w:eastAsia="仿宋" w:cs="仿宋"/>
          <w:sz w:val="32"/>
          <w:szCs w:val="32"/>
        </w:rPr>
        <w:t>(</w:t>
      </w:r>
      <w:r>
        <w:rPr>
          <w:rFonts w:hint="eastAsia" w:ascii="Times New Roman" w:hAnsi="Times New Roman" w:eastAsia="仿宋" w:cs="仿宋"/>
          <w:sz w:val="32"/>
          <w:szCs w:val="32"/>
        </w:rPr>
        <w:t>一</w:t>
      </w:r>
      <w:r>
        <w:rPr>
          <w:rFonts w:ascii="Times New Roman" w:hAnsi="Times New Roman" w:eastAsia="仿宋" w:cs="仿宋"/>
          <w:sz w:val="32"/>
          <w:szCs w:val="32"/>
        </w:rPr>
        <w:t>)</w:t>
      </w:r>
      <w:r>
        <w:rPr>
          <w:rFonts w:hint="eastAsia" w:ascii="Times New Roman" w:hAnsi="Times New Roman" w:eastAsia="仿宋" w:cs="仿宋"/>
          <w:sz w:val="32"/>
          <w:szCs w:val="32"/>
        </w:rPr>
        <w:t>坚持以加快事业发展为中心，增强促进事业快速发展的原动力，增强源头抓质量的工作力度，提升服务经济、服务社会、服务百姓的能力。</w:t>
      </w:r>
    </w:p>
    <w:p>
      <w:pPr>
        <w:spacing w:line="500" w:lineRule="exact"/>
        <w:ind w:firstLine="640" w:firstLineChars="200"/>
        <w:jc w:val="left"/>
        <w:rPr>
          <w:rFonts w:ascii="Times New Roman" w:hAnsi="Times New Roman" w:eastAsia="仿宋" w:cs="仿宋"/>
          <w:sz w:val="32"/>
          <w:szCs w:val="32"/>
        </w:rPr>
      </w:pPr>
      <w:r>
        <w:rPr>
          <w:rFonts w:ascii="Times New Roman" w:hAnsi="Times New Roman" w:eastAsia="仿宋" w:cs="仿宋"/>
          <w:sz w:val="32"/>
          <w:szCs w:val="32"/>
        </w:rPr>
        <w:t>(</w:t>
      </w:r>
      <w:r>
        <w:rPr>
          <w:rFonts w:hint="eastAsia" w:ascii="Times New Roman" w:hAnsi="Times New Roman" w:eastAsia="仿宋" w:cs="仿宋"/>
          <w:sz w:val="32"/>
          <w:szCs w:val="32"/>
        </w:rPr>
        <w:t>二</w:t>
      </w:r>
      <w:r>
        <w:rPr>
          <w:rFonts w:ascii="Times New Roman" w:hAnsi="Times New Roman" w:eastAsia="仿宋" w:cs="仿宋"/>
          <w:sz w:val="32"/>
          <w:szCs w:val="32"/>
        </w:rPr>
        <w:t>)</w:t>
      </w:r>
      <w:r>
        <w:rPr>
          <w:rFonts w:hint="eastAsia" w:ascii="Times New Roman" w:hAnsi="Times New Roman" w:eastAsia="仿宋" w:cs="仿宋"/>
          <w:sz w:val="32"/>
          <w:szCs w:val="32"/>
        </w:rPr>
        <w:t>从源头抓质量提高质检工作有效性。发动全社会重视从源头抓质量，加强对企业的监督管理；加强企业标准、计量的监督管理；引导企业采用国际标准和国外先进标准，督促企业按标准组织生产。</w:t>
      </w:r>
    </w:p>
    <w:p>
      <w:pPr>
        <w:spacing w:line="500" w:lineRule="exact"/>
        <w:ind w:firstLine="640" w:firstLineChars="200"/>
        <w:jc w:val="left"/>
        <w:rPr>
          <w:rFonts w:ascii="Times New Roman" w:hAnsi="Times New Roman" w:eastAsia="仿宋" w:cs="仿宋"/>
          <w:sz w:val="32"/>
          <w:szCs w:val="32"/>
        </w:rPr>
      </w:pPr>
      <w:r>
        <w:rPr>
          <w:rFonts w:ascii="Times New Roman" w:hAnsi="Times New Roman" w:eastAsia="仿宋" w:cs="仿宋"/>
          <w:sz w:val="32"/>
          <w:szCs w:val="32"/>
        </w:rPr>
        <w:t>(</w:t>
      </w:r>
      <w:r>
        <w:rPr>
          <w:rFonts w:hint="eastAsia" w:ascii="Times New Roman" w:hAnsi="Times New Roman" w:eastAsia="仿宋" w:cs="仿宋"/>
          <w:sz w:val="32"/>
          <w:szCs w:val="32"/>
        </w:rPr>
        <w:t>三</w:t>
      </w:r>
      <w:r>
        <w:rPr>
          <w:rFonts w:ascii="Times New Roman" w:hAnsi="Times New Roman" w:eastAsia="仿宋" w:cs="仿宋"/>
          <w:sz w:val="32"/>
          <w:szCs w:val="32"/>
        </w:rPr>
        <w:t>)</w:t>
      </w:r>
      <w:r>
        <w:rPr>
          <w:rFonts w:hint="eastAsia" w:ascii="Times New Roman" w:hAnsi="Times New Roman" w:eastAsia="仿宋" w:cs="仿宋"/>
          <w:sz w:val="32"/>
          <w:szCs w:val="32"/>
        </w:rPr>
        <w:t>以增强我县产品竞争能力为重点，加强产品质量宏观指导和综合管理，组织</w:t>
      </w:r>
      <w:r>
        <w:rPr>
          <w:rFonts w:ascii="Times New Roman" w:hAnsi="Times New Roman" w:eastAsia="仿宋" w:cs="仿宋"/>
          <w:sz w:val="32"/>
          <w:szCs w:val="32"/>
        </w:rPr>
        <w:t>“</w:t>
      </w:r>
      <w:r>
        <w:rPr>
          <w:rFonts w:hint="eastAsia" w:ascii="Times New Roman" w:hAnsi="Times New Roman" w:eastAsia="仿宋" w:cs="仿宋"/>
          <w:sz w:val="32"/>
          <w:szCs w:val="32"/>
        </w:rPr>
        <w:t>质量兴县</w:t>
      </w:r>
      <w:r>
        <w:rPr>
          <w:rFonts w:ascii="Times New Roman" w:hAnsi="Times New Roman" w:eastAsia="仿宋" w:cs="仿宋"/>
          <w:sz w:val="32"/>
          <w:szCs w:val="32"/>
        </w:rPr>
        <w:t>”</w:t>
      </w:r>
      <w:r>
        <w:rPr>
          <w:rFonts w:hint="eastAsia" w:ascii="Times New Roman" w:hAnsi="Times New Roman" w:eastAsia="仿宋" w:cs="仿宋"/>
          <w:sz w:val="32"/>
          <w:szCs w:val="32"/>
        </w:rPr>
        <w:t>系列宣传活动</w:t>
      </w:r>
      <w:r>
        <w:rPr>
          <w:rFonts w:ascii="Times New Roman" w:hAnsi="Times New Roman" w:eastAsia="仿宋" w:cs="仿宋"/>
          <w:sz w:val="32"/>
          <w:szCs w:val="32"/>
        </w:rPr>
        <w:t>;</w:t>
      </w:r>
      <w:r>
        <w:rPr>
          <w:rFonts w:hint="eastAsia" w:ascii="Times New Roman" w:hAnsi="Times New Roman" w:eastAsia="仿宋" w:cs="仿宋"/>
          <w:sz w:val="32"/>
          <w:szCs w:val="32"/>
        </w:rPr>
        <w:t>加强生产许可证工作；继续大力整顿和规范市场经济秩序，强化质量监督和执法打假工作。继续深入实施食品质量安全市场准入制度，做好食品生产许可证的审查发放，以产品质量安全为主题，突出食品、农资、建材三个重点，组织开展好各类专项打假活动。推进农业标准化为重点，做好标准化工作。深化计量法制管理，完善市场计量机制。全面推行特种设备安全监察工作。</w:t>
      </w:r>
    </w:p>
    <w:p>
      <w:pPr>
        <w:spacing w:line="500" w:lineRule="exact"/>
        <w:ind w:firstLine="640" w:firstLineChars="200"/>
        <w:jc w:val="left"/>
        <w:rPr>
          <w:rFonts w:ascii="Times New Roman" w:hAnsi="Times New Roman" w:eastAsia="仿宋" w:cs="仿宋"/>
          <w:sz w:val="32"/>
          <w:szCs w:val="32"/>
        </w:rPr>
      </w:pPr>
      <w:r>
        <w:rPr>
          <w:rFonts w:ascii="Times New Roman" w:hAnsi="Times New Roman" w:eastAsia="仿宋" w:cs="仿宋"/>
          <w:sz w:val="32"/>
          <w:szCs w:val="32"/>
        </w:rPr>
        <w:t>(</w:t>
      </w:r>
      <w:r>
        <w:rPr>
          <w:rFonts w:hint="eastAsia" w:ascii="Times New Roman" w:hAnsi="Times New Roman" w:eastAsia="仿宋" w:cs="仿宋"/>
          <w:sz w:val="32"/>
          <w:szCs w:val="32"/>
        </w:rPr>
        <w:t>四</w:t>
      </w:r>
      <w:r>
        <w:rPr>
          <w:rFonts w:ascii="Times New Roman" w:hAnsi="Times New Roman" w:eastAsia="仿宋" w:cs="仿宋"/>
          <w:sz w:val="32"/>
          <w:szCs w:val="32"/>
        </w:rPr>
        <w:t>)</w:t>
      </w:r>
      <w:r>
        <w:rPr>
          <w:rFonts w:hint="eastAsia" w:ascii="Times New Roman" w:hAnsi="Times New Roman" w:eastAsia="仿宋" w:cs="仿宋"/>
          <w:sz w:val="32"/>
          <w:szCs w:val="32"/>
        </w:rPr>
        <w:t>加快技术检测基础设施建设，实现检测资源的优化配置。</w:t>
      </w:r>
    </w:p>
    <w:p>
      <w:pPr>
        <w:spacing w:line="500" w:lineRule="exact"/>
        <w:ind w:firstLine="640" w:firstLineChars="200"/>
        <w:jc w:val="left"/>
        <w:rPr>
          <w:rFonts w:ascii="Times New Roman" w:hAnsi="Times New Roman" w:eastAsia="仿宋" w:cs="仿宋"/>
          <w:sz w:val="32"/>
          <w:szCs w:val="32"/>
        </w:rPr>
      </w:pPr>
      <w:r>
        <w:rPr>
          <w:rFonts w:ascii="Times New Roman" w:hAnsi="Times New Roman" w:eastAsia="仿宋" w:cs="仿宋"/>
          <w:sz w:val="32"/>
          <w:szCs w:val="32"/>
        </w:rPr>
        <w:t>(</w:t>
      </w:r>
      <w:r>
        <w:rPr>
          <w:rFonts w:hint="eastAsia" w:ascii="Times New Roman" w:hAnsi="Times New Roman" w:eastAsia="仿宋" w:cs="仿宋"/>
          <w:sz w:val="32"/>
          <w:szCs w:val="32"/>
        </w:rPr>
        <w:t>五</w:t>
      </w:r>
      <w:r>
        <w:rPr>
          <w:rFonts w:ascii="Times New Roman" w:hAnsi="Times New Roman" w:eastAsia="仿宋" w:cs="仿宋"/>
          <w:sz w:val="32"/>
          <w:szCs w:val="32"/>
        </w:rPr>
        <w:t>)</w:t>
      </w:r>
      <w:r>
        <w:rPr>
          <w:rFonts w:hint="eastAsia" w:ascii="Times New Roman" w:hAnsi="Times New Roman" w:eastAsia="仿宋" w:cs="仿宋"/>
          <w:sz w:val="32"/>
          <w:szCs w:val="32"/>
        </w:rPr>
        <w:t>坚强法制建设和宣传工作。继续完善有关行政执法及行政执法监督的各项规章制度，强化对执法人员培训、教育、管理和法律法规规章的宣贯培训。</w:t>
      </w:r>
    </w:p>
    <w:p>
      <w:pPr>
        <w:spacing w:line="500" w:lineRule="exact"/>
        <w:ind w:firstLine="640" w:firstLineChars="200"/>
        <w:jc w:val="left"/>
        <w:rPr>
          <w:rFonts w:ascii="Times New Roman" w:hAnsi="Times New Roman" w:eastAsia="仿宋" w:cs="仿宋"/>
          <w:sz w:val="32"/>
          <w:szCs w:val="32"/>
        </w:rPr>
      </w:pPr>
      <w:r>
        <w:rPr>
          <w:rFonts w:ascii="Times New Roman" w:hAnsi="Times New Roman" w:eastAsia="仿宋" w:cs="仿宋"/>
          <w:sz w:val="32"/>
          <w:szCs w:val="32"/>
        </w:rPr>
        <w:t>(</w:t>
      </w:r>
      <w:r>
        <w:rPr>
          <w:rFonts w:hint="eastAsia" w:ascii="Times New Roman" w:hAnsi="Times New Roman" w:eastAsia="仿宋" w:cs="仿宋"/>
          <w:sz w:val="32"/>
          <w:szCs w:val="32"/>
        </w:rPr>
        <w:t>六</w:t>
      </w:r>
      <w:r>
        <w:rPr>
          <w:rFonts w:ascii="Times New Roman" w:hAnsi="Times New Roman" w:eastAsia="仿宋" w:cs="仿宋"/>
          <w:sz w:val="32"/>
          <w:szCs w:val="32"/>
        </w:rPr>
        <w:t>)</w:t>
      </w:r>
      <w:r>
        <w:rPr>
          <w:rFonts w:hint="eastAsia" w:ascii="Times New Roman" w:hAnsi="Times New Roman" w:eastAsia="仿宋" w:cs="仿宋"/>
          <w:sz w:val="32"/>
          <w:szCs w:val="32"/>
        </w:rPr>
        <w:t>完善信息化建设。</w:t>
      </w:r>
    </w:p>
    <w:p>
      <w:pPr>
        <w:autoSpaceDE w:val="0"/>
        <w:autoSpaceDN w:val="0"/>
        <w:adjustRightInd w:val="0"/>
        <w:ind w:left="198" w:firstLine="643" w:firstLineChars="200"/>
        <w:jc w:val="left"/>
        <w:rPr>
          <w:rFonts w:ascii="Times New Roman" w:hAnsi="Times New Roman" w:eastAsia="方正仿宋_GBK" w:cs="Times New Roman"/>
          <w:b/>
          <w:bCs/>
          <w:sz w:val="32"/>
          <w:szCs w:val="32"/>
        </w:rPr>
      </w:pPr>
      <w:r>
        <w:rPr>
          <w:rFonts w:hint="eastAsia" w:ascii="Times New Roman" w:hAnsi="Times New Roman" w:eastAsia="方正仿宋_GBK" w:cs="方正仿宋_GBK"/>
          <w:b/>
          <w:bCs/>
          <w:sz w:val="32"/>
          <w:szCs w:val="32"/>
        </w:rPr>
        <w:t>（二）分项绩效目标</w:t>
      </w:r>
      <w:r>
        <w:rPr>
          <w:rFonts w:ascii="Times New Roman" w:hAnsi="Times New Roman" w:eastAsia="方正仿宋_GBK" w:cs="方正仿宋_GBK"/>
          <w:b/>
          <w:bCs/>
          <w:sz w:val="32"/>
          <w:szCs w:val="32"/>
        </w:rPr>
        <w:fldChar w:fldCharType="begin"/>
      </w:r>
      <w:r>
        <w:rPr>
          <w:rFonts w:ascii="Times New Roman" w:hAnsi="Times New Roman" w:eastAsia="方正仿宋_GBK" w:cs="Times New Roman"/>
          <w:b/>
          <w:bCs/>
          <w:sz w:val="32"/>
          <w:szCs w:val="32"/>
        </w:rPr>
        <w:instrText xml:space="preserve">tc "</w:instrText>
      </w:r>
      <w:bookmarkStart w:id="2" w:name="_Toc29484629"/>
      <w:r>
        <w:rPr>
          <w:rFonts w:hint="eastAsia" w:ascii="Times New Roman" w:hAnsi="Times New Roman" w:eastAsia="方正仿宋_GBK" w:cs="方正仿宋_GBK"/>
          <w:b/>
          <w:bCs/>
          <w:sz w:val="32"/>
          <w:szCs w:val="32"/>
        </w:rPr>
        <w:instrText xml:space="preserve">分项绩效目标</w:instrText>
      </w:r>
      <w:bookmarkEnd w:id="2"/>
      <w:r>
        <w:rPr>
          <w:rFonts w:ascii="Times New Roman" w:hAnsi="Times New Roman" w:eastAsia="方正仿宋_GBK" w:cs="Times New Roman"/>
          <w:b/>
          <w:bCs/>
          <w:sz w:val="32"/>
          <w:szCs w:val="32"/>
        </w:rPr>
        <w:instrText xml:space="preserve">" \f A \l 01</w:instrText>
      </w:r>
      <w:r>
        <w:rPr>
          <w:rFonts w:ascii="Times New Roman" w:hAnsi="Times New Roman" w:eastAsia="方正仿宋_GBK" w:cs="方正仿宋_GBK"/>
          <w:b/>
          <w:bCs/>
          <w:sz w:val="32"/>
          <w:szCs w:val="32"/>
        </w:rPr>
        <w:fldChar w:fldCharType="end"/>
      </w:r>
    </w:p>
    <w:p>
      <w:pPr>
        <w:spacing w:line="500" w:lineRule="exact"/>
        <w:ind w:firstLine="640" w:firstLineChars="200"/>
        <w:jc w:val="left"/>
        <w:rPr>
          <w:rFonts w:ascii="Times New Roman" w:hAnsi="Times New Roman" w:eastAsia="仿宋" w:cs="仿宋"/>
          <w:sz w:val="32"/>
          <w:szCs w:val="32"/>
        </w:rPr>
      </w:pPr>
      <w:r>
        <w:rPr>
          <w:rFonts w:ascii="Times New Roman" w:hAnsi="Times New Roman" w:eastAsia="仿宋" w:cs="仿宋"/>
          <w:sz w:val="32"/>
          <w:szCs w:val="32"/>
        </w:rPr>
        <w:t>（一）运用行政与法律手段，对市场经营主体及市场行为进行行政指导、监督管理</w:t>
      </w:r>
    </w:p>
    <w:p>
      <w:pPr>
        <w:spacing w:line="500" w:lineRule="exact"/>
        <w:ind w:firstLine="640" w:firstLineChars="200"/>
        <w:jc w:val="left"/>
        <w:rPr>
          <w:rFonts w:ascii="Times New Roman" w:hAnsi="Times New Roman" w:eastAsia="仿宋" w:cs="仿宋"/>
          <w:sz w:val="32"/>
          <w:szCs w:val="32"/>
        </w:rPr>
      </w:pPr>
      <w:r>
        <w:rPr>
          <w:rFonts w:ascii="Times New Roman" w:hAnsi="Times New Roman" w:eastAsia="仿宋" w:cs="仿宋"/>
          <w:sz w:val="32"/>
          <w:szCs w:val="32"/>
        </w:rPr>
        <w:t>绩效目标：增强各类市场诚信经营意识和规范网络交易管理，维护市场经营秩序。</w:t>
      </w:r>
    </w:p>
    <w:p>
      <w:pPr>
        <w:spacing w:line="500" w:lineRule="exact"/>
        <w:ind w:firstLine="640" w:firstLineChars="200"/>
        <w:jc w:val="left"/>
        <w:rPr>
          <w:rFonts w:ascii="Times New Roman" w:hAnsi="Times New Roman" w:eastAsia="仿宋" w:cs="仿宋"/>
          <w:sz w:val="32"/>
          <w:szCs w:val="32"/>
        </w:rPr>
      </w:pPr>
      <w:r>
        <w:rPr>
          <w:rFonts w:ascii="Times New Roman" w:hAnsi="Times New Roman" w:eastAsia="仿宋" w:cs="仿宋"/>
          <w:sz w:val="32"/>
          <w:szCs w:val="32"/>
        </w:rPr>
        <w:t>绩效指标：依法规范和维护全市各类市场经营秩序，监督管理市场交易行为和网络商品交易及有关服务的行为。组织查处传销、商标侵权，违法广告、侵害消费者合法权益、制假贩假、流通环节商品质量问题等违法行为；按照上级机关安排参与有关反垄断执法工作；查处市场中的不正当竞争、商业贿赂以及其它经济违法案件，。</w:t>
      </w:r>
    </w:p>
    <w:p>
      <w:pPr>
        <w:spacing w:line="500" w:lineRule="exact"/>
        <w:ind w:firstLine="640" w:firstLineChars="200"/>
        <w:jc w:val="left"/>
        <w:rPr>
          <w:rFonts w:ascii="Times New Roman" w:hAnsi="Times New Roman" w:eastAsia="仿宋" w:cs="仿宋"/>
          <w:sz w:val="32"/>
          <w:szCs w:val="32"/>
        </w:rPr>
      </w:pPr>
      <w:r>
        <w:rPr>
          <w:rFonts w:ascii="Times New Roman" w:hAnsi="Times New Roman" w:eastAsia="仿宋" w:cs="仿宋"/>
          <w:sz w:val="32"/>
          <w:szCs w:val="32"/>
        </w:rPr>
        <w:t>（二）对食品生产经营各环节进行监管。提升全市质量建设与应用水平。</w:t>
      </w:r>
    </w:p>
    <w:p>
      <w:pPr>
        <w:spacing w:line="500" w:lineRule="exact"/>
        <w:ind w:firstLine="640" w:firstLineChars="200"/>
        <w:jc w:val="left"/>
        <w:rPr>
          <w:rFonts w:ascii="Times New Roman" w:hAnsi="Times New Roman" w:eastAsia="仿宋" w:cs="仿宋"/>
          <w:sz w:val="32"/>
          <w:szCs w:val="32"/>
        </w:rPr>
      </w:pPr>
      <w:r>
        <w:rPr>
          <w:rFonts w:ascii="Times New Roman" w:hAnsi="Times New Roman" w:eastAsia="仿宋" w:cs="仿宋"/>
          <w:sz w:val="32"/>
          <w:szCs w:val="32"/>
        </w:rPr>
        <w:t>绩效目标：强化信用体系建设，构建“一处违法、处处受限”监管局面，为政府决策和社会公众提供信息服务。</w:t>
      </w:r>
    </w:p>
    <w:p>
      <w:pPr>
        <w:spacing w:line="500" w:lineRule="exact"/>
        <w:ind w:firstLine="640" w:firstLineChars="200"/>
        <w:jc w:val="left"/>
        <w:rPr>
          <w:rFonts w:ascii="Times New Roman" w:hAnsi="Times New Roman" w:eastAsia="仿宋" w:cs="仿宋"/>
          <w:sz w:val="32"/>
          <w:szCs w:val="32"/>
        </w:rPr>
      </w:pPr>
      <w:r>
        <w:rPr>
          <w:rFonts w:ascii="Times New Roman" w:hAnsi="Times New Roman" w:eastAsia="仿宋" w:cs="仿宋"/>
          <w:sz w:val="32"/>
          <w:szCs w:val="32"/>
        </w:rPr>
        <w:t>绩效指标：有效落实食品安全监管责任。对全市实行监管人员负责制，促进企业诚信经营，激励企业提升质量管理和产品质量，满足市场及质量技术监督检验检测需求反映抽检纤维、棉花、工业产品、计量器具及设备、食品相关产品、特种设备、环境质量、环保产品覆盖面。</w:t>
      </w:r>
    </w:p>
    <w:p>
      <w:pPr>
        <w:autoSpaceDE w:val="0"/>
        <w:autoSpaceDN w:val="0"/>
        <w:adjustRightInd w:val="0"/>
        <w:ind w:left="198" w:firstLine="643" w:firstLineChars="200"/>
        <w:jc w:val="left"/>
        <w:rPr>
          <w:rFonts w:ascii="Times New Roman" w:hAnsi="Times New Roman" w:eastAsia="方正仿宋_GBK" w:cs="Times New Roman"/>
          <w:b/>
          <w:bCs/>
          <w:sz w:val="32"/>
          <w:szCs w:val="32"/>
        </w:rPr>
      </w:pPr>
      <w:r>
        <w:rPr>
          <w:rFonts w:hint="eastAsia" w:ascii="Times New Roman" w:hAnsi="Times New Roman" w:eastAsia="方正仿宋_GBK" w:cs="方正仿宋_GBK"/>
          <w:b/>
          <w:bCs/>
          <w:sz w:val="32"/>
          <w:szCs w:val="32"/>
        </w:rPr>
        <w:t>（三）工作保障措施</w:t>
      </w:r>
      <w:r>
        <w:rPr>
          <w:rFonts w:ascii="Times New Roman" w:hAnsi="Times New Roman" w:eastAsia="方正仿宋_GBK" w:cs="方正仿宋_GBK"/>
          <w:b/>
          <w:bCs/>
          <w:sz w:val="32"/>
          <w:szCs w:val="32"/>
        </w:rPr>
        <w:fldChar w:fldCharType="begin"/>
      </w:r>
      <w:r>
        <w:rPr>
          <w:rFonts w:ascii="Times New Roman" w:hAnsi="Times New Roman" w:eastAsia="方正仿宋_GBK" w:cs="Times New Roman"/>
          <w:b/>
          <w:bCs/>
          <w:sz w:val="32"/>
          <w:szCs w:val="32"/>
        </w:rPr>
        <w:instrText xml:space="preserve">tc "</w:instrText>
      </w:r>
      <w:bookmarkStart w:id="3" w:name="_Toc29484630"/>
      <w:r>
        <w:rPr>
          <w:rFonts w:hint="eastAsia" w:ascii="Times New Roman" w:hAnsi="Times New Roman" w:eastAsia="方正仿宋_GBK" w:cs="方正仿宋_GBK"/>
          <w:b/>
          <w:bCs/>
          <w:sz w:val="32"/>
          <w:szCs w:val="32"/>
        </w:rPr>
        <w:instrText xml:space="preserve">工作保障措施</w:instrText>
      </w:r>
      <w:bookmarkEnd w:id="3"/>
      <w:r>
        <w:rPr>
          <w:rFonts w:ascii="Times New Roman" w:hAnsi="Times New Roman" w:eastAsia="方正仿宋_GBK" w:cs="Times New Roman"/>
          <w:b/>
          <w:bCs/>
          <w:sz w:val="32"/>
          <w:szCs w:val="32"/>
        </w:rPr>
        <w:instrText xml:space="preserve">" \f A \l 01</w:instrText>
      </w:r>
      <w:r>
        <w:rPr>
          <w:rFonts w:ascii="Times New Roman" w:hAnsi="Times New Roman" w:eastAsia="方正仿宋_GBK" w:cs="方正仿宋_GBK"/>
          <w:b/>
          <w:bCs/>
          <w:sz w:val="32"/>
          <w:szCs w:val="32"/>
        </w:rPr>
        <w:fldChar w:fldCharType="end"/>
      </w:r>
    </w:p>
    <w:p>
      <w:pPr>
        <w:spacing w:line="500" w:lineRule="exact"/>
        <w:ind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（一）继续加强党风廉政建设，进一步提高依法行政水平</w:t>
      </w:r>
      <w:r>
        <w:rPr>
          <w:rFonts w:ascii="Times New Roman" w:hAnsi="Times New Roman" w:eastAsia="仿宋" w:cs="仿宋"/>
          <w:sz w:val="32"/>
          <w:szCs w:val="32"/>
        </w:rPr>
        <w:t>。</w:t>
      </w:r>
      <w:r>
        <w:rPr>
          <w:rFonts w:hint="eastAsia" w:ascii="Times New Roman" w:hAnsi="Times New Roman" w:eastAsia="仿宋" w:cs="仿宋"/>
          <w:sz w:val="32"/>
          <w:szCs w:val="32"/>
        </w:rPr>
        <w:t>坚持思想教育和制度建设相结合，从源头上预防各种不良风气，教育党员干部树立正确的世界观、人生观、价值观，通过开展正反两方面廉政教育，加强政治修养，锻炼意志品质，提高精神境界，筑牢抵制各种不良作风的思想长城。通过制度建设、制度创新来有效规范行政执法人员的行为，建立和完善科学决策制度、民主监督制度、依法行政制度、责任追究制度等制度体系，完善政务公开、民主评议、质询听证等民主形式，将权力运行置于群众监督之下。</w:t>
      </w:r>
    </w:p>
    <w:p>
      <w:pPr>
        <w:spacing w:line="500" w:lineRule="exact"/>
        <w:ind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（二）进一步开展食品放心工程，确保人民群众的食品质量安全，深入开展食品专项打假工作，建立食品打假工作长效机制。</w:t>
      </w:r>
    </w:p>
    <w:p>
      <w:pPr>
        <w:spacing w:line="500" w:lineRule="exact"/>
        <w:ind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三）加大资金投入和发展后劲，为全县经济大发展做新贡献搞好名牌兴、企质量兴县工作，全面开展实施市场准入无证查处工作，开展集贸市场、加油站计量专项整治工作，大力开展流通领域的计量违法查处工作和打假工作，维护好消费者的合法权益。做好特种设备安全监察工作，消除安全隐患，努力实现全年无重大事故发生。加强双采工作，积极帮助企业采用先进标准。充分发挥</w:t>
      </w:r>
      <w:r>
        <w:rPr>
          <w:rFonts w:ascii="Times New Roman" w:hAnsi="Times New Roman" w:eastAsia="仿宋" w:cs="仿宋"/>
          <w:sz w:val="32"/>
          <w:szCs w:val="32"/>
        </w:rPr>
        <w:t>“</w:t>
      </w:r>
      <w:r>
        <w:rPr>
          <w:rFonts w:hint="eastAsia" w:ascii="Times New Roman" w:hAnsi="Times New Roman" w:eastAsia="仿宋" w:cs="仿宋"/>
          <w:sz w:val="32"/>
          <w:szCs w:val="32"/>
        </w:rPr>
        <w:t>打假办</w:t>
      </w:r>
      <w:r>
        <w:rPr>
          <w:rFonts w:ascii="Times New Roman" w:hAnsi="Times New Roman" w:eastAsia="仿宋" w:cs="仿宋"/>
          <w:sz w:val="32"/>
          <w:szCs w:val="32"/>
        </w:rPr>
        <w:t>”</w:t>
      </w:r>
      <w:r>
        <w:rPr>
          <w:rFonts w:hint="eastAsia" w:ascii="Times New Roman" w:hAnsi="Times New Roman" w:eastAsia="仿宋" w:cs="仿宋"/>
          <w:sz w:val="32"/>
          <w:szCs w:val="32"/>
        </w:rPr>
        <w:t>的职能作用，依法取缔制假售假窝点，严厉打击制假售假行为。认真落实第三个三年规划，重点加强技术机构建设，创造性地开展工作，严格执行岗位责任制，狠抓落实，使我县的工作再上一层楼。</w:t>
      </w:r>
    </w:p>
    <w:p>
      <w:pPr>
        <w:spacing w:line="500" w:lineRule="exact"/>
        <w:ind w:firstLine="560" w:firstLineChars="200"/>
        <w:jc w:val="left"/>
        <w:rPr>
          <w:rFonts w:eastAsia="方正仿宋_GBK"/>
          <w:sz w:val="28"/>
        </w:rPr>
      </w:pPr>
    </w:p>
    <w:p>
      <w:pPr>
        <w:autoSpaceDE w:val="0"/>
        <w:autoSpaceDN w:val="0"/>
        <w:adjustRightInd w:val="0"/>
        <w:ind w:left="198" w:firstLine="643" w:firstLineChars="200"/>
        <w:jc w:val="left"/>
        <w:rPr>
          <w:rFonts w:ascii="Times New Roman" w:hAnsi="Times New Roman" w:eastAsia="方正仿宋_GBK" w:cs="Times New Roman"/>
          <w:b/>
          <w:bCs/>
          <w:sz w:val="32"/>
          <w:szCs w:val="32"/>
        </w:rPr>
      </w:pPr>
      <w:r>
        <w:rPr>
          <w:rFonts w:hint="eastAsia" w:ascii="Times New Roman" w:hAnsi="Times New Roman" w:eastAsia="方正仿宋_GBK" w:cs="方正仿宋_GBK"/>
          <w:b/>
          <w:bCs/>
          <w:sz w:val="32"/>
          <w:szCs w:val="32"/>
        </w:rPr>
        <w:t>第二部分预算项目绩效目标</w:t>
      </w:r>
      <w:bookmarkEnd w:id="0"/>
    </w:p>
    <w:p>
      <w:pPr>
        <w:ind w:firstLine="562" w:firstLineChars="200"/>
        <w:jc w:val="left"/>
        <w:outlineLvl w:val="1"/>
        <w:rPr>
          <w:rFonts w:hAnsi="宋体"/>
          <w:b/>
          <w:sz w:val="28"/>
        </w:rPr>
      </w:pPr>
      <w:r>
        <w:rPr>
          <w:rFonts w:hint="eastAsia" w:ascii="方正仿宋_GBK" w:eastAsia="方正仿宋_GBK"/>
          <w:b/>
          <w:sz w:val="28"/>
        </w:rPr>
        <w:t>1、产品质量监督抽查经费绩效目标表</w:t>
      </w:r>
      <w:r>
        <w:fldChar w:fldCharType="begin"/>
      </w:r>
      <w:r>
        <w:rPr>
          <w:rFonts w:hint="eastAsia" w:ascii="方正仿宋_GBK" w:eastAsia="方正仿宋_GBK"/>
          <w:b/>
          <w:sz w:val="28"/>
        </w:rPr>
        <w:instrText xml:space="preserve">TC </w:instrText>
      </w:r>
      <w:bookmarkStart w:id="4" w:name="_Toc34957687"/>
      <w:r>
        <w:rPr>
          <w:rFonts w:hint="eastAsia" w:ascii="方正仿宋_GBK" w:eastAsia="方正仿宋_GBK"/>
          <w:b/>
          <w:sz w:val="28"/>
        </w:rPr>
        <w:instrText xml:space="preserve">1、产品质量监督抽查经费绩效目标表</w:instrText>
      </w:r>
      <w:bookmarkEnd w:id="4"/>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422002</w:t>
            </w:r>
            <w:r>
              <w:rPr>
                <w:rFonts w:hint="eastAsia" w:ascii="方正书宋_GBK" w:eastAsia="方正书宋_GBK"/>
                <w:b/>
              </w:rPr>
              <w:t>无极县质量技术监督局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422-0104-JBN-7G55</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产品质量监督抽查经费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10.00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10.00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依法进行产品质量监督抽查工作，各项工作顺利、有序发展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20.00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40.00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70.00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、加强对产品质量监督抽查工作的管理</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、依法行政</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提高各工作质量</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大于等于</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提高办事效率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大于等于</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加大队伍人才建设</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大于等于</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保障产品监督抽查工作业务的顺利展开</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大于等于</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提高公众满意度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大于等于</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社会影响力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提高公众安全生产意识</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大于等于</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社会影响力</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2、产品质量检验检测经费绩效目标表</w:t>
      </w:r>
      <w:r>
        <w:fldChar w:fldCharType="begin"/>
      </w:r>
      <w:r>
        <w:rPr>
          <w:rFonts w:hint="eastAsia" w:ascii="方正仿宋_GBK" w:eastAsia="方正仿宋_GBK"/>
          <w:b/>
          <w:sz w:val="28"/>
        </w:rPr>
        <w:instrText xml:space="preserve">TC </w:instrText>
      </w:r>
      <w:bookmarkStart w:id="5" w:name="_Toc34957688"/>
      <w:r>
        <w:rPr>
          <w:rFonts w:hint="eastAsia" w:ascii="方正仿宋_GBK" w:eastAsia="方正仿宋_GBK"/>
          <w:b/>
          <w:sz w:val="28"/>
        </w:rPr>
        <w:instrText xml:space="preserve">2、产品质量检验检测经费绩效目标表</w:instrText>
      </w:r>
      <w:bookmarkEnd w:id="5"/>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422002</w:t>
            </w:r>
            <w:r>
              <w:rPr>
                <w:rFonts w:hint="eastAsia" w:ascii="方正书宋_GBK" w:eastAsia="方正书宋_GBK"/>
                <w:b/>
              </w:rPr>
              <w:t>无极县质量技术监督局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422-0104-JBN-VG6D</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产品质量检验检测经费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30.00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30.00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紧紧围绕整顿和规范市场，深入开展工作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20.00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40.00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70.00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、深入开展工作</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、促进我县经济建设全面发展</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做好产品质量检验检测工作</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大于等于</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保障检验工作的正常进行</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大于等于</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尽快推广产品质量检验检测工作</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大于等于</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加大宣传力度，使工作正常开展</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大于等于</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使人民群众满意度提高</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大于等于</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群众满意度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提高群众对特种设备知识普及活动满意度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大于等于</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群众满意度</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3、打假办案公用经费绩效目标表</w:t>
      </w:r>
      <w:r>
        <w:fldChar w:fldCharType="begin"/>
      </w:r>
      <w:r>
        <w:rPr>
          <w:rFonts w:hint="eastAsia" w:ascii="方正仿宋_GBK" w:eastAsia="方正仿宋_GBK"/>
          <w:b/>
          <w:sz w:val="28"/>
        </w:rPr>
        <w:instrText xml:space="preserve">TC </w:instrText>
      </w:r>
      <w:bookmarkStart w:id="6" w:name="_Toc34957689"/>
      <w:r>
        <w:rPr>
          <w:rFonts w:hint="eastAsia" w:ascii="方正仿宋_GBK" w:eastAsia="方正仿宋_GBK"/>
          <w:b/>
          <w:sz w:val="28"/>
        </w:rPr>
        <w:instrText xml:space="preserve">3、打假办案公用经费绩效目标表</w:instrText>
      </w:r>
      <w:bookmarkEnd w:id="6"/>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422002</w:t>
            </w:r>
            <w:r>
              <w:rPr>
                <w:rFonts w:hint="eastAsia" w:ascii="方正书宋_GBK" w:eastAsia="方正书宋_GBK"/>
                <w:b/>
              </w:rPr>
              <w:t>无极县质量技术监督局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422-0103-JBN-9U13</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打假办案公用经费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20.00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20.00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紧紧围绕整顿和规范市场，深入开展工作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20.00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40.00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70.00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、深入开展工作</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、促进我县经济建设全面发展</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提高检定事项办理效率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大于等于</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尽快落实计量检定工作</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大于等于</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提高办事效率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大于等于</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保障工作顺利开展</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大于等于</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提高公众满意度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大于等于</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群众满意度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通过宣传活动提高群众识假认假的辨别能力</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大于等于</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群众满意度</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4、打假办案经费绩效目标表</w:t>
      </w:r>
      <w:r>
        <w:fldChar w:fldCharType="begin"/>
      </w:r>
      <w:r>
        <w:rPr>
          <w:rFonts w:hint="eastAsia" w:ascii="方正仿宋_GBK" w:eastAsia="方正仿宋_GBK"/>
          <w:b/>
          <w:sz w:val="28"/>
        </w:rPr>
        <w:instrText xml:space="preserve">TC </w:instrText>
      </w:r>
      <w:bookmarkStart w:id="7" w:name="_Toc34957690"/>
      <w:r>
        <w:rPr>
          <w:rFonts w:hint="eastAsia" w:ascii="方正仿宋_GBK" w:eastAsia="方正仿宋_GBK"/>
          <w:b/>
          <w:sz w:val="28"/>
        </w:rPr>
        <w:instrText xml:space="preserve">4、打假办案经费绩效目标表</w:instrText>
      </w:r>
      <w:bookmarkEnd w:id="7"/>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422002</w:t>
            </w:r>
            <w:r>
              <w:rPr>
                <w:rFonts w:hint="eastAsia" w:ascii="方正书宋_GBK" w:eastAsia="方正书宋_GBK"/>
                <w:b/>
              </w:rPr>
              <w:t>无极县质量技术监督局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422-0103-JBN-E2DP</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打假办案经费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10.00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10.00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服务企业，引导消费，紧紧围绕市场经济这一主线，加强对产品质量的监督管理，保护消费者的合法权益。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20.00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40.00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70.00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、依法行政</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、加强执法力度</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严格依据各项法律法规</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大于等于</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依法进行查处各种各类违法案件</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大于等于</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尽快开展打假工作</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大于等于</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保障打假工作的顺利开展</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大于等于</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提高群众满意度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大于等于</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社会影响力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提高群众认假识假的辨别能力</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大于等于</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社会影响力</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5、工业产品专项经费绩效目标表</w:t>
      </w:r>
      <w:r>
        <w:fldChar w:fldCharType="begin"/>
      </w:r>
      <w:r>
        <w:rPr>
          <w:rFonts w:hint="eastAsia" w:ascii="方正仿宋_GBK" w:eastAsia="方正仿宋_GBK"/>
          <w:b/>
          <w:sz w:val="28"/>
        </w:rPr>
        <w:instrText xml:space="preserve">TC </w:instrText>
      </w:r>
      <w:bookmarkStart w:id="8" w:name="_Toc34957691"/>
      <w:r>
        <w:rPr>
          <w:rFonts w:hint="eastAsia" w:ascii="方正仿宋_GBK" w:eastAsia="方正仿宋_GBK"/>
          <w:b/>
          <w:sz w:val="28"/>
        </w:rPr>
        <w:instrText xml:space="preserve">5、工业产品专项经费绩效目标表</w:instrText>
      </w:r>
      <w:bookmarkEnd w:id="8"/>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422002</w:t>
            </w:r>
            <w:r>
              <w:rPr>
                <w:rFonts w:hint="eastAsia" w:ascii="方正书宋_GBK" w:eastAsia="方正书宋_GBK"/>
                <w:b/>
              </w:rPr>
              <w:t>无极县质量技术监督局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422-0101-JBN-X3YM</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工业产品专项经费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5.00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5.00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紧紧围绕整顿和规范市场，深入开展工作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20.00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40.00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70.00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、深入开展工作</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、加强对计量工作的监督管理</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依法行政</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大于等于</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保障工作的正常开展</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大于等于</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加大人才队伍建设</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大于等于</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加大宣传力度，使工作顺利开展</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大于等于</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提高公众满意度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大于等于</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社会影响力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提高行风建设</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大于等于</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社会影响力</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6、关于下达2020年质量技术监督专项补助经费的通知绩效目标表</w:t>
      </w:r>
      <w:r>
        <w:fldChar w:fldCharType="begin"/>
      </w:r>
      <w:r>
        <w:rPr>
          <w:rFonts w:hint="eastAsia" w:ascii="方正仿宋_GBK" w:eastAsia="方正仿宋_GBK"/>
          <w:b/>
          <w:sz w:val="28"/>
        </w:rPr>
        <w:instrText xml:space="preserve">TC </w:instrText>
      </w:r>
      <w:bookmarkStart w:id="9" w:name="_Toc34957692"/>
      <w:r>
        <w:rPr>
          <w:rFonts w:hint="eastAsia" w:ascii="方正仿宋_GBK" w:eastAsia="方正仿宋_GBK"/>
          <w:b/>
          <w:sz w:val="28"/>
        </w:rPr>
        <w:instrText xml:space="preserve">6、关于下达2020年质量技术监督专项补助经费的通知绩效目标表</w:instrText>
      </w:r>
      <w:bookmarkEnd w:id="9"/>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422002</w:t>
            </w:r>
            <w:r>
              <w:rPr>
                <w:rFonts w:hint="eastAsia" w:ascii="方正书宋_GBK" w:eastAsia="方正书宋_GBK"/>
                <w:b/>
              </w:rPr>
              <w:t>无极县质量技术监督局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422-0101-YBN-FWMK</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关于下达</w:t>
            </w:r>
            <w:r>
              <w:rPr>
                <w:rFonts w:ascii="方正书宋_GBK" w:eastAsia="方正书宋_GBK"/>
              </w:rPr>
              <w:t>2020</w:t>
            </w:r>
            <w:r>
              <w:rPr>
                <w:rFonts w:hint="eastAsia" w:ascii="方正书宋_GBK" w:eastAsia="方正书宋_GBK"/>
              </w:rPr>
              <w:t>年质量技术监督专项补助经费的通知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10.00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10.00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为了规范市场，引导消费、依法行政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20.00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40.00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70.00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、加强执法力度</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、做好各项工作</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保障工作顺利开展</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大于等于</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严格依据各项法律法规</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大于等于</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改善计量服务质量</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大于等于</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提高党建和行风建设</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大于等于</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提高公工满意度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大于等于</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对投诉热线做到登记有回复</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大于等于</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行业标准</w:t>
            </w:r>
          </w:p>
        </w:tc>
      </w:tr>
    </w:tbl>
    <w:p>
      <w:pPr>
        <w:ind w:firstLine="562" w:firstLineChars="200"/>
        <w:jc w:val="left"/>
        <w:outlineLvl w:val="1"/>
        <w:rPr>
          <w:rFonts w:ascii="方正仿宋_GBK" w:eastAsia="方正仿宋_GBK"/>
          <w:b/>
          <w:sz w:val="28"/>
        </w:rPr>
      </w:pPr>
    </w:p>
    <w:p>
      <w:pPr>
        <w:ind w:firstLine="562" w:firstLineChars="200"/>
        <w:jc w:val="left"/>
        <w:outlineLvl w:val="1"/>
        <w:rPr>
          <w:rFonts w:ascii="方正仿宋_GBK" w:eastAsia="方正仿宋_GBK"/>
          <w:b/>
          <w:sz w:val="28"/>
        </w:rPr>
      </w:pPr>
    </w:p>
    <w:p>
      <w:pPr>
        <w:ind w:firstLine="562" w:firstLineChars="200"/>
        <w:jc w:val="left"/>
        <w:outlineLvl w:val="1"/>
        <w:rPr>
          <w:rFonts w:ascii="方正仿宋_GBK" w:eastAsia="方正仿宋_GBK"/>
          <w:b/>
          <w:sz w:val="28"/>
        </w:rPr>
      </w:pPr>
    </w:p>
    <w:p>
      <w:pPr>
        <w:ind w:firstLine="562" w:firstLineChars="200"/>
        <w:jc w:val="left"/>
        <w:outlineLvl w:val="1"/>
        <w:rPr>
          <w:rFonts w:ascii="方正仿宋_GBK" w:eastAsia="方正仿宋_GBK"/>
          <w:b/>
          <w:sz w:val="28"/>
        </w:rPr>
      </w:pPr>
    </w:p>
    <w:p>
      <w:pPr>
        <w:ind w:firstLine="562" w:firstLineChars="200"/>
        <w:jc w:val="left"/>
        <w:outlineLvl w:val="1"/>
        <w:rPr>
          <w:rFonts w:ascii="方正仿宋_GBK" w:eastAsia="方正仿宋_GBK"/>
          <w:b/>
          <w:sz w:val="28"/>
        </w:rPr>
      </w:pPr>
    </w:p>
    <w:p>
      <w:pPr>
        <w:ind w:firstLine="562" w:firstLineChars="200"/>
        <w:jc w:val="left"/>
        <w:outlineLvl w:val="1"/>
        <w:rPr>
          <w:rFonts w:ascii="方正仿宋_GBK" w:eastAsia="方正仿宋_GBK"/>
          <w:b/>
          <w:sz w:val="28"/>
        </w:rPr>
      </w:pPr>
    </w:p>
    <w:p>
      <w:pPr>
        <w:ind w:firstLine="562" w:firstLineChars="200"/>
        <w:jc w:val="left"/>
        <w:outlineLvl w:val="1"/>
        <w:rPr>
          <w:rFonts w:ascii="方正仿宋_GBK" w:eastAsia="方正仿宋_GBK"/>
          <w:b/>
          <w:sz w:val="28"/>
        </w:rPr>
      </w:pPr>
    </w:p>
    <w:p>
      <w:pPr>
        <w:ind w:firstLine="562" w:firstLineChars="200"/>
        <w:jc w:val="left"/>
        <w:outlineLvl w:val="1"/>
        <w:rPr>
          <w:rFonts w:hAnsi="宋体"/>
          <w:b/>
          <w:sz w:val="28"/>
        </w:rPr>
      </w:pPr>
      <w:r>
        <w:rPr>
          <w:rFonts w:hint="eastAsia" w:ascii="方正仿宋_GBK" w:eastAsia="方正仿宋_GBK"/>
          <w:b/>
          <w:sz w:val="28"/>
        </w:rPr>
        <w:t>7、提前下达2020年标准化资助项目资金绩效目标表</w:t>
      </w:r>
      <w:r>
        <w:fldChar w:fldCharType="begin"/>
      </w:r>
      <w:r>
        <w:rPr>
          <w:rFonts w:hint="eastAsia" w:ascii="方正仿宋_GBK" w:eastAsia="方正仿宋_GBK"/>
          <w:b/>
          <w:sz w:val="28"/>
        </w:rPr>
        <w:instrText xml:space="preserve">TC </w:instrText>
      </w:r>
      <w:bookmarkStart w:id="10" w:name="_Toc34957693"/>
      <w:r>
        <w:rPr>
          <w:rFonts w:hint="eastAsia" w:ascii="方正仿宋_GBK" w:eastAsia="方正仿宋_GBK"/>
          <w:b/>
          <w:sz w:val="28"/>
        </w:rPr>
        <w:instrText xml:space="preserve">7、提前下达2020年标准化资助项目资金绩效目标表</w:instrText>
      </w:r>
      <w:bookmarkEnd w:id="10"/>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422002</w:t>
            </w:r>
            <w:r>
              <w:rPr>
                <w:rFonts w:hint="eastAsia" w:ascii="方正书宋_GBK" w:eastAsia="方正书宋_GBK"/>
                <w:b/>
              </w:rPr>
              <w:t>无极县质量技术监督局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422-0102-YBN-7Z31</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提前下达</w:t>
            </w:r>
            <w:r>
              <w:rPr>
                <w:rFonts w:ascii="方正书宋_GBK" w:eastAsia="方正书宋_GBK"/>
              </w:rPr>
              <w:t>2020</w:t>
            </w:r>
            <w:r>
              <w:rPr>
                <w:rFonts w:hint="eastAsia" w:ascii="方正书宋_GBK" w:eastAsia="方正书宋_GBK"/>
              </w:rPr>
              <w:t>年标准化资助项目资金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13.00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13.00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为了规范市场，服务企业，引导消费，紧紧围绕市场经济这一主线，加强对产品标准化的监督管理，保护消费者的合法权益，维护社会经济秩序，促进全县经济建设全面健康发展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20.00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40.00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70.00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、依法行政</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、加强对产品标准化的管理</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提高工作质量，维护市场经济高效有序发展</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大于等于</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提高办事效率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大于等于</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通过安全教育宣传，能够有效处置突发事件</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大于等于</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保障产品标准化工作顺利开展，提高产出</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大于等于</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群众满意度提高</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大于等于</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社会反响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加大行风建设</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大于等于</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社会反响</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8、质量管理公用经费绩效目标表</w:t>
      </w:r>
      <w:r>
        <w:fldChar w:fldCharType="begin"/>
      </w:r>
      <w:r>
        <w:rPr>
          <w:rFonts w:hint="eastAsia" w:ascii="方正仿宋_GBK" w:eastAsia="方正仿宋_GBK"/>
          <w:b/>
          <w:sz w:val="28"/>
        </w:rPr>
        <w:instrText xml:space="preserve">TC </w:instrText>
      </w:r>
      <w:bookmarkStart w:id="11" w:name="_Toc34957694"/>
      <w:r>
        <w:rPr>
          <w:rFonts w:hint="eastAsia" w:ascii="方正仿宋_GBK" w:eastAsia="方正仿宋_GBK"/>
          <w:b/>
          <w:sz w:val="28"/>
        </w:rPr>
        <w:instrText xml:space="preserve">8、质量管理公用经费绩效目标表</w:instrText>
      </w:r>
      <w:bookmarkEnd w:id="11"/>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422002</w:t>
            </w:r>
            <w:r>
              <w:rPr>
                <w:rFonts w:hint="eastAsia" w:ascii="方正书宋_GBK" w:eastAsia="方正书宋_GBK"/>
                <w:b/>
              </w:rPr>
              <w:t>无极县质量技术监督局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422-0101-JBN-VNL0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质量管理公用经费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20.00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20.00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为了规范市场、引导消费，做好市场质量监督管理工作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20.00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40.00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70.00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、依法行政</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、做好打假工作</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尽快推广打假工作</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大于等于</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保障此项工作顺利开展</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大于等于</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加大人才队伍建设</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大于等于</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保障量值传递准确可靠</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大于等于</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提高公众满意度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大于等于</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社会影响力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加大行风建设</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大于等于</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社会影响力</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9、质量管理经费绩效目标表</w:t>
      </w:r>
      <w:r>
        <w:fldChar w:fldCharType="begin"/>
      </w:r>
      <w:r>
        <w:rPr>
          <w:rFonts w:hint="eastAsia" w:ascii="方正仿宋_GBK" w:eastAsia="方正仿宋_GBK"/>
          <w:b/>
          <w:sz w:val="28"/>
        </w:rPr>
        <w:instrText xml:space="preserve">TC </w:instrText>
      </w:r>
      <w:bookmarkStart w:id="12" w:name="_Toc34957695"/>
      <w:r>
        <w:rPr>
          <w:rFonts w:hint="eastAsia" w:ascii="方正仿宋_GBK" w:eastAsia="方正仿宋_GBK"/>
          <w:b/>
          <w:sz w:val="28"/>
        </w:rPr>
        <w:instrText xml:space="preserve">9、质量管理经费绩效目标表</w:instrText>
      </w:r>
      <w:bookmarkEnd w:id="12"/>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422002</w:t>
            </w:r>
            <w:r>
              <w:rPr>
                <w:rFonts w:hint="eastAsia" w:ascii="方正书宋_GBK" w:eastAsia="方正书宋_GBK"/>
                <w:b/>
              </w:rPr>
              <w:t>无极县质量技术监督局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422-0101-JBN-G4KI</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质量管理经费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20.00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20.00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紧紧围绕整顿和规范市场，深入开展工作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20.00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40.00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70.00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、深入开展工作</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、促进我县经济建设全面发展</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有序、健康的开展工作</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大于等于</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保障产品质量工作的正常开展</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大于等于</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加大宣传力度，使工作顺利开展</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大于等于</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推广计量检验检定工作</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大于等于</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提高公众满意度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大于等于</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社会影响力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提高公众安全生产意识</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大于等于</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社会影响力</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10、追加关于拨付计量检定专项经费的申请绩效目标表</w:t>
      </w:r>
      <w:r>
        <w:fldChar w:fldCharType="begin"/>
      </w:r>
      <w:r>
        <w:rPr>
          <w:rFonts w:hint="eastAsia" w:ascii="方正仿宋_GBK" w:eastAsia="方正仿宋_GBK"/>
          <w:b/>
          <w:sz w:val="28"/>
        </w:rPr>
        <w:instrText xml:space="preserve">TC </w:instrText>
      </w:r>
      <w:bookmarkStart w:id="13" w:name="_Toc34957696"/>
      <w:r>
        <w:rPr>
          <w:rFonts w:hint="eastAsia" w:ascii="方正仿宋_GBK" w:eastAsia="方正仿宋_GBK"/>
          <w:b/>
          <w:sz w:val="28"/>
        </w:rPr>
        <w:instrText xml:space="preserve">10、追加关于拨付计量检定专项经费的申请绩效目标表</w:instrText>
      </w:r>
      <w:bookmarkEnd w:id="13"/>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422002</w:t>
            </w:r>
            <w:r>
              <w:rPr>
                <w:rFonts w:hint="eastAsia" w:ascii="方正书宋_GBK" w:eastAsia="方正书宋_GBK"/>
                <w:b/>
              </w:rPr>
              <w:t>无极县质量技术监督局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422-0104-JBN-O9AL</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追加关于拨付计量检定专项经费的申请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35.00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35.00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为了规范市场，服务企业，引导消费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20.00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40.00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70.00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、依法行政</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、做好计量器具检定和维修工作</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保障量值传递准确可靠</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大于等于</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提高办事效率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大于等于</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全面推广计量检定工作的重要性</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大于等于</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提高办事效率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大于等于</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提高公共满意度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大于等于</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群众满意度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提高公众特种设备使用安全意识</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大于等于</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群众满意度</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11、产品质量检验检测经费绩效目标表</w:t>
      </w:r>
      <w:r>
        <w:fldChar w:fldCharType="begin"/>
      </w:r>
      <w:r>
        <w:rPr>
          <w:rFonts w:hint="eastAsia" w:ascii="方正仿宋_GBK" w:eastAsia="方正仿宋_GBK"/>
          <w:b/>
          <w:sz w:val="28"/>
        </w:rPr>
        <w:instrText xml:space="preserve">TC </w:instrText>
      </w:r>
      <w:bookmarkStart w:id="14" w:name="_Toc34957697"/>
      <w:r>
        <w:rPr>
          <w:rFonts w:hint="eastAsia" w:ascii="方正仿宋_GBK" w:eastAsia="方正仿宋_GBK"/>
          <w:b/>
          <w:sz w:val="28"/>
        </w:rPr>
        <w:instrText xml:space="preserve">11、产品质量检验检测经费绩效目标表</w:instrText>
      </w:r>
      <w:bookmarkEnd w:id="14"/>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422003</w:t>
            </w:r>
            <w:r>
              <w:rPr>
                <w:rFonts w:hint="eastAsia" w:ascii="方正书宋_GBK" w:eastAsia="方正书宋_GBK"/>
                <w:b/>
              </w:rPr>
              <w:t>无极县质量技术监督检验所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422-0104-JBN-IGFL</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产品质量检验检测经费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30.00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30.00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依法进行的计量器具检定和管理工作，是保障事关民生及经济发展的贸易结算，安全防护、医疗卫生和环境监测等工作正常开展的基础性工作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20.00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40.00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70.00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、加强对计量工作的监督管理</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、做好计量器具检定和维修工作</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依法行政，做好计量器具检定工作</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大于等于</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提高办事效率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大于等于</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提高检定事项的办理质量</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大于等于</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推广计量检定工作</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大于等于</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提高民众满意度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大于等于</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社会影响力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提高行风建设</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大于等于</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社会影响力</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12、计量检验检测经费绩效目标表</w:t>
      </w:r>
      <w:r>
        <w:fldChar w:fldCharType="begin"/>
      </w:r>
      <w:r>
        <w:rPr>
          <w:rFonts w:hint="eastAsia" w:ascii="方正仿宋_GBK" w:eastAsia="方正仿宋_GBK"/>
          <w:b/>
          <w:sz w:val="28"/>
        </w:rPr>
        <w:instrText xml:space="preserve">TC </w:instrText>
      </w:r>
      <w:bookmarkStart w:id="15" w:name="_Toc34957698"/>
      <w:r>
        <w:rPr>
          <w:rFonts w:hint="eastAsia" w:ascii="方正仿宋_GBK" w:eastAsia="方正仿宋_GBK"/>
          <w:b/>
          <w:sz w:val="28"/>
        </w:rPr>
        <w:instrText xml:space="preserve">12、计量检验检测经费绩效目标表</w:instrText>
      </w:r>
      <w:bookmarkEnd w:id="15"/>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422003</w:t>
            </w:r>
            <w:r>
              <w:rPr>
                <w:rFonts w:hint="eastAsia" w:ascii="方正书宋_GBK" w:eastAsia="方正书宋_GBK"/>
                <w:b/>
              </w:rPr>
              <w:t>无极县质量技术监督检验所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422-0104-JBN-6NRF</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计量检验检测经费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30.00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30.00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为了规范市场，引导消费，依法行政，做好市场监督管理工作。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20.00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40.00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70.00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、依法行政，做好每项工作</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、展开计量工作</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严格依据各项法律法规</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大于等于</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我局依法进行查处各类违法案件</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大于等于</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尽快开展计量工作</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大于等于</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计量工作尽快有序的发展</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大于等于</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使服务对象满意</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大于等于</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社会影响力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提高公众满意度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大于等于</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社会影响力</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六、政府采购预算情况</w:t>
      </w:r>
    </w:p>
    <w:p>
      <w:pPr>
        <w:ind w:firstLine="640" w:firstLineChars="200"/>
        <w:outlineLvl w:val="0"/>
        <w:rPr>
          <w:rFonts w:hint="eastAsia" w:ascii="Times New Roman" w:hAnsi="Times New Roman" w:eastAsia="仿宋" w:cs="仿宋"/>
          <w:sz w:val="32"/>
          <w:szCs w:val="32"/>
        </w:rPr>
      </w:pPr>
      <w:bookmarkStart w:id="16" w:name="_Toc471398468"/>
      <w:r>
        <w:rPr>
          <w:rFonts w:ascii="Times New Roman" w:hAnsi="Times New Roman" w:eastAsia="仿宋" w:cs="Times New Roman"/>
          <w:sz w:val="32"/>
          <w:szCs w:val="32"/>
        </w:rPr>
        <w:t xml:space="preserve"> 2020</w:t>
      </w:r>
      <w:r>
        <w:rPr>
          <w:rFonts w:hint="eastAsia" w:ascii="Times New Roman" w:hAnsi="Times New Roman" w:eastAsia="仿宋" w:cs="仿宋"/>
          <w:sz w:val="32"/>
          <w:szCs w:val="32"/>
        </w:rPr>
        <w:t>年，我部门安排政府采购预算</w:t>
      </w:r>
      <w:r>
        <w:rPr>
          <w:rFonts w:hint="eastAsia" w:ascii="Times New Roman" w:hAnsi="Times New Roman" w:eastAsia="仿宋" w:cs="Times New Roman"/>
          <w:sz w:val="32"/>
          <w:szCs w:val="32"/>
        </w:rPr>
        <w:t>0</w:t>
      </w:r>
      <w:r>
        <w:rPr>
          <w:rFonts w:hint="eastAsia" w:ascii="Times New Roman" w:hAnsi="Times New Roman" w:eastAsia="仿宋" w:cs="仿宋"/>
          <w:sz w:val="32"/>
          <w:szCs w:val="32"/>
        </w:rPr>
        <w:t>万元。</w:t>
      </w:r>
      <w:bookmarkEnd w:id="16"/>
    </w:p>
    <w:p>
      <w:pPr>
        <w:ind w:left="0" w:leftChars="0" w:right="0" w:rightChars="0" w:firstLine="0" w:firstLineChars="0"/>
        <w:jc w:val="center"/>
        <w:rPr>
          <w:rFonts w:hint="eastAsia" w:ascii="仿宋_GB2312" w:eastAsia="仿宋_GB2312"/>
          <w:sz w:val="32"/>
          <w:szCs w:val="32"/>
          <w:lang w:val="en-US" w:eastAsia="zh-CN"/>
        </w:rPr>
      </w:pPr>
      <w:r>
        <w:rPr>
          <w:rFonts w:hint="eastAsia" w:ascii="仿宋_GB2312" w:eastAsia="仿宋_GB2312"/>
          <w:sz w:val="32"/>
          <w:szCs w:val="32"/>
          <w:lang w:val="en-US" w:eastAsia="zh-CN"/>
        </w:rPr>
        <w:t>部门政府采购预算</w:t>
      </w:r>
    </w:p>
    <w:p>
      <w:pPr>
        <w:ind w:left="0" w:leftChars="0" w:right="0" w:rightChars="0" w:firstLine="0" w:firstLineChars="0"/>
        <w:jc w:val="left"/>
        <w:rPr>
          <w:rFonts w:hint="eastAsia" w:ascii="仿宋_GB2312" w:eastAsia="仿宋_GB2312"/>
          <w:sz w:val="32"/>
          <w:szCs w:val="32"/>
          <w:lang w:val="en-US" w:eastAsia="zh-CN"/>
        </w:rPr>
      </w:pPr>
      <w:r>
        <w:rPr>
          <w:rFonts w:hint="eastAsia" w:ascii="仿宋_GB2312" w:eastAsia="仿宋_GB2312"/>
          <w:sz w:val="32"/>
          <w:szCs w:val="32"/>
          <w:lang w:val="en-US" w:eastAsia="zh-CN"/>
        </w:rPr>
        <w:t>424  无极县质监局                                                     单位：万元</w:t>
      </w:r>
    </w:p>
    <w:tbl>
      <w:tblPr>
        <w:tblStyle w:val="7"/>
        <w:tblW w:w="1415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19"/>
        <w:gridCol w:w="1019"/>
        <w:gridCol w:w="1019"/>
        <w:gridCol w:w="1019"/>
        <w:gridCol w:w="1019"/>
        <w:gridCol w:w="1019"/>
        <w:gridCol w:w="1020"/>
        <w:gridCol w:w="1020"/>
        <w:gridCol w:w="1020"/>
        <w:gridCol w:w="1020"/>
        <w:gridCol w:w="1007"/>
        <w:gridCol w:w="998"/>
        <w:gridCol w:w="950"/>
        <w:gridCol w:w="100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038" w:type="dxa"/>
            <w:gridSpan w:val="2"/>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r>
              <w:rPr>
                <w:rFonts w:hint="eastAsia" w:ascii="仿宋_GB2312" w:eastAsia="仿宋_GB2312"/>
                <w:sz w:val="21"/>
                <w:szCs w:val="32"/>
                <w:vertAlign w:val="baseline"/>
                <w:lang w:val="en-US" w:eastAsia="zh-CN"/>
              </w:rPr>
              <w:t>政府采购项目来源</w:t>
            </w:r>
          </w:p>
        </w:tc>
        <w:tc>
          <w:tcPr>
            <w:tcW w:w="1019" w:type="dxa"/>
            <w:vMerge w:val="restart"/>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r>
              <w:rPr>
                <w:rFonts w:hint="eastAsia" w:ascii="仿宋_GB2312" w:eastAsia="仿宋_GB2312"/>
                <w:sz w:val="21"/>
                <w:szCs w:val="32"/>
                <w:vertAlign w:val="baseline"/>
                <w:lang w:val="en-US" w:eastAsia="zh-CN"/>
              </w:rPr>
              <w:t>采购物品名称</w:t>
            </w:r>
          </w:p>
        </w:tc>
        <w:tc>
          <w:tcPr>
            <w:tcW w:w="1019" w:type="dxa"/>
            <w:vMerge w:val="restart"/>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r>
              <w:rPr>
                <w:rFonts w:hint="eastAsia" w:ascii="仿宋_GB2312" w:eastAsia="仿宋_GB2312"/>
                <w:sz w:val="21"/>
                <w:szCs w:val="32"/>
                <w:vertAlign w:val="baseline"/>
                <w:lang w:val="en-US" w:eastAsia="zh-CN"/>
              </w:rPr>
              <w:t>政府采购目录序号</w:t>
            </w:r>
          </w:p>
        </w:tc>
        <w:tc>
          <w:tcPr>
            <w:tcW w:w="1019" w:type="dxa"/>
            <w:vMerge w:val="restart"/>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r>
              <w:rPr>
                <w:rFonts w:hint="eastAsia" w:ascii="仿宋_GB2312" w:eastAsia="仿宋_GB2312"/>
                <w:sz w:val="21"/>
                <w:szCs w:val="32"/>
                <w:vertAlign w:val="baseline"/>
                <w:lang w:val="en-US" w:eastAsia="zh-CN"/>
              </w:rPr>
              <w:t>数量单位</w:t>
            </w:r>
          </w:p>
        </w:tc>
        <w:tc>
          <w:tcPr>
            <w:tcW w:w="1019" w:type="dxa"/>
            <w:vMerge w:val="restart"/>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r>
              <w:rPr>
                <w:rFonts w:hint="eastAsia" w:ascii="仿宋_GB2312" w:eastAsia="仿宋_GB2312"/>
                <w:sz w:val="21"/>
                <w:szCs w:val="32"/>
                <w:vertAlign w:val="baseline"/>
                <w:lang w:val="en-US" w:eastAsia="zh-CN"/>
              </w:rPr>
              <w:t>数量</w:t>
            </w:r>
          </w:p>
        </w:tc>
        <w:tc>
          <w:tcPr>
            <w:tcW w:w="1020" w:type="dxa"/>
            <w:vMerge w:val="restart"/>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r>
              <w:rPr>
                <w:rFonts w:hint="eastAsia" w:ascii="仿宋_GB2312" w:eastAsia="仿宋_GB2312"/>
                <w:sz w:val="21"/>
                <w:szCs w:val="32"/>
                <w:vertAlign w:val="baseline"/>
                <w:lang w:val="en-US" w:eastAsia="zh-CN"/>
              </w:rPr>
              <w:t>单价</w:t>
            </w:r>
          </w:p>
        </w:tc>
        <w:tc>
          <w:tcPr>
            <w:tcW w:w="7017" w:type="dxa"/>
            <w:gridSpan w:val="7"/>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r>
              <w:rPr>
                <w:rFonts w:hint="eastAsia" w:ascii="仿宋_GB2312" w:eastAsia="仿宋_GB2312"/>
                <w:sz w:val="21"/>
                <w:szCs w:val="32"/>
                <w:vertAlign w:val="baseline"/>
                <w:lang w:val="en-US" w:eastAsia="zh-CN"/>
              </w:rPr>
              <w:t>政府采购金额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19" w:type="dxa"/>
            <w:vMerge w:val="restart"/>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r>
              <w:rPr>
                <w:rFonts w:hint="eastAsia" w:ascii="仿宋_GB2312" w:eastAsia="仿宋_GB2312"/>
                <w:sz w:val="21"/>
                <w:szCs w:val="32"/>
                <w:vertAlign w:val="baseline"/>
                <w:lang w:val="en-US" w:eastAsia="zh-CN"/>
              </w:rPr>
              <w:t>项目名称</w:t>
            </w:r>
          </w:p>
        </w:tc>
        <w:tc>
          <w:tcPr>
            <w:tcW w:w="1019" w:type="dxa"/>
            <w:vMerge w:val="restart"/>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r>
              <w:rPr>
                <w:rFonts w:hint="eastAsia" w:ascii="仿宋_GB2312" w:eastAsia="仿宋_GB2312"/>
                <w:sz w:val="21"/>
                <w:szCs w:val="32"/>
                <w:vertAlign w:val="baseline"/>
                <w:lang w:val="en-US" w:eastAsia="zh-CN"/>
              </w:rPr>
              <w:t>预算资金</w:t>
            </w:r>
          </w:p>
        </w:tc>
        <w:tc>
          <w:tcPr>
            <w:tcW w:w="1019" w:type="dxa"/>
            <w:vMerge w:val="continue"/>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19" w:type="dxa"/>
            <w:vMerge w:val="continue"/>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19" w:type="dxa"/>
            <w:vMerge w:val="continue"/>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19" w:type="dxa"/>
            <w:vMerge w:val="continue"/>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20" w:type="dxa"/>
            <w:vMerge w:val="continue"/>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20" w:type="dxa"/>
            <w:vMerge w:val="restart"/>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r>
              <w:rPr>
                <w:rFonts w:hint="eastAsia" w:ascii="仿宋_GB2312" w:eastAsia="仿宋_GB2312"/>
                <w:sz w:val="21"/>
                <w:szCs w:val="32"/>
                <w:vertAlign w:val="baseline"/>
                <w:lang w:val="en-US" w:eastAsia="zh-CN"/>
              </w:rPr>
              <w:t>总计</w:t>
            </w:r>
          </w:p>
        </w:tc>
        <w:tc>
          <w:tcPr>
            <w:tcW w:w="4995" w:type="dxa"/>
            <w:gridSpan w:val="5"/>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r>
              <w:rPr>
                <w:rFonts w:hint="eastAsia" w:ascii="仿宋_GB2312" w:eastAsia="仿宋_GB2312"/>
                <w:sz w:val="21"/>
                <w:szCs w:val="32"/>
                <w:vertAlign w:val="baseline"/>
                <w:lang w:val="en-US" w:eastAsia="zh-CN"/>
              </w:rPr>
              <w:t>当年部门预算安排资金</w:t>
            </w:r>
          </w:p>
        </w:tc>
        <w:tc>
          <w:tcPr>
            <w:tcW w:w="1002" w:type="dxa"/>
            <w:vMerge w:val="restart"/>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r>
              <w:rPr>
                <w:rFonts w:hint="eastAsia" w:ascii="仿宋_GB2312" w:eastAsia="仿宋_GB2312"/>
                <w:sz w:val="21"/>
                <w:szCs w:val="32"/>
                <w:vertAlign w:val="baseline"/>
                <w:lang w:val="en-US" w:eastAsia="zh-CN"/>
              </w:rPr>
              <w:t>其他渠道资金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5" w:hRule="atLeast"/>
        </w:trPr>
        <w:tc>
          <w:tcPr>
            <w:tcW w:w="1019" w:type="dxa"/>
            <w:vMerge w:val="continue"/>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19" w:type="dxa"/>
            <w:vMerge w:val="continue"/>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19" w:type="dxa"/>
            <w:vMerge w:val="continue"/>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19" w:type="dxa"/>
            <w:vMerge w:val="continue"/>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19" w:type="dxa"/>
            <w:vMerge w:val="continue"/>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19" w:type="dxa"/>
            <w:vMerge w:val="continue"/>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20" w:type="dxa"/>
            <w:vMerge w:val="continue"/>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20" w:type="dxa"/>
            <w:vMerge w:val="continue"/>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20" w:type="dxa"/>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r>
              <w:rPr>
                <w:rFonts w:hint="eastAsia" w:ascii="仿宋_GB2312" w:eastAsia="仿宋_GB2312"/>
                <w:sz w:val="21"/>
                <w:szCs w:val="32"/>
                <w:vertAlign w:val="baseline"/>
                <w:lang w:val="en-US" w:eastAsia="zh-CN"/>
              </w:rPr>
              <w:t>合计</w:t>
            </w:r>
          </w:p>
        </w:tc>
        <w:tc>
          <w:tcPr>
            <w:tcW w:w="1020" w:type="dxa"/>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r>
              <w:rPr>
                <w:rFonts w:hint="eastAsia" w:ascii="仿宋_GB2312" w:eastAsia="仿宋_GB2312"/>
                <w:sz w:val="21"/>
                <w:szCs w:val="32"/>
                <w:vertAlign w:val="baseline"/>
                <w:lang w:val="en-US" w:eastAsia="zh-CN"/>
              </w:rPr>
              <w:t>一般公共预算拨款</w:t>
            </w:r>
          </w:p>
        </w:tc>
        <w:tc>
          <w:tcPr>
            <w:tcW w:w="1007" w:type="dxa"/>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r>
              <w:rPr>
                <w:rFonts w:hint="eastAsia" w:ascii="仿宋_GB2312" w:eastAsia="仿宋_GB2312"/>
                <w:sz w:val="21"/>
                <w:szCs w:val="32"/>
                <w:vertAlign w:val="baseline"/>
                <w:lang w:val="en-US" w:eastAsia="zh-CN"/>
              </w:rPr>
              <w:t>基金预算拨款</w:t>
            </w:r>
          </w:p>
        </w:tc>
        <w:tc>
          <w:tcPr>
            <w:tcW w:w="998" w:type="dxa"/>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r>
              <w:rPr>
                <w:rFonts w:hint="eastAsia" w:ascii="仿宋_GB2312" w:eastAsia="仿宋_GB2312"/>
                <w:sz w:val="21"/>
                <w:szCs w:val="32"/>
                <w:vertAlign w:val="baseline"/>
                <w:lang w:val="en-US" w:eastAsia="zh-CN"/>
              </w:rPr>
              <w:t>财政专户核拨</w:t>
            </w:r>
          </w:p>
        </w:tc>
        <w:tc>
          <w:tcPr>
            <w:tcW w:w="950" w:type="dxa"/>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r>
              <w:rPr>
                <w:rFonts w:hint="eastAsia" w:ascii="仿宋_GB2312" w:eastAsia="仿宋_GB2312"/>
                <w:sz w:val="21"/>
                <w:szCs w:val="32"/>
                <w:vertAlign w:val="baseline"/>
                <w:lang w:val="en-US" w:eastAsia="zh-CN"/>
              </w:rPr>
              <w:t>其他来源收入</w:t>
            </w:r>
          </w:p>
        </w:tc>
        <w:tc>
          <w:tcPr>
            <w:tcW w:w="1002" w:type="dxa"/>
            <w:vMerge w:val="continue"/>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19" w:type="dxa"/>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19" w:type="dxa"/>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19" w:type="dxa"/>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19" w:type="dxa"/>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19" w:type="dxa"/>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19" w:type="dxa"/>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20" w:type="dxa"/>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20" w:type="dxa"/>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20" w:type="dxa"/>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20" w:type="dxa"/>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07" w:type="dxa"/>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998" w:type="dxa"/>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950" w:type="dxa"/>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02" w:type="dxa"/>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19" w:type="dxa"/>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19" w:type="dxa"/>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19" w:type="dxa"/>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19" w:type="dxa"/>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19" w:type="dxa"/>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19" w:type="dxa"/>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20" w:type="dxa"/>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20" w:type="dxa"/>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20" w:type="dxa"/>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20" w:type="dxa"/>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07" w:type="dxa"/>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998" w:type="dxa"/>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950" w:type="dxa"/>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c>
          <w:tcPr>
            <w:tcW w:w="1002" w:type="dxa"/>
            <w:vAlign w:val="center"/>
          </w:tcPr>
          <w:p>
            <w:pPr>
              <w:pBdr>
                <w:top w:val="none" w:color="auto" w:sz="0" w:space="0"/>
                <w:left w:val="none" w:color="auto" w:sz="0" w:space="0"/>
                <w:bottom w:val="none" w:color="auto" w:sz="0" w:space="0"/>
                <w:right w:val="none" w:color="auto" w:sz="0" w:space="0"/>
                <w:between w:val="none" w:color="auto" w:sz="0" w:space="0"/>
              </w:pBdr>
              <w:shd w:val="clear" w:color="auto" w:fill="auto"/>
              <w:ind w:right="0" w:rightChars="0"/>
              <w:jc w:val="center"/>
              <w:rPr>
                <w:rFonts w:hint="eastAsia" w:ascii="仿宋_GB2312" w:eastAsia="仿宋_GB2312"/>
                <w:sz w:val="21"/>
                <w:szCs w:val="32"/>
                <w:vertAlign w:val="baseline"/>
                <w:lang w:val="en-US" w:eastAsia="zh-CN"/>
              </w:rPr>
            </w:pPr>
          </w:p>
        </w:tc>
      </w:tr>
    </w:tbl>
    <w:p>
      <w:pPr>
        <w:ind w:left="0" w:leftChars="0" w:right="0" w:rightChars="0" w:firstLine="0" w:firstLineChars="0"/>
        <w:jc w:val="left"/>
        <w:rPr>
          <w:rFonts w:hint="eastAsia" w:ascii="仿宋_GB2312" w:eastAsia="仿宋_GB2312"/>
          <w:sz w:val="32"/>
          <w:szCs w:val="32"/>
          <w:lang w:val="en-US" w:eastAsia="zh-CN"/>
        </w:rPr>
      </w:pPr>
      <w:r>
        <w:rPr>
          <w:rFonts w:hint="eastAsia" w:ascii="仿宋_GB2312" w:eastAsia="仿宋_GB2312"/>
          <w:sz w:val="32"/>
          <w:szCs w:val="32"/>
          <w:lang w:val="en-US" w:eastAsia="zh-CN"/>
        </w:rPr>
        <w:t>注：我单位无政府采购，空表列示。</w:t>
      </w:r>
    </w:p>
    <w:p>
      <w:pPr>
        <w:ind w:firstLine="640" w:firstLineChars="200"/>
        <w:outlineLvl w:val="0"/>
        <w:rPr>
          <w:rFonts w:hint="eastAsia" w:ascii="Times New Roman" w:hAnsi="Times New Roman" w:eastAsia="仿宋" w:cs="仿宋"/>
          <w:sz w:val="32"/>
          <w:szCs w:val="32"/>
        </w:rPr>
      </w:pPr>
    </w:p>
    <w:p>
      <w:pPr>
        <w:autoSpaceDE w:val="0"/>
        <w:autoSpaceDN w:val="0"/>
        <w:adjustRightInd w:val="0"/>
        <w:ind w:firstLine="320" w:firstLineChars="100"/>
        <w:jc w:val="left"/>
        <w:rPr>
          <w:rFonts w:ascii="黑体" w:hAnsi="黑体" w:eastAsia="黑体" w:cs="Times New Roman"/>
          <w:sz w:val="32"/>
          <w:szCs w:val="32"/>
        </w:rPr>
      </w:pPr>
      <w:r>
        <w:rPr>
          <w:rFonts w:hint="eastAsia" w:ascii="黑体" w:hAnsi="黑体" w:eastAsia="黑体" w:cs="黑体"/>
          <w:sz w:val="32"/>
          <w:szCs w:val="32"/>
        </w:rPr>
        <w:t xml:space="preserve">  七、国有资产信息</w:t>
      </w:r>
    </w:p>
    <w:p>
      <w:pPr>
        <w:ind w:firstLine="640"/>
        <w:rPr>
          <w:rFonts w:ascii="Times New Roman" w:hAnsi="Times New Roman" w:eastAsia="仿宋" w:cs="Times New Roman"/>
          <w:color w:val="000000"/>
          <w:sz w:val="32"/>
          <w:szCs w:val="32"/>
        </w:rPr>
      </w:pPr>
      <w:r>
        <w:rPr>
          <w:rFonts w:hint="eastAsia" w:ascii="Times New Roman" w:hAnsi="Times New Roman" w:eastAsia="仿宋" w:cs="仿宋"/>
          <w:color w:val="000000"/>
          <w:sz w:val="32"/>
          <w:szCs w:val="32"/>
        </w:rPr>
        <w:t>无极县质监局</w:t>
      </w:r>
      <w:r>
        <w:rPr>
          <w:rFonts w:ascii="Times New Roman" w:hAnsi="Times New Roman" w:eastAsia="仿宋" w:cs="Times New Roman"/>
          <w:color w:val="000000"/>
          <w:sz w:val="32"/>
          <w:szCs w:val="32"/>
        </w:rPr>
        <w:t>2019</w:t>
      </w:r>
      <w:r>
        <w:rPr>
          <w:rFonts w:hint="eastAsia" w:ascii="Times New Roman" w:hAnsi="Times New Roman" w:eastAsia="仿宋" w:cs="仿宋"/>
          <w:color w:val="000000"/>
          <w:sz w:val="32"/>
          <w:szCs w:val="32"/>
        </w:rPr>
        <w:t>年末固定资产金额为211.744863万元（详见下表），本年度各单位（处室）拟购置固定资产总额为</w:t>
      </w:r>
      <w:r>
        <w:rPr>
          <w:rFonts w:hint="eastAsia" w:ascii="Times New Roman" w:hAnsi="Times New Roman" w:eastAsia="仿宋" w:cs="Times New Roman"/>
          <w:color w:val="000000"/>
          <w:sz w:val="32"/>
          <w:szCs w:val="32"/>
        </w:rPr>
        <w:t>0</w:t>
      </w:r>
      <w:r>
        <w:rPr>
          <w:rFonts w:hint="eastAsia" w:ascii="Times New Roman" w:hAnsi="Times New Roman" w:eastAsia="仿宋" w:cs="仿宋"/>
          <w:color w:val="000000"/>
          <w:sz w:val="32"/>
          <w:szCs w:val="32"/>
        </w:rPr>
        <w:t>万元。</w:t>
      </w:r>
    </w:p>
    <w:tbl>
      <w:tblPr>
        <w:tblStyle w:val="7"/>
        <w:tblW w:w="13482" w:type="dxa"/>
        <w:tblInd w:w="-10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5224"/>
        <w:gridCol w:w="3155"/>
        <w:gridCol w:w="510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cs="Times New Roman"/>
                <w:b/>
                <w:bCs/>
                <w:kern w:val="0"/>
                <w:sz w:val="32"/>
                <w:szCs w:val="32"/>
              </w:rPr>
            </w:pPr>
            <w:r>
              <w:rPr>
                <w:rFonts w:hint="eastAsia" w:ascii="宋体" w:hAnsi="宋体" w:cs="宋体"/>
                <w:b/>
                <w:bCs/>
                <w:kern w:val="0"/>
                <w:sz w:val="32"/>
                <w:szCs w:val="32"/>
              </w:rPr>
              <w:t>无极县县直部门固定资产占用情况表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编制部门：省人大常委会办公厅</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截止时间：</w:t>
            </w:r>
            <w:r>
              <w:rPr>
                <w:rFonts w:ascii="Times New Roman" w:hAnsi="Times New Roman" w:eastAsia="仿宋" w:cs="Times New Roman"/>
                <w:kern w:val="0"/>
                <w:sz w:val="22"/>
                <w:szCs w:val="22"/>
              </w:rPr>
              <w:t>2019</w:t>
            </w:r>
            <w:r>
              <w:rPr>
                <w:rFonts w:hint="eastAsia" w:ascii="Times New Roman" w:hAnsi="Times New Roman" w:eastAsia="仿宋" w:cs="仿宋"/>
                <w:kern w:val="0"/>
                <w:sz w:val="22"/>
                <w:szCs w:val="22"/>
              </w:rPr>
              <w:t>年</w:t>
            </w:r>
            <w:r>
              <w:rPr>
                <w:rFonts w:ascii="Times New Roman" w:hAnsi="Times New Roman" w:eastAsia="仿宋" w:cs="Times New Roman"/>
                <w:kern w:val="0"/>
                <w:sz w:val="22"/>
                <w:szCs w:val="22"/>
              </w:rPr>
              <w:t>12</w:t>
            </w:r>
            <w:r>
              <w:rPr>
                <w:rFonts w:hint="eastAsia" w:ascii="Times New Roman" w:hAnsi="Times New Roman" w:eastAsia="仿宋" w:cs="仿宋"/>
                <w:kern w:val="0"/>
                <w:sz w:val="22"/>
                <w:szCs w:val="22"/>
              </w:rPr>
              <w:t>月</w:t>
            </w:r>
            <w:r>
              <w:rPr>
                <w:rFonts w:ascii="Times New Roman" w:hAnsi="Times New Roman" w:eastAsia="仿宋" w:cs="Times New Roman"/>
                <w:kern w:val="0"/>
                <w:sz w:val="22"/>
                <w:szCs w:val="22"/>
              </w:rPr>
              <w:t>31</w:t>
            </w:r>
            <w:r>
              <w:rPr>
                <w:rFonts w:hint="eastAsia" w:ascii="Times New Roman" w:hAnsi="Times New Roman" w:eastAsia="仿宋" w:cs="仿宋"/>
                <w:kern w:val="0"/>
                <w:sz w:val="22"/>
                <w:szCs w:val="22"/>
              </w:rPr>
              <w:t>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cs="Times New Roman"/>
                <w:b/>
                <w:bCs/>
                <w:kern w:val="0"/>
                <w:sz w:val="22"/>
                <w:szCs w:val="22"/>
              </w:rPr>
            </w:pPr>
            <w:r>
              <w:rPr>
                <w:rFonts w:hint="eastAsia" w:ascii="宋体" w:hAnsi="宋体" w:cs="宋体"/>
                <w:b/>
                <w:bCs/>
                <w:kern w:val="0"/>
                <w:sz w:val="22"/>
                <w:szCs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cs="Times New Roman"/>
                <w:b/>
                <w:bCs/>
                <w:kern w:val="0"/>
                <w:sz w:val="22"/>
                <w:szCs w:val="22"/>
              </w:rPr>
            </w:pPr>
            <w:r>
              <w:rPr>
                <w:rFonts w:hint="eastAsia" w:ascii="宋体" w:hAnsi="宋体" w:cs="宋体"/>
                <w:b/>
                <w:bCs/>
                <w:kern w:val="0"/>
                <w:sz w:val="22"/>
                <w:szCs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cs="Times New Roman"/>
                <w:b/>
                <w:bCs/>
                <w:kern w:val="0"/>
                <w:sz w:val="22"/>
                <w:szCs w:val="22"/>
              </w:rPr>
            </w:pPr>
            <w:r>
              <w:rPr>
                <w:rFonts w:hint="eastAsia" w:ascii="宋体" w:hAnsi="宋体" w:cs="宋体"/>
                <w:b/>
                <w:bCs/>
                <w:kern w:val="0"/>
                <w:sz w:val="22"/>
                <w:szCs w:val="22"/>
              </w:rPr>
              <w:t>价值（金额单位：万元）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FF0000"/>
                <w:kern w:val="0"/>
                <w:sz w:val="22"/>
                <w:szCs w:val="22"/>
              </w:rPr>
            </w:pPr>
            <w:r>
              <w:rPr>
                <w:rFonts w:hint="eastAsia" w:ascii="Times New Roman" w:hAnsi="Times New Roman" w:eastAsia="仿宋" w:cs="Times New Roman"/>
                <w:color w:val="000000"/>
                <w:kern w:val="0"/>
                <w:sz w:val="22"/>
                <w:szCs w:val="22"/>
              </w:rPr>
              <w:t>211.744863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ascii="Times New Roman" w:hAnsi="Times New Roman" w:eastAsia="仿宋" w:cs="Times New Roman"/>
                <w:kern w:val="0"/>
                <w:sz w:val="22"/>
                <w:szCs w:val="22"/>
              </w:rPr>
              <w:t>1</w:t>
            </w:r>
            <w:r>
              <w:rPr>
                <w:rFonts w:hint="eastAsia" w:ascii="Times New Roman" w:hAnsi="Times New Roman" w:eastAsia="仿宋" w:cs="仿宋"/>
                <w:kern w:val="0"/>
                <w:sz w:val="22"/>
                <w:szCs w:val="22"/>
              </w:rPr>
              <w:t>、房屋（平方米）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hint="eastAsia" w:ascii="Times New Roman" w:hAnsi="Times New Roman" w:eastAsia="仿宋" w:cs="Times New Roman"/>
                <w:kern w:val="0"/>
                <w:sz w:val="22"/>
                <w:szCs w:val="22"/>
              </w:rPr>
              <w:t>52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hint="eastAsia" w:ascii="Times New Roman" w:hAnsi="Times New Roman" w:eastAsia="仿宋" w:cs="Times New Roman"/>
                <w:kern w:val="0"/>
                <w:sz w:val="22"/>
                <w:szCs w:val="22"/>
              </w:rPr>
              <w:t>52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ascii="Times New Roman" w:hAnsi="Times New Roman" w:eastAsia="仿宋" w:cs="Times New Roman"/>
                <w:kern w:val="0"/>
                <w:sz w:val="22"/>
                <w:szCs w:val="22"/>
              </w:rPr>
              <w:t>2</w:t>
            </w:r>
            <w:r>
              <w:rPr>
                <w:rFonts w:hint="eastAsia" w:ascii="Times New Roman" w:hAnsi="Times New Roman" w:eastAsia="仿宋" w:cs="仿宋"/>
                <w:kern w:val="0"/>
                <w:sz w:val="22"/>
                <w:szCs w:val="22"/>
              </w:rPr>
              <w:t>、车辆（台、辆）</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hint="eastAsia" w:ascii="Times New Roman" w:hAnsi="Times New Roman" w:eastAsia="仿宋" w:cs="Times New Roman"/>
                <w:kern w:val="0"/>
                <w:sz w:val="22"/>
                <w:szCs w:val="22"/>
              </w:rPr>
              <w:t>13</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hint="eastAsia" w:ascii="Times New Roman" w:hAnsi="Times New Roman" w:eastAsia="仿宋" w:cs="Times New Roman"/>
                <w:kern w:val="0"/>
                <w:sz w:val="22"/>
                <w:szCs w:val="22"/>
              </w:rPr>
              <w:t>69.357263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ascii="Times New Roman" w:hAnsi="Times New Roman" w:eastAsia="仿宋" w:cs="Times New Roman"/>
                <w:kern w:val="0"/>
                <w:sz w:val="22"/>
                <w:szCs w:val="22"/>
              </w:rPr>
              <w:t>3</w:t>
            </w:r>
            <w:r>
              <w:rPr>
                <w:rFonts w:hint="eastAsia" w:ascii="Times New Roman" w:hAnsi="Times New Roman" w:eastAsia="仿宋" w:cs="仿宋"/>
                <w:kern w:val="0"/>
                <w:sz w:val="22"/>
                <w:szCs w:val="22"/>
              </w:rPr>
              <w:t>、单价在</w:t>
            </w:r>
            <w:r>
              <w:rPr>
                <w:rFonts w:ascii="Times New Roman" w:hAnsi="Times New Roman" w:eastAsia="仿宋" w:cs="Times New Roman"/>
                <w:kern w:val="0"/>
                <w:sz w:val="22"/>
                <w:szCs w:val="22"/>
              </w:rPr>
              <w:t>20</w:t>
            </w:r>
            <w:r>
              <w:rPr>
                <w:rFonts w:hint="eastAsia" w:ascii="Times New Roman" w:hAnsi="Times New Roman" w:eastAsia="仿宋" w:cs="仿宋"/>
                <w:kern w:val="0"/>
                <w:sz w:val="22"/>
                <w:szCs w:val="22"/>
              </w:rPr>
              <w:t>万元以上设备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hint="eastAsia" w:ascii="Times New Roman" w:hAnsi="Times New Roman" w:eastAsia="仿宋" w:cs="Times New Roman"/>
                <w:kern w:val="0"/>
                <w:sz w:val="22"/>
                <w:szCs w:val="22"/>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ascii="Times New Roman" w:hAnsi="Times New Roman" w:eastAsia="仿宋" w:cs="Times New Roman"/>
                <w:kern w:val="0"/>
                <w:sz w:val="22"/>
                <w:szCs w:val="22"/>
              </w:rPr>
              <w:t>4</w:t>
            </w:r>
            <w:r>
              <w:rPr>
                <w:rFonts w:hint="eastAsia" w:ascii="Times New Roman" w:hAnsi="Times New Roman" w:eastAsia="仿宋" w:cs="仿宋"/>
                <w:kern w:val="0"/>
                <w:sz w:val="22"/>
                <w:szCs w:val="22"/>
              </w:rPr>
              <w:t>、其他固定资产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hint="eastAsia" w:ascii="Times New Roman" w:hAnsi="Times New Roman" w:eastAsia="仿宋" w:cs="Times New Roman"/>
                <w:kern w:val="0"/>
                <w:sz w:val="22"/>
                <w:szCs w:val="22"/>
              </w:rPr>
              <w:t>90.3876</w:t>
            </w: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八、名词解释</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仿宋"/>
          <w:sz w:val="32"/>
          <w:szCs w:val="32"/>
        </w:rPr>
        <w:t>、一般公共预算拨款收入：指</w:t>
      </w:r>
      <w:r>
        <w:rPr>
          <w:rFonts w:hint="eastAsia" w:ascii="Times New Roman" w:hAnsi="Times New Roman" w:eastAsia="仿宋" w:cs="仿宋"/>
          <w:sz w:val="32"/>
          <w:szCs w:val="32"/>
          <w:lang w:val="en-US" w:eastAsia="zh-CN"/>
        </w:rPr>
        <w:t>县</w:t>
      </w:r>
      <w:r>
        <w:rPr>
          <w:rFonts w:hint="eastAsia" w:ascii="Times New Roman" w:hAnsi="Times New Roman" w:eastAsia="仿宋" w:cs="仿宋"/>
          <w:sz w:val="32"/>
          <w:szCs w:val="32"/>
        </w:rPr>
        <w:t>级财政当年拨付的资金。</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仿宋"/>
          <w:sz w:val="32"/>
          <w:szCs w:val="32"/>
        </w:rPr>
        <w:t>、事业收入：指事业单位开展专业业务活动及辅助活动所取得的收入。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仿宋"/>
          <w:sz w:val="32"/>
          <w:szCs w:val="32"/>
        </w:rPr>
        <w:t>、其他收入：指除“一般公共预算拨款收入”、“事业收入”等以外的收入。主要是按规定动用的租房收入、存款利息收入等。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4</w:t>
      </w:r>
      <w:r>
        <w:rPr>
          <w:rFonts w:hint="eastAsia" w:ascii="Times New Roman" w:hAnsi="Times New Roman" w:eastAsia="仿宋" w:cs="仿宋"/>
          <w:sz w:val="32"/>
          <w:szCs w:val="32"/>
        </w:rPr>
        <w:t>、基本支出：指为保障机构正常运转、完成日常工作任务而发生的人员支出和公用支出。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5</w:t>
      </w:r>
      <w:r>
        <w:rPr>
          <w:rFonts w:hint="eastAsia" w:ascii="Times New Roman" w:hAnsi="Times New Roman" w:eastAsia="仿宋" w:cs="仿宋"/>
          <w:sz w:val="32"/>
          <w:szCs w:val="32"/>
        </w:rPr>
        <w:t>、项目支出：指在基本支出之外为完成特定行政任务和事业发展目标所发生的支出。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6</w:t>
      </w:r>
      <w:r>
        <w:rPr>
          <w:rFonts w:hint="eastAsia" w:ascii="Times New Roman" w:hAnsi="Times New Roman" w:eastAsia="仿宋" w:cs="仿宋"/>
          <w:sz w:val="32"/>
          <w:szCs w:val="32"/>
        </w:rPr>
        <w:t>、上缴上级支出：指下级单位上缴上级的支出。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7</w:t>
      </w:r>
      <w:r>
        <w:rPr>
          <w:rFonts w:hint="eastAsia" w:ascii="Times New Roman" w:hAnsi="Times New Roman" w:eastAsia="仿宋" w:cs="仿宋"/>
          <w:sz w:val="32"/>
          <w:szCs w:val="32"/>
        </w:rPr>
        <w:t>、“三公”经费：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8</w:t>
      </w:r>
      <w:r>
        <w:rPr>
          <w:rFonts w:hint="eastAsia" w:ascii="Times New Roman" w:hAnsi="Times New Roman" w:eastAsia="仿宋" w:cs="仿宋"/>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9</w:t>
      </w:r>
      <w:r>
        <w:rPr>
          <w:rFonts w:hint="eastAsia" w:ascii="Times New Roman" w:hAnsi="Times New Roman" w:eastAsia="仿宋" w:cs="仿宋"/>
          <w:sz w:val="32"/>
          <w:szCs w:val="32"/>
        </w:rPr>
        <w:t>、上年结转：指以前年度尚未完成、结转到本年仍按原规定用途继续使用的资金。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10</w:t>
      </w:r>
      <w:r>
        <w:rPr>
          <w:rFonts w:hint="eastAsia" w:ascii="Times New Roman" w:hAnsi="Times New Roman" w:eastAsia="仿宋" w:cs="仿宋"/>
          <w:sz w:val="32"/>
          <w:szCs w:val="32"/>
        </w:rPr>
        <w:t>、事业单位经营支出：指事业单位在专业业务活动及其辅助活动之外开展非独立核算经营活动发生的支出。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Times New Roman"/>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仿宋"/>
          <w:sz w:val="32"/>
          <w:szCs w:val="32"/>
        </w:rPr>
        <w:t>我部门无其他需要说明的事项。</w:t>
      </w:r>
    </w:p>
    <w:sectPr>
      <w:footerReference r:id="rId3"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auto"/>
    <w:pitch w:val="default"/>
    <w:sig w:usb0="A00002BF" w:usb1="38CF7CFA" w:usb2="00082016" w:usb3="00000000" w:csb0="00040001" w:csb1="00000000"/>
  </w:font>
  <w:font w:name="仿宋">
    <w:panose1 w:val="02010609060101010101"/>
    <w:charset w:val="86"/>
    <w:family w:val="auto"/>
    <w:pitch w:val="default"/>
    <w:sig w:usb0="800002BF" w:usb1="38CF7CFA" w:usb2="00000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宋体-方正超大字符集">
    <w:altName w:val="宋体"/>
    <w:panose1 w:val="03000509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4"/>
      </w:rPr>
    </w:pPr>
    <w:r>
      <w:fldChar w:fldCharType="begin"/>
    </w:r>
    <w:r>
      <w:rPr>
        <w:rStyle w:val="14"/>
      </w:rPr>
      <w:instrText xml:space="preserve">PAGE  </w:instrText>
    </w:r>
    <w:r>
      <w:fldChar w:fldCharType="separate"/>
    </w:r>
    <w:r>
      <w:rPr>
        <w:rStyle w:val="14"/>
      </w:rPr>
      <w:t>19</w:t>
    </w:r>
    <w:r>
      <w:fldChar w:fldCharType="end"/>
    </w:r>
  </w:p>
  <w:p>
    <w:pPr>
      <w:pStyle w:val="2"/>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1"/>
  <w:bordersDoNotSurroundFooter w:val="1"/>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8D87C38"/>
    <w:rsid w:val="17FF7AE1"/>
    <w:rsid w:val="4B9312C8"/>
    <w:rsid w:val="4E5C193F"/>
    <w:rsid w:val="73A16255"/>
    <w:rsid w:val="FDB92DF4"/>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character" w:default="1" w:styleId="8">
    <w:name w:val="Default Paragraph Font"/>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2">
    <w:name w:val="footer"/>
    <w:basedOn w:val="1"/>
    <w:link w:val="10"/>
    <w:qFormat/>
    <w:uiPriority w:val="0"/>
    <w:pPr>
      <w:tabs>
        <w:tab w:val="center" w:pos="4153"/>
        <w:tab w:val="right" w:pos="8306"/>
      </w:tabs>
      <w:snapToGrid w:val="0"/>
      <w:jc w:val="left"/>
    </w:pPr>
    <w:rPr>
      <w:rFonts w:ascii="Times New Roman" w:hAnsi="Times New Roman" w:eastAsia="宋体" w:cs="Times New Roman"/>
      <w:sz w:val="18"/>
      <w:szCs w:val="18"/>
    </w:rPr>
  </w:style>
  <w:style w:type="paragraph" w:styleId="3">
    <w:name w:val="header"/>
    <w:basedOn w:val="1"/>
    <w:link w:val="11"/>
    <w:qFormat/>
    <w:uiPriority w:val="0"/>
    <w:pPr>
      <w:pBdr>
        <w:bottom w:val="single" w:color="auto" w:sz="6" w:space="1"/>
      </w:pBdr>
      <w:tabs>
        <w:tab w:val="center" w:pos="4153"/>
        <w:tab w:val="right" w:pos="8306"/>
      </w:tabs>
      <w:snapToGrid w:val="0"/>
      <w:jc w:val="center"/>
    </w:pPr>
    <w:rPr>
      <w:rFonts w:ascii="Times New Roman" w:hAnsi="Times New Roman" w:eastAsia="宋体" w:cs="Times New Roman"/>
      <w:sz w:val="18"/>
      <w:szCs w:val="18"/>
    </w:rPr>
  </w:style>
  <w:style w:type="paragraph" w:styleId="4">
    <w:name w:val="toc 1"/>
    <w:basedOn w:val="1"/>
    <w:next w:val="1"/>
    <w:qFormat/>
    <w:uiPriority w:val="0"/>
    <w:rPr>
      <w:rFonts w:ascii="Times New Roman" w:hAnsi="Times New Roman" w:cs="Times New Roman"/>
    </w:rPr>
  </w:style>
  <w:style w:type="paragraph" w:styleId="5">
    <w:name w:val="footnote text"/>
    <w:basedOn w:val="1"/>
    <w:link w:val="12"/>
    <w:qFormat/>
    <w:uiPriority w:val="0"/>
    <w:pPr>
      <w:snapToGrid w:val="0"/>
      <w:jc w:val="left"/>
    </w:pPr>
    <w:rPr>
      <w:rFonts w:ascii="Calibri" w:hAnsi="Calibri" w:cs="Calibri"/>
      <w:sz w:val="18"/>
      <w:szCs w:val="18"/>
    </w:rPr>
  </w:style>
  <w:style w:type="paragraph" w:styleId="6">
    <w:name w:val="toc 2"/>
    <w:basedOn w:val="1"/>
    <w:next w:val="1"/>
    <w:uiPriority w:val="0"/>
    <w:pPr>
      <w:ind w:left="420" w:leftChars="200"/>
    </w:pPr>
    <w:rPr>
      <w:rFonts w:ascii="Times New Roman" w:hAnsi="Times New Roman" w:cs="Times New Roman"/>
    </w:rPr>
  </w:style>
  <w:style w:type="character" w:styleId="9">
    <w:name w:val="footnote reference"/>
    <w:basedOn w:val="8"/>
    <w:qFormat/>
    <w:uiPriority w:val="0"/>
    <w:rPr>
      <w:vertAlign w:val="superscript"/>
    </w:rPr>
  </w:style>
  <w:style w:type="character" w:customStyle="1" w:styleId="10">
    <w:name w:val="页脚 Char"/>
    <w:basedOn w:val="8"/>
    <w:link w:val="2"/>
    <w:semiHidden/>
    <w:qFormat/>
    <w:uiPriority w:val="0"/>
    <w:rPr>
      <w:rFonts w:ascii="Times New Roman" w:hAnsi="Times New Roman" w:eastAsia="宋体" w:cs="Times New Roman"/>
      <w:sz w:val="18"/>
      <w:szCs w:val="18"/>
    </w:rPr>
  </w:style>
  <w:style w:type="character" w:customStyle="1" w:styleId="11">
    <w:name w:val="页眉 Char"/>
    <w:basedOn w:val="8"/>
    <w:link w:val="3"/>
    <w:semiHidden/>
    <w:qFormat/>
    <w:uiPriority w:val="0"/>
    <w:rPr>
      <w:rFonts w:ascii="Times New Roman" w:hAnsi="Times New Roman" w:eastAsia="宋体" w:cs="Times New Roman"/>
      <w:sz w:val="18"/>
      <w:szCs w:val="18"/>
    </w:rPr>
  </w:style>
  <w:style w:type="character" w:customStyle="1" w:styleId="12">
    <w:name w:val="脚注文本 Char"/>
    <w:basedOn w:val="8"/>
    <w:link w:val="5"/>
    <w:semiHidden/>
    <w:qFormat/>
    <w:uiPriority w:val="0"/>
    <w:rPr>
      <w:rFonts w:ascii="Calibri" w:hAnsi="Calibri" w:cs="Calibri"/>
      <w:sz w:val="18"/>
      <w:szCs w:val="18"/>
    </w:rPr>
  </w:style>
  <w:style w:type="paragraph" w:customStyle="1" w:styleId="13">
    <w:name w:val="Char"/>
    <w:basedOn w:val="1"/>
    <w:qFormat/>
    <w:uiPriority w:val="0"/>
    <w:rPr>
      <w:rFonts w:ascii="Times New Roman" w:hAnsi="Times New Roman" w:cs="Times New Roman"/>
    </w:rPr>
  </w:style>
  <w:style w:type="character" w:customStyle="1" w:styleId="14">
    <w:name w:val="页码1"/>
    <w:qFormat/>
    <w:uiPriority w:val="0"/>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Company>
  <Pages>21</Pages>
  <Words>8291</Words>
  <Characters>2592</Characters>
  <Lines>21</Lines>
  <Paragraphs>21</Paragraphs>
  <TotalTime>0</TotalTime>
  <ScaleCrop>false</ScaleCrop>
  <LinksUpToDate>false</LinksUpToDate>
  <CharactersWithSpaces>0</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2017-01-24T09:29:00Z</dcterms:created>
  <dc:creator>guest</dc:creator>
  <cp:lastModifiedBy>浮生</cp:lastModifiedBy>
  <cp:lastPrinted>2020-01-11T07:53:00Z</cp:lastPrinted>
  <dcterms:modified xsi:type="dcterms:W3CDTF">2025-04-22T07:05:18Z</dcterms:modified>
  <dc:title>o</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00A1EEF689EC47C9AF275C434AE5F78B</vt:lpwstr>
  </property>
</Properties>
</file>