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bookmarkStart w:id="1" w:name="_GoBack"/>
      <w:bookmarkEnd w:id="1"/>
      <w:r>
        <w:rPr>
          <w:rFonts w:ascii="黑体" w:hAnsi="黑体" w:eastAsia="黑体" w:cs="黑体"/>
          <w:b/>
          <w:color w:val="000000"/>
          <w:sz w:val="44"/>
        </w:rPr>
        <w:t>2022</w:t>
      </w:r>
      <w:r>
        <w:rPr>
          <w:rFonts w:hint="eastAsia"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hint="eastAsia" w:ascii="黑体" w:hAnsi="黑体" w:eastAsia="黑体" w:cs="黑体"/>
          <w:b/>
          <w:color w:val="000000"/>
          <w:sz w:val="44"/>
        </w:rPr>
        <w:t>预算信息公开目录</w:t>
      </w:r>
    </w:p>
    <w:p>
      <w:pPr>
        <w:jc w:val="center"/>
        <w:rPr>
          <w:rFonts w:eastAsia="Times New Roman"/>
        </w:rPr>
      </w:pPr>
      <w:r>
        <w:rPr>
          <w:rFonts w:ascii="黑体" w:hAnsi="黑体" w:eastAsia="黑体" w:cs="黑体"/>
          <w:b/>
          <w:color w:val="000000"/>
          <w:sz w:val="30"/>
        </w:rPr>
        <w:t xml:space="preserve"> </w:t>
      </w:r>
    </w:p>
    <w:p>
      <w:pPr>
        <w:pStyle w:val="7"/>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rPr>
        <w:t>一、无极县融媒体中心</w:t>
      </w:r>
      <w:r>
        <w:t>(</w:t>
      </w:r>
      <w:r>
        <w:rPr>
          <w:rFonts w:hint="eastAsia"/>
        </w:rPr>
        <w:t>无极县广播电视台</w:t>
      </w:r>
      <w:r>
        <w:t>)</w:t>
      </w:r>
      <w:r>
        <w:rPr>
          <w:rFonts w:hint="eastAsia"/>
        </w:rPr>
        <w:t>本级收支预算</w:t>
      </w:r>
      <w:r>
        <w:tab/>
      </w:r>
      <w:r>
        <w:fldChar w:fldCharType="begin"/>
      </w:r>
      <w:r>
        <w:instrText xml:space="preserve">PAGEREF _Toc_4_4_0000000019 \h</w:instrText>
      </w:r>
      <w:r>
        <w:fldChar w:fldCharType="separate"/>
      </w:r>
      <w:r>
        <w:t>2</w:t>
      </w:r>
      <w:r>
        <w:fldChar w:fldCharType="end"/>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hint="eastAsia" w:ascii="方正小标宋_GBK" w:hAnsi="方正小标宋_GBK" w:eastAsia="方正小标宋_GBK" w:cs="方正小标宋_GBK"/>
          <w:color w:val="000000"/>
          <w:sz w:val="44"/>
        </w:rPr>
        <w:t>无极县融媒体中心</w:t>
      </w:r>
      <w:r>
        <w:rPr>
          <w:rFonts w:ascii="方正小标宋_GBK" w:hAnsi="方正小标宋_GBK" w:eastAsia="方正小标宋_GBK" w:cs="方正小标宋_GBK"/>
          <w:color w:val="000000"/>
          <w:sz w:val="44"/>
        </w:rPr>
        <w:t>(</w:t>
      </w:r>
      <w:r>
        <w:rPr>
          <w:rFonts w:hint="eastAsia" w:ascii="方正小标宋_GBK" w:hAnsi="方正小标宋_GBK" w:eastAsia="方正小标宋_GBK" w:cs="方正小标宋_GBK"/>
          <w:color w:val="000000"/>
          <w:sz w:val="44"/>
        </w:rPr>
        <w:t>无极县广播电视台</w:t>
      </w:r>
      <w:r>
        <w:rPr>
          <w:rFonts w:ascii="方正小标宋_GBK" w:hAnsi="方正小标宋_GBK" w:eastAsia="方正小标宋_GBK" w:cs="方正小标宋_GBK"/>
          <w:color w:val="000000"/>
          <w:sz w:val="44"/>
        </w:rPr>
        <w:t>)</w:t>
      </w:r>
      <w:r>
        <w:rPr>
          <w:rFonts w:hint="eastAsia" w:ascii="方正小标宋_GBK" w:hAnsi="方正小标宋_GBK" w:eastAsia="方正小标宋_GBK" w:cs="方正小标宋_GBK"/>
          <w:color w:val="000000"/>
          <w:sz w:val="44"/>
        </w:rPr>
        <w:t>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8"/>
            </w:pPr>
            <w:r>
              <w:t>359001</w:t>
            </w:r>
            <w:r>
              <w:rPr>
                <w:rFonts w:hint="eastAsia"/>
              </w:rPr>
              <w:t>无极县融媒体中心</w:t>
            </w:r>
            <w:r>
              <w:t>(</w:t>
            </w:r>
            <w:r>
              <w:rPr>
                <w:rFonts w:hint="eastAsia"/>
              </w:rPr>
              <w:t>无极县广播电视台</w:t>
            </w:r>
            <w:r>
              <w:t>)</w:t>
            </w:r>
            <w:r>
              <w:rPr>
                <w:rFonts w:hint="eastAsia"/>
              </w:rPr>
              <w:t>本级</w:t>
            </w:r>
          </w:p>
        </w:tc>
        <w:tc>
          <w:tcPr>
            <w:tcW w:w="2126"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6661" w:type="dxa"/>
            <w:gridSpan w:val="2"/>
            <w:vAlign w:val="center"/>
          </w:tcPr>
          <w:p>
            <w:pPr>
              <w:pStyle w:val="19"/>
            </w:pPr>
            <w:r>
              <w:rPr>
                <w:rFonts w:hint="eastAsia"/>
              </w:rPr>
              <w:t>收入</w:t>
            </w:r>
          </w:p>
        </w:tc>
        <w:tc>
          <w:tcPr>
            <w:tcW w:w="6661" w:type="dxa"/>
            <w:gridSpan w:val="2"/>
            <w:vAlign w:val="center"/>
          </w:tcPr>
          <w:p>
            <w:pPr>
              <w:pStyle w:val="19"/>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9"/>
            </w:pPr>
            <w:r>
              <w:rPr>
                <w:rFonts w:hint="eastAsia"/>
              </w:rPr>
              <w:t>项</w:t>
            </w:r>
            <w:r>
              <w:t xml:space="preserve">  </w:t>
            </w:r>
            <w:r>
              <w:rPr>
                <w:rFonts w:hint="eastAsia"/>
              </w:rPr>
              <w:t>目</w:t>
            </w:r>
          </w:p>
        </w:tc>
        <w:tc>
          <w:tcPr>
            <w:tcW w:w="2126" w:type="dxa"/>
            <w:vAlign w:val="center"/>
          </w:tcPr>
          <w:p>
            <w:pPr>
              <w:pStyle w:val="19"/>
            </w:pPr>
            <w:r>
              <w:rPr>
                <w:rFonts w:hint="eastAsia"/>
              </w:rPr>
              <w:t>预算数</w:t>
            </w:r>
          </w:p>
        </w:tc>
        <w:tc>
          <w:tcPr>
            <w:tcW w:w="4535" w:type="dxa"/>
            <w:vAlign w:val="center"/>
          </w:tcPr>
          <w:p>
            <w:pPr>
              <w:pStyle w:val="19"/>
            </w:pPr>
            <w:r>
              <w:rPr>
                <w:rFonts w:hint="eastAsia"/>
              </w:rPr>
              <w:t>项</w:t>
            </w:r>
            <w:r>
              <w:t xml:space="preserve">  </w:t>
            </w:r>
            <w:r>
              <w:rPr>
                <w:rFonts w:hint="eastAsia"/>
              </w:rPr>
              <w:t>目</w:t>
            </w:r>
          </w:p>
        </w:tc>
        <w:tc>
          <w:tcPr>
            <w:tcW w:w="2126" w:type="dxa"/>
            <w:vAlign w:val="center"/>
          </w:tcPr>
          <w:p>
            <w:pPr>
              <w:pStyle w:val="19"/>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4535" w:type="dxa"/>
            <w:vAlign w:val="center"/>
          </w:tcPr>
          <w:p>
            <w:pPr>
              <w:pStyle w:val="19"/>
            </w:pPr>
            <w:r>
              <w:t>1</w:t>
            </w:r>
          </w:p>
        </w:tc>
        <w:tc>
          <w:tcPr>
            <w:tcW w:w="2126" w:type="dxa"/>
            <w:vAlign w:val="center"/>
          </w:tcPr>
          <w:p>
            <w:pPr>
              <w:pStyle w:val="19"/>
            </w:pPr>
            <w:r>
              <w:t>2</w:t>
            </w:r>
          </w:p>
        </w:tc>
        <w:tc>
          <w:tcPr>
            <w:tcW w:w="4535" w:type="dxa"/>
            <w:vAlign w:val="center"/>
          </w:tcPr>
          <w:p>
            <w:pPr>
              <w:pStyle w:val="19"/>
            </w:pPr>
            <w:r>
              <w:t>3</w:t>
            </w:r>
          </w:p>
        </w:tc>
        <w:tc>
          <w:tcPr>
            <w:tcW w:w="2126" w:type="dxa"/>
            <w:vAlign w:val="center"/>
          </w:tcPr>
          <w:p>
            <w:pPr>
              <w:pStyle w:val="1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w:t>
            </w:r>
          </w:p>
        </w:tc>
        <w:tc>
          <w:tcPr>
            <w:tcW w:w="4535" w:type="dxa"/>
            <w:vAlign w:val="center"/>
          </w:tcPr>
          <w:p>
            <w:pPr>
              <w:pStyle w:val="21"/>
            </w:pPr>
            <w:r>
              <w:rPr>
                <w:rFonts w:hint="eastAsia"/>
              </w:rPr>
              <w:t>一、一般公共预算拨款收入</w:t>
            </w:r>
          </w:p>
        </w:tc>
        <w:tc>
          <w:tcPr>
            <w:tcW w:w="2126" w:type="dxa"/>
            <w:vAlign w:val="center"/>
          </w:tcPr>
          <w:p>
            <w:pPr>
              <w:pStyle w:val="20"/>
            </w:pPr>
            <w:r>
              <w:t>555.50</w:t>
            </w:r>
          </w:p>
        </w:tc>
        <w:tc>
          <w:tcPr>
            <w:tcW w:w="4535" w:type="dxa"/>
            <w:vAlign w:val="center"/>
          </w:tcPr>
          <w:p>
            <w:pPr>
              <w:pStyle w:val="21"/>
            </w:pPr>
            <w:r>
              <w:rPr>
                <w:rFonts w:hint="eastAsia"/>
              </w:rPr>
              <w:t>一、一般公共服务支出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w:t>
            </w:r>
          </w:p>
        </w:tc>
        <w:tc>
          <w:tcPr>
            <w:tcW w:w="4535" w:type="dxa"/>
            <w:vAlign w:val="center"/>
          </w:tcPr>
          <w:p>
            <w:pPr>
              <w:pStyle w:val="21"/>
            </w:pPr>
            <w:r>
              <w:rPr>
                <w:rFonts w:hint="eastAsia"/>
              </w:rPr>
              <w:t>二、政府性基金预算拨款收入</w:t>
            </w:r>
          </w:p>
        </w:tc>
        <w:tc>
          <w:tcPr>
            <w:tcW w:w="2126" w:type="dxa"/>
            <w:vAlign w:val="center"/>
          </w:tcPr>
          <w:p>
            <w:pPr>
              <w:pStyle w:val="20"/>
            </w:pPr>
          </w:p>
        </w:tc>
        <w:tc>
          <w:tcPr>
            <w:tcW w:w="4535" w:type="dxa"/>
            <w:vAlign w:val="center"/>
          </w:tcPr>
          <w:p>
            <w:pPr>
              <w:pStyle w:val="21"/>
            </w:pPr>
            <w:r>
              <w:rPr>
                <w:rFonts w:hint="eastAsia"/>
              </w:rPr>
              <w:t>二、外交支出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w:t>
            </w:r>
          </w:p>
        </w:tc>
        <w:tc>
          <w:tcPr>
            <w:tcW w:w="4535" w:type="dxa"/>
            <w:vAlign w:val="center"/>
          </w:tcPr>
          <w:p>
            <w:pPr>
              <w:pStyle w:val="21"/>
            </w:pPr>
            <w:r>
              <w:rPr>
                <w:rFonts w:hint="eastAsia"/>
              </w:rPr>
              <w:t>三、国有资本经营预算拨款收入</w:t>
            </w:r>
          </w:p>
        </w:tc>
        <w:tc>
          <w:tcPr>
            <w:tcW w:w="2126" w:type="dxa"/>
            <w:vAlign w:val="center"/>
          </w:tcPr>
          <w:p>
            <w:pPr>
              <w:pStyle w:val="20"/>
            </w:pPr>
          </w:p>
        </w:tc>
        <w:tc>
          <w:tcPr>
            <w:tcW w:w="4535" w:type="dxa"/>
            <w:vAlign w:val="center"/>
          </w:tcPr>
          <w:p>
            <w:pPr>
              <w:pStyle w:val="21"/>
            </w:pPr>
            <w:r>
              <w:rPr>
                <w:rFonts w:hint="eastAsia"/>
              </w:rPr>
              <w:t>三、国防支出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4</w:t>
            </w:r>
          </w:p>
        </w:tc>
        <w:tc>
          <w:tcPr>
            <w:tcW w:w="4535" w:type="dxa"/>
            <w:vAlign w:val="center"/>
          </w:tcPr>
          <w:p>
            <w:pPr>
              <w:pStyle w:val="21"/>
            </w:pPr>
            <w:r>
              <w:rPr>
                <w:rFonts w:hint="eastAsia"/>
              </w:rPr>
              <w:t>四、财政专户管理资金收入</w:t>
            </w:r>
          </w:p>
        </w:tc>
        <w:tc>
          <w:tcPr>
            <w:tcW w:w="2126" w:type="dxa"/>
            <w:vAlign w:val="center"/>
          </w:tcPr>
          <w:p>
            <w:pPr>
              <w:pStyle w:val="20"/>
            </w:pPr>
          </w:p>
        </w:tc>
        <w:tc>
          <w:tcPr>
            <w:tcW w:w="4535" w:type="dxa"/>
            <w:vAlign w:val="center"/>
          </w:tcPr>
          <w:p>
            <w:pPr>
              <w:pStyle w:val="21"/>
            </w:pPr>
            <w:r>
              <w:rPr>
                <w:rFonts w:hint="eastAsia"/>
              </w:rPr>
              <w:t>四、公共安全支出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5</w:t>
            </w:r>
          </w:p>
        </w:tc>
        <w:tc>
          <w:tcPr>
            <w:tcW w:w="4535" w:type="dxa"/>
            <w:vAlign w:val="center"/>
          </w:tcPr>
          <w:p>
            <w:pPr>
              <w:pStyle w:val="21"/>
            </w:pPr>
            <w:r>
              <w:rPr>
                <w:rFonts w:hint="eastAsia"/>
              </w:rPr>
              <w:t>五、事业收入</w:t>
            </w:r>
          </w:p>
        </w:tc>
        <w:tc>
          <w:tcPr>
            <w:tcW w:w="2126" w:type="dxa"/>
            <w:vAlign w:val="center"/>
          </w:tcPr>
          <w:p>
            <w:pPr>
              <w:pStyle w:val="20"/>
            </w:pPr>
          </w:p>
        </w:tc>
        <w:tc>
          <w:tcPr>
            <w:tcW w:w="4535" w:type="dxa"/>
            <w:vAlign w:val="center"/>
          </w:tcPr>
          <w:p>
            <w:pPr>
              <w:pStyle w:val="21"/>
            </w:pPr>
            <w:r>
              <w:rPr>
                <w:rFonts w:hint="eastAsia"/>
              </w:rPr>
              <w:t>五、教育支出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6</w:t>
            </w:r>
          </w:p>
        </w:tc>
        <w:tc>
          <w:tcPr>
            <w:tcW w:w="4535" w:type="dxa"/>
            <w:vAlign w:val="center"/>
          </w:tcPr>
          <w:p>
            <w:pPr>
              <w:pStyle w:val="21"/>
            </w:pPr>
            <w:r>
              <w:rPr>
                <w:rFonts w:hint="eastAsia"/>
              </w:rPr>
              <w:t>六、事业单位经营收入</w:t>
            </w:r>
          </w:p>
        </w:tc>
        <w:tc>
          <w:tcPr>
            <w:tcW w:w="2126" w:type="dxa"/>
            <w:vAlign w:val="center"/>
          </w:tcPr>
          <w:p>
            <w:pPr>
              <w:pStyle w:val="20"/>
            </w:pPr>
          </w:p>
        </w:tc>
        <w:tc>
          <w:tcPr>
            <w:tcW w:w="4535" w:type="dxa"/>
            <w:vAlign w:val="center"/>
          </w:tcPr>
          <w:p>
            <w:pPr>
              <w:pStyle w:val="21"/>
            </w:pPr>
            <w:r>
              <w:rPr>
                <w:rFonts w:hint="eastAsia"/>
              </w:rPr>
              <w:t>六、科学技术支出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7</w:t>
            </w:r>
          </w:p>
        </w:tc>
        <w:tc>
          <w:tcPr>
            <w:tcW w:w="4535" w:type="dxa"/>
            <w:vAlign w:val="center"/>
          </w:tcPr>
          <w:p>
            <w:pPr>
              <w:pStyle w:val="21"/>
            </w:pPr>
            <w:r>
              <w:rPr>
                <w:rFonts w:hint="eastAsia"/>
              </w:rPr>
              <w:t>七、上级补助收入</w:t>
            </w:r>
          </w:p>
        </w:tc>
        <w:tc>
          <w:tcPr>
            <w:tcW w:w="2126" w:type="dxa"/>
            <w:vAlign w:val="center"/>
          </w:tcPr>
          <w:p>
            <w:pPr>
              <w:pStyle w:val="20"/>
            </w:pPr>
          </w:p>
        </w:tc>
        <w:tc>
          <w:tcPr>
            <w:tcW w:w="4535" w:type="dxa"/>
            <w:vAlign w:val="center"/>
          </w:tcPr>
          <w:p>
            <w:pPr>
              <w:pStyle w:val="21"/>
            </w:pPr>
            <w:r>
              <w:rPr>
                <w:rFonts w:hint="eastAsia"/>
              </w:rPr>
              <w:t>七、文化旅游体育与传媒支出</w:t>
            </w:r>
          </w:p>
        </w:tc>
        <w:tc>
          <w:tcPr>
            <w:tcW w:w="2126" w:type="dxa"/>
            <w:vAlign w:val="center"/>
          </w:tcPr>
          <w:p>
            <w:pPr>
              <w:pStyle w:val="20"/>
            </w:pPr>
            <w:r>
              <w:t>491.40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8</w:t>
            </w:r>
          </w:p>
        </w:tc>
        <w:tc>
          <w:tcPr>
            <w:tcW w:w="4535" w:type="dxa"/>
            <w:vAlign w:val="center"/>
          </w:tcPr>
          <w:p>
            <w:pPr>
              <w:pStyle w:val="21"/>
            </w:pPr>
            <w:r>
              <w:rPr>
                <w:rFonts w:hint="eastAsia"/>
              </w:rPr>
              <w:t>八、附属单位上缴收入</w:t>
            </w:r>
          </w:p>
        </w:tc>
        <w:tc>
          <w:tcPr>
            <w:tcW w:w="2126" w:type="dxa"/>
            <w:vAlign w:val="center"/>
          </w:tcPr>
          <w:p>
            <w:pPr>
              <w:pStyle w:val="20"/>
            </w:pPr>
          </w:p>
        </w:tc>
        <w:tc>
          <w:tcPr>
            <w:tcW w:w="4535" w:type="dxa"/>
            <w:vAlign w:val="center"/>
          </w:tcPr>
          <w:p>
            <w:pPr>
              <w:pStyle w:val="21"/>
            </w:pPr>
            <w:r>
              <w:rPr>
                <w:rFonts w:hint="eastAsia"/>
              </w:rPr>
              <w:t>八、社会保障和就业支出</w:t>
            </w:r>
          </w:p>
        </w:tc>
        <w:tc>
          <w:tcPr>
            <w:tcW w:w="2126" w:type="dxa"/>
            <w:vAlign w:val="center"/>
          </w:tcPr>
          <w:p>
            <w:pPr>
              <w:pStyle w:val="20"/>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9</w:t>
            </w:r>
          </w:p>
        </w:tc>
        <w:tc>
          <w:tcPr>
            <w:tcW w:w="4535" w:type="dxa"/>
            <w:vAlign w:val="center"/>
          </w:tcPr>
          <w:p>
            <w:pPr>
              <w:pStyle w:val="21"/>
            </w:pPr>
            <w:r>
              <w:rPr>
                <w:rFonts w:hint="eastAsia"/>
              </w:rPr>
              <w:t>九、其他收入</w:t>
            </w:r>
          </w:p>
        </w:tc>
        <w:tc>
          <w:tcPr>
            <w:tcW w:w="2126" w:type="dxa"/>
            <w:vAlign w:val="center"/>
          </w:tcPr>
          <w:p>
            <w:pPr>
              <w:pStyle w:val="20"/>
            </w:pPr>
          </w:p>
        </w:tc>
        <w:tc>
          <w:tcPr>
            <w:tcW w:w="4535" w:type="dxa"/>
            <w:vAlign w:val="center"/>
          </w:tcPr>
          <w:p>
            <w:pPr>
              <w:pStyle w:val="21"/>
            </w:pPr>
            <w:r>
              <w:rPr>
                <w:rFonts w:hint="eastAsia"/>
              </w:rPr>
              <w:t>九、社会保险基金支出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10</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十、卫生健康支出</w:t>
            </w:r>
          </w:p>
        </w:tc>
        <w:tc>
          <w:tcPr>
            <w:tcW w:w="2126" w:type="dxa"/>
            <w:vAlign w:val="center"/>
          </w:tcPr>
          <w:p>
            <w:pPr>
              <w:pStyle w:val="20"/>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11</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十一、节能环保支出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12</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十二、城乡社区支出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13</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十三、农林水支出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14</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十四、交通运输支出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15</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十五、资源勘探工业信息等支出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16</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十六、商业服务业等支出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17</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十七、金融支出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18</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十八、援助其他地区支出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19</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十九、自然资源海洋气象等支出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20</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二十、住房保障支出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21</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二十一、粮油物资储备支出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22</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二十二、国有资本经营预算支出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23</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二十三、灾害防治及应急管理支出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24</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二十四、预备费</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25</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二十五、其他支出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26</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二十六、转移性支出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27</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二十七、债务还本支出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28</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二十八、债务付息支出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29</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二十九、债务发行费用支出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30</w:t>
            </w:r>
          </w:p>
        </w:tc>
        <w:tc>
          <w:tcPr>
            <w:tcW w:w="4535" w:type="dxa"/>
            <w:vAlign w:val="center"/>
          </w:tcPr>
          <w:p>
            <w:pPr>
              <w:pStyle w:val="21"/>
            </w:pPr>
          </w:p>
        </w:tc>
        <w:tc>
          <w:tcPr>
            <w:tcW w:w="2126" w:type="dxa"/>
            <w:vAlign w:val="center"/>
          </w:tcPr>
          <w:p>
            <w:pPr>
              <w:pStyle w:val="20"/>
            </w:pPr>
          </w:p>
        </w:tc>
        <w:tc>
          <w:tcPr>
            <w:tcW w:w="4535" w:type="dxa"/>
            <w:vAlign w:val="center"/>
          </w:tcPr>
          <w:p>
            <w:pPr>
              <w:pStyle w:val="21"/>
            </w:pPr>
            <w:r>
              <w:rPr>
                <w:rFonts w:hint="eastAsia"/>
              </w:rPr>
              <w:t>三十、抗疫特别国债安排的支出</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31</w:t>
            </w:r>
          </w:p>
        </w:tc>
        <w:tc>
          <w:tcPr>
            <w:tcW w:w="4535" w:type="dxa"/>
            <w:vAlign w:val="center"/>
          </w:tcPr>
          <w:p>
            <w:pPr>
              <w:pStyle w:val="23"/>
            </w:pPr>
            <w:r>
              <w:rPr>
                <w:rFonts w:hint="eastAsia"/>
              </w:rPr>
              <w:t>本年收入合计</w:t>
            </w:r>
          </w:p>
        </w:tc>
        <w:tc>
          <w:tcPr>
            <w:tcW w:w="2126" w:type="dxa"/>
            <w:vAlign w:val="center"/>
          </w:tcPr>
          <w:p>
            <w:pPr>
              <w:pStyle w:val="24"/>
            </w:pPr>
            <w:r>
              <w:t>555.50</w:t>
            </w:r>
          </w:p>
        </w:tc>
        <w:tc>
          <w:tcPr>
            <w:tcW w:w="4535" w:type="dxa"/>
            <w:vAlign w:val="center"/>
          </w:tcPr>
          <w:p>
            <w:pPr>
              <w:pStyle w:val="23"/>
            </w:pPr>
            <w:r>
              <w:rPr>
                <w:rFonts w:hint="eastAsia"/>
              </w:rPr>
              <w:t>本年支出合计</w:t>
            </w:r>
          </w:p>
        </w:tc>
        <w:tc>
          <w:tcPr>
            <w:tcW w:w="2126" w:type="dxa"/>
            <w:vAlign w:val="center"/>
          </w:tcPr>
          <w:p>
            <w:pPr>
              <w:pStyle w:val="24"/>
            </w:pPr>
            <w:r>
              <w:t>555.50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32</w:t>
            </w:r>
          </w:p>
        </w:tc>
        <w:tc>
          <w:tcPr>
            <w:tcW w:w="4535" w:type="dxa"/>
            <w:vAlign w:val="center"/>
          </w:tcPr>
          <w:p>
            <w:pPr>
              <w:pStyle w:val="21"/>
            </w:pPr>
            <w:r>
              <w:rPr>
                <w:rFonts w:hint="eastAsia"/>
              </w:rPr>
              <w:t>上年结转结余</w:t>
            </w:r>
          </w:p>
        </w:tc>
        <w:tc>
          <w:tcPr>
            <w:tcW w:w="2126" w:type="dxa"/>
            <w:vAlign w:val="center"/>
          </w:tcPr>
          <w:p>
            <w:pPr>
              <w:pStyle w:val="20"/>
            </w:pPr>
          </w:p>
        </w:tc>
        <w:tc>
          <w:tcPr>
            <w:tcW w:w="4535" w:type="dxa"/>
            <w:vAlign w:val="center"/>
          </w:tcPr>
          <w:p>
            <w:pPr>
              <w:pStyle w:val="21"/>
            </w:pPr>
            <w:r>
              <w:rPr>
                <w:rFonts w:hint="eastAsia"/>
              </w:rPr>
              <w:t>年终结转结余</w:t>
            </w: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33</w:t>
            </w:r>
          </w:p>
        </w:tc>
        <w:tc>
          <w:tcPr>
            <w:tcW w:w="4535" w:type="dxa"/>
            <w:vAlign w:val="center"/>
          </w:tcPr>
          <w:p>
            <w:pPr>
              <w:pStyle w:val="23"/>
            </w:pPr>
            <w:r>
              <w:rPr>
                <w:rFonts w:hint="eastAsia"/>
              </w:rPr>
              <w:t>收入总计</w:t>
            </w:r>
          </w:p>
        </w:tc>
        <w:tc>
          <w:tcPr>
            <w:tcW w:w="2126" w:type="dxa"/>
            <w:vAlign w:val="center"/>
          </w:tcPr>
          <w:p>
            <w:pPr>
              <w:pStyle w:val="24"/>
            </w:pPr>
            <w:r>
              <w:t>555.50</w:t>
            </w:r>
          </w:p>
        </w:tc>
        <w:tc>
          <w:tcPr>
            <w:tcW w:w="4535" w:type="dxa"/>
            <w:vAlign w:val="center"/>
          </w:tcPr>
          <w:p>
            <w:pPr>
              <w:pStyle w:val="23"/>
            </w:pPr>
            <w:r>
              <w:rPr>
                <w:rFonts w:hint="eastAsia"/>
              </w:rPr>
              <w:t>支出总计</w:t>
            </w:r>
          </w:p>
        </w:tc>
        <w:tc>
          <w:tcPr>
            <w:tcW w:w="2126" w:type="dxa"/>
            <w:vAlign w:val="center"/>
          </w:tcPr>
          <w:p>
            <w:pPr>
              <w:pStyle w:val="24"/>
            </w:pPr>
            <w:r>
              <w:t>555.50</w:t>
            </w:r>
          </w:p>
        </w:tc>
      </w:tr>
    </w:tbl>
    <w:p>
      <w:pPr>
        <w:sectPr>
          <w:footerReference r:id="rId9" w:type="default"/>
          <w:footerReference r:id="rId10" w:type="even"/>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8"/>
            </w:pPr>
            <w:r>
              <w:t>359001</w:t>
            </w:r>
            <w:r>
              <w:rPr>
                <w:rFonts w:hint="eastAsia"/>
              </w:rPr>
              <w:t>无极县融媒体中心</w:t>
            </w:r>
            <w:r>
              <w:t>(</w:t>
            </w:r>
            <w:r>
              <w:rPr>
                <w:rFonts w:hint="eastAsia"/>
              </w:rPr>
              <w:t>无极县广播电视台</w:t>
            </w:r>
            <w:r>
              <w:t>)</w:t>
            </w:r>
            <w:r>
              <w:rPr>
                <w:rFonts w:hint="eastAsia"/>
              </w:rPr>
              <w:t>本级</w:t>
            </w:r>
          </w:p>
        </w:tc>
        <w:tc>
          <w:tcPr>
            <w:tcW w:w="3402" w:type="dxa"/>
            <w:gridSpan w:val="3"/>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9"/>
            </w:pPr>
            <w:r>
              <w:rPr>
                <w:rFonts w:hint="eastAsia"/>
              </w:rPr>
              <w:t>序号</w:t>
            </w:r>
          </w:p>
        </w:tc>
        <w:tc>
          <w:tcPr>
            <w:tcW w:w="2551" w:type="dxa"/>
            <w:gridSpan w:val="2"/>
            <w:vAlign w:val="center"/>
          </w:tcPr>
          <w:p>
            <w:pPr>
              <w:pStyle w:val="19"/>
            </w:pPr>
            <w:r>
              <w:rPr>
                <w:rFonts w:hint="eastAsia"/>
              </w:rPr>
              <w:t>功能分类科目</w:t>
            </w:r>
          </w:p>
        </w:tc>
        <w:tc>
          <w:tcPr>
            <w:tcW w:w="1134" w:type="dxa"/>
            <w:vMerge w:val="restart"/>
            <w:vAlign w:val="center"/>
          </w:tcPr>
          <w:p>
            <w:pPr>
              <w:pStyle w:val="19"/>
            </w:pPr>
            <w:r>
              <w:rPr>
                <w:rFonts w:hint="eastAsia"/>
              </w:rPr>
              <w:t>合计</w:t>
            </w:r>
          </w:p>
        </w:tc>
        <w:tc>
          <w:tcPr>
            <w:tcW w:w="9071" w:type="dxa"/>
            <w:gridSpan w:val="8"/>
            <w:vAlign w:val="center"/>
          </w:tcPr>
          <w:p>
            <w:pPr>
              <w:pStyle w:val="19"/>
            </w:pPr>
            <w:r>
              <w:rPr>
                <w:rFonts w:hint="eastAsia"/>
              </w:rPr>
              <w:t>本年收入</w:t>
            </w:r>
          </w:p>
        </w:tc>
        <w:tc>
          <w:tcPr>
            <w:tcW w:w="1134" w:type="dxa"/>
            <w:vMerge w:val="restart"/>
            <w:vAlign w:val="center"/>
          </w:tcPr>
          <w:p>
            <w:pPr>
              <w:pStyle w:val="19"/>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9"/>
            </w:pPr>
            <w:r>
              <w:rPr>
                <w:rFonts w:hint="eastAsia"/>
              </w:rPr>
              <w:t>科目</w:t>
            </w:r>
            <w:r>
              <w:t xml:space="preserve">    </w:t>
            </w:r>
            <w:r>
              <w:rPr>
                <w:rFonts w:hint="eastAsia"/>
              </w:rPr>
              <w:t>编码</w:t>
            </w:r>
          </w:p>
        </w:tc>
        <w:tc>
          <w:tcPr>
            <w:tcW w:w="1559" w:type="dxa"/>
            <w:vAlign w:val="center"/>
          </w:tcPr>
          <w:p>
            <w:pPr>
              <w:pStyle w:val="19"/>
            </w:pPr>
            <w:r>
              <w:rPr>
                <w:rFonts w:hint="eastAsia"/>
              </w:rPr>
              <w:t>科目名称</w:t>
            </w:r>
          </w:p>
        </w:tc>
        <w:tc>
          <w:tcPr>
            <w:tcW w:w="1134" w:type="dxa"/>
            <w:vMerge w:val="continue"/>
          </w:tcPr>
          <w:p/>
        </w:tc>
        <w:tc>
          <w:tcPr>
            <w:tcW w:w="1134" w:type="dxa"/>
            <w:vAlign w:val="center"/>
          </w:tcPr>
          <w:p>
            <w:pPr>
              <w:pStyle w:val="19"/>
            </w:pPr>
            <w:r>
              <w:rPr>
                <w:rFonts w:hint="eastAsia"/>
              </w:rPr>
              <w:t>小计</w:t>
            </w:r>
          </w:p>
        </w:tc>
        <w:tc>
          <w:tcPr>
            <w:tcW w:w="1134" w:type="dxa"/>
            <w:vAlign w:val="center"/>
          </w:tcPr>
          <w:p>
            <w:pPr>
              <w:pStyle w:val="19"/>
            </w:pPr>
            <w:r>
              <w:rPr>
                <w:rFonts w:hint="eastAsia"/>
              </w:rPr>
              <w:t>财政拨款</w:t>
            </w:r>
            <w:r>
              <w:t xml:space="preserve"> </w:t>
            </w:r>
            <w:r>
              <w:rPr>
                <w:rFonts w:hint="eastAsia"/>
              </w:rPr>
              <w:t>收入</w:t>
            </w:r>
          </w:p>
        </w:tc>
        <w:tc>
          <w:tcPr>
            <w:tcW w:w="1134" w:type="dxa"/>
            <w:vAlign w:val="center"/>
          </w:tcPr>
          <w:p>
            <w:pPr>
              <w:pStyle w:val="19"/>
            </w:pPr>
            <w:r>
              <w:rPr>
                <w:rFonts w:hint="eastAsia"/>
              </w:rPr>
              <w:t>财政专户</w:t>
            </w:r>
            <w:r>
              <w:t xml:space="preserve"> </w:t>
            </w:r>
            <w:r>
              <w:rPr>
                <w:rFonts w:hint="eastAsia"/>
              </w:rPr>
              <w:t>收入</w:t>
            </w:r>
          </w:p>
        </w:tc>
        <w:tc>
          <w:tcPr>
            <w:tcW w:w="1134" w:type="dxa"/>
            <w:vAlign w:val="center"/>
          </w:tcPr>
          <w:p>
            <w:pPr>
              <w:pStyle w:val="19"/>
            </w:pPr>
            <w:r>
              <w:rPr>
                <w:rFonts w:hint="eastAsia"/>
              </w:rPr>
              <w:t>事业收入</w:t>
            </w:r>
          </w:p>
        </w:tc>
        <w:tc>
          <w:tcPr>
            <w:tcW w:w="1134" w:type="dxa"/>
            <w:vAlign w:val="center"/>
          </w:tcPr>
          <w:p>
            <w:pPr>
              <w:pStyle w:val="19"/>
            </w:pPr>
            <w:r>
              <w:rPr>
                <w:rFonts w:hint="eastAsia"/>
              </w:rPr>
              <w:t>经营收入</w:t>
            </w:r>
          </w:p>
        </w:tc>
        <w:tc>
          <w:tcPr>
            <w:tcW w:w="1134" w:type="dxa"/>
            <w:vAlign w:val="center"/>
          </w:tcPr>
          <w:p>
            <w:pPr>
              <w:pStyle w:val="19"/>
            </w:pPr>
            <w:r>
              <w:rPr>
                <w:rFonts w:hint="eastAsia"/>
              </w:rPr>
              <w:t>上级补助收入</w:t>
            </w:r>
          </w:p>
        </w:tc>
        <w:tc>
          <w:tcPr>
            <w:tcW w:w="1134" w:type="dxa"/>
            <w:vAlign w:val="center"/>
          </w:tcPr>
          <w:p>
            <w:pPr>
              <w:pStyle w:val="19"/>
            </w:pPr>
            <w:r>
              <w:rPr>
                <w:rFonts w:hint="eastAsia"/>
              </w:rPr>
              <w:t>附属单位上缴收入</w:t>
            </w:r>
          </w:p>
        </w:tc>
        <w:tc>
          <w:tcPr>
            <w:tcW w:w="1134" w:type="dxa"/>
            <w:vAlign w:val="center"/>
          </w:tcPr>
          <w:p>
            <w:pPr>
              <w:pStyle w:val="19"/>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9"/>
            </w:pPr>
            <w:r>
              <w:rPr>
                <w:rFonts w:hint="eastAsia"/>
              </w:rPr>
              <w:t>栏次</w:t>
            </w:r>
          </w:p>
        </w:tc>
        <w:tc>
          <w:tcPr>
            <w:tcW w:w="992" w:type="dxa"/>
            <w:vAlign w:val="center"/>
          </w:tcPr>
          <w:p>
            <w:pPr>
              <w:pStyle w:val="19"/>
            </w:pPr>
            <w:r>
              <w:t>1</w:t>
            </w:r>
          </w:p>
        </w:tc>
        <w:tc>
          <w:tcPr>
            <w:tcW w:w="1559" w:type="dxa"/>
            <w:vAlign w:val="center"/>
          </w:tcPr>
          <w:p>
            <w:pPr>
              <w:pStyle w:val="19"/>
            </w:pPr>
            <w:r>
              <w:t>2</w:t>
            </w:r>
          </w:p>
        </w:tc>
        <w:tc>
          <w:tcPr>
            <w:tcW w:w="1134" w:type="dxa"/>
            <w:vAlign w:val="center"/>
          </w:tcPr>
          <w:p>
            <w:pPr>
              <w:pStyle w:val="19"/>
            </w:pPr>
            <w:r>
              <w:t>3</w:t>
            </w:r>
          </w:p>
        </w:tc>
        <w:tc>
          <w:tcPr>
            <w:tcW w:w="1134" w:type="dxa"/>
            <w:vAlign w:val="center"/>
          </w:tcPr>
          <w:p>
            <w:pPr>
              <w:pStyle w:val="19"/>
            </w:pPr>
            <w:r>
              <w:t>4</w:t>
            </w:r>
          </w:p>
        </w:tc>
        <w:tc>
          <w:tcPr>
            <w:tcW w:w="1134" w:type="dxa"/>
            <w:vAlign w:val="center"/>
          </w:tcPr>
          <w:p>
            <w:pPr>
              <w:pStyle w:val="19"/>
            </w:pPr>
            <w:r>
              <w:t>5</w:t>
            </w:r>
          </w:p>
        </w:tc>
        <w:tc>
          <w:tcPr>
            <w:tcW w:w="1134" w:type="dxa"/>
            <w:vAlign w:val="center"/>
          </w:tcPr>
          <w:p>
            <w:pPr>
              <w:pStyle w:val="19"/>
            </w:pPr>
            <w:r>
              <w:t>6</w:t>
            </w:r>
          </w:p>
        </w:tc>
        <w:tc>
          <w:tcPr>
            <w:tcW w:w="1134" w:type="dxa"/>
            <w:vAlign w:val="center"/>
          </w:tcPr>
          <w:p>
            <w:pPr>
              <w:pStyle w:val="19"/>
            </w:pPr>
            <w:r>
              <w:t>7</w:t>
            </w:r>
          </w:p>
        </w:tc>
        <w:tc>
          <w:tcPr>
            <w:tcW w:w="1134" w:type="dxa"/>
            <w:vAlign w:val="center"/>
          </w:tcPr>
          <w:p>
            <w:pPr>
              <w:pStyle w:val="19"/>
            </w:pPr>
            <w:r>
              <w:t>8</w:t>
            </w:r>
          </w:p>
        </w:tc>
        <w:tc>
          <w:tcPr>
            <w:tcW w:w="1134" w:type="dxa"/>
            <w:vAlign w:val="center"/>
          </w:tcPr>
          <w:p>
            <w:pPr>
              <w:pStyle w:val="19"/>
            </w:pPr>
            <w:r>
              <w:t>9</w:t>
            </w:r>
          </w:p>
        </w:tc>
        <w:tc>
          <w:tcPr>
            <w:tcW w:w="1134" w:type="dxa"/>
            <w:vAlign w:val="center"/>
          </w:tcPr>
          <w:p>
            <w:pPr>
              <w:pStyle w:val="19"/>
            </w:pPr>
            <w:r>
              <w:t>10</w:t>
            </w:r>
          </w:p>
        </w:tc>
        <w:tc>
          <w:tcPr>
            <w:tcW w:w="1134" w:type="dxa"/>
            <w:vAlign w:val="center"/>
          </w:tcPr>
          <w:p>
            <w:pPr>
              <w:pStyle w:val="19"/>
            </w:pPr>
            <w:r>
              <w:t>11</w:t>
            </w:r>
          </w:p>
        </w:tc>
        <w:tc>
          <w:tcPr>
            <w:tcW w:w="1134" w:type="dxa"/>
            <w:vAlign w:val="center"/>
          </w:tcPr>
          <w:p>
            <w:pPr>
              <w:pStyle w:val="1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1</w:t>
            </w:r>
          </w:p>
        </w:tc>
        <w:tc>
          <w:tcPr>
            <w:tcW w:w="992" w:type="dxa"/>
            <w:vAlign w:val="center"/>
          </w:tcPr>
          <w:p>
            <w:pPr>
              <w:pStyle w:val="25"/>
            </w:pPr>
          </w:p>
        </w:tc>
        <w:tc>
          <w:tcPr>
            <w:tcW w:w="1559" w:type="dxa"/>
            <w:vAlign w:val="center"/>
          </w:tcPr>
          <w:p>
            <w:pPr>
              <w:pStyle w:val="23"/>
            </w:pPr>
            <w:r>
              <w:rPr>
                <w:rFonts w:hint="eastAsia"/>
              </w:rPr>
              <w:t>合计</w:t>
            </w:r>
          </w:p>
        </w:tc>
        <w:tc>
          <w:tcPr>
            <w:tcW w:w="1134" w:type="dxa"/>
            <w:vAlign w:val="center"/>
          </w:tcPr>
          <w:p>
            <w:pPr>
              <w:pStyle w:val="24"/>
            </w:pPr>
            <w:r>
              <w:t>555.50</w:t>
            </w:r>
          </w:p>
        </w:tc>
        <w:tc>
          <w:tcPr>
            <w:tcW w:w="1134" w:type="dxa"/>
            <w:vAlign w:val="center"/>
          </w:tcPr>
          <w:p>
            <w:pPr>
              <w:pStyle w:val="24"/>
            </w:pPr>
            <w:r>
              <w:t>555.50</w:t>
            </w:r>
          </w:p>
        </w:tc>
        <w:tc>
          <w:tcPr>
            <w:tcW w:w="1134" w:type="dxa"/>
            <w:vAlign w:val="center"/>
          </w:tcPr>
          <w:p>
            <w:pPr>
              <w:pStyle w:val="24"/>
            </w:pPr>
            <w:r>
              <w:t>555.50</w:t>
            </w:r>
          </w:p>
        </w:tc>
        <w:tc>
          <w:tcPr>
            <w:tcW w:w="1134" w:type="dxa"/>
            <w:vAlign w:val="center"/>
          </w:tcPr>
          <w:p>
            <w:pPr>
              <w:pStyle w:val="24"/>
            </w:pPr>
          </w:p>
        </w:tc>
        <w:tc>
          <w:tcPr>
            <w:tcW w:w="1134" w:type="dxa"/>
            <w:vAlign w:val="center"/>
          </w:tcPr>
          <w:p>
            <w:pPr>
              <w:pStyle w:val="24"/>
            </w:pPr>
          </w:p>
        </w:tc>
        <w:tc>
          <w:tcPr>
            <w:tcW w:w="1134" w:type="dxa"/>
            <w:vAlign w:val="center"/>
          </w:tcPr>
          <w:p>
            <w:pPr>
              <w:pStyle w:val="24"/>
            </w:pPr>
          </w:p>
        </w:tc>
        <w:tc>
          <w:tcPr>
            <w:tcW w:w="1134" w:type="dxa"/>
            <w:vAlign w:val="center"/>
          </w:tcPr>
          <w:p>
            <w:pPr>
              <w:pStyle w:val="24"/>
            </w:pPr>
          </w:p>
        </w:tc>
        <w:tc>
          <w:tcPr>
            <w:tcW w:w="1134" w:type="dxa"/>
            <w:vAlign w:val="center"/>
          </w:tcPr>
          <w:p>
            <w:pPr>
              <w:pStyle w:val="24"/>
            </w:pPr>
          </w:p>
        </w:tc>
        <w:tc>
          <w:tcPr>
            <w:tcW w:w="1134" w:type="dxa"/>
            <w:vAlign w:val="center"/>
          </w:tcPr>
          <w:p>
            <w:pPr>
              <w:pStyle w:val="24"/>
            </w:pPr>
          </w:p>
        </w:tc>
        <w:tc>
          <w:tcPr>
            <w:tcW w:w="1134" w:type="dxa"/>
            <w:vAlign w:val="center"/>
          </w:tcPr>
          <w:p>
            <w:pPr>
              <w:pStyle w:val="2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2</w:t>
            </w:r>
          </w:p>
        </w:tc>
        <w:tc>
          <w:tcPr>
            <w:tcW w:w="992" w:type="dxa"/>
            <w:vAlign w:val="center"/>
          </w:tcPr>
          <w:p>
            <w:pPr>
              <w:pStyle w:val="21"/>
            </w:pPr>
            <w:r>
              <w:t>207</w:t>
            </w:r>
          </w:p>
        </w:tc>
        <w:tc>
          <w:tcPr>
            <w:tcW w:w="1559" w:type="dxa"/>
            <w:vAlign w:val="center"/>
          </w:tcPr>
          <w:p>
            <w:pPr>
              <w:pStyle w:val="21"/>
            </w:pPr>
            <w:r>
              <w:rPr>
                <w:rFonts w:hint="eastAsia"/>
              </w:rPr>
              <w:t>文化旅游体育与传媒支出</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3</w:t>
            </w:r>
          </w:p>
        </w:tc>
        <w:tc>
          <w:tcPr>
            <w:tcW w:w="992" w:type="dxa"/>
            <w:vAlign w:val="center"/>
          </w:tcPr>
          <w:p>
            <w:pPr>
              <w:pStyle w:val="21"/>
            </w:pPr>
            <w:r>
              <w:t>20708</w:t>
            </w:r>
          </w:p>
        </w:tc>
        <w:tc>
          <w:tcPr>
            <w:tcW w:w="1559" w:type="dxa"/>
            <w:vAlign w:val="center"/>
          </w:tcPr>
          <w:p>
            <w:pPr>
              <w:pStyle w:val="21"/>
            </w:pPr>
            <w:r>
              <w:rPr>
                <w:rFonts w:hint="eastAsia"/>
              </w:rPr>
              <w:t>广播电视</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4</w:t>
            </w:r>
          </w:p>
        </w:tc>
        <w:tc>
          <w:tcPr>
            <w:tcW w:w="992" w:type="dxa"/>
            <w:vAlign w:val="center"/>
          </w:tcPr>
          <w:p>
            <w:pPr>
              <w:pStyle w:val="21"/>
            </w:pPr>
            <w:r>
              <w:t>2070808</w:t>
            </w:r>
          </w:p>
        </w:tc>
        <w:tc>
          <w:tcPr>
            <w:tcW w:w="1559" w:type="dxa"/>
            <w:vAlign w:val="center"/>
          </w:tcPr>
          <w:p>
            <w:pPr>
              <w:pStyle w:val="21"/>
            </w:pPr>
            <w:r>
              <w:rPr>
                <w:rFonts w:hint="eastAsia"/>
              </w:rPr>
              <w:t>广播电视事务</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r>
              <w:t>491.40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5</w:t>
            </w:r>
          </w:p>
        </w:tc>
        <w:tc>
          <w:tcPr>
            <w:tcW w:w="992" w:type="dxa"/>
            <w:vAlign w:val="center"/>
          </w:tcPr>
          <w:p>
            <w:pPr>
              <w:pStyle w:val="21"/>
            </w:pPr>
            <w:r>
              <w:t>208</w:t>
            </w:r>
          </w:p>
        </w:tc>
        <w:tc>
          <w:tcPr>
            <w:tcW w:w="1559" w:type="dxa"/>
            <w:vAlign w:val="center"/>
          </w:tcPr>
          <w:p>
            <w:pPr>
              <w:pStyle w:val="21"/>
            </w:pPr>
            <w:r>
              <w:rPr>
                <w:rFonts w:hint="eastAsia"/>
              </w:rPr>
              <w:t>社会保障和就业支出</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6</w:t>
            </w:r>
          </w:p>
        </w:tc>
        <w:tc>
          <w:tcPr>
            <w:tcW w:w="992" w:type="dxa"/>
            <w:vAlign w:val="center"/>
          </w:tcPr>
          <w:p>
            <w:pPr>
              <w:pStyle w:val="21"/>
            </w:pPr>
            <w:r>
              <w:t>20805</w:t>
            </w:r>
          </w:p>
        </w:tc>
        <w:tc>
          <w:tcPr>
            <w:tcW w:w="1559" w:type="dxa"/>
            <w:vAlign w:val="center"/>
          </w:tcPr>
          <w:p>
            <w:pPr>
              <w:pStyle w:val="21"/>
            </w:pPr>
            <w:r>
              <w:rPr>
                <w:rFonts w:hint="eastAsia"/>
              </w:rPr>
              <w:t>行政事业单位养老支出</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7</w:t>
            </w:r>
          </w:p>
        </w:tc>
        <w:tc>
          <w:tcPr>
            <w:tcW w:w="992" w:type="dxa"/>
            <w:vAlign w:val="center"/>
          </w:tcPr>
          <w:p>
            <w:pPr>
              <w:pStyle w:val="21"/>
            </w:pPr>
            <w:r>
              <w:t>2080505</w:t>
            </w:r>
          </w:p>
        </w:tc>
        <w:tc>
          <w:tcPr>
            <w:tcW w:w="1559" w:type="dxa"/>
            <w:vAlign w:val="center"/>
          </w:tcPr>
          <w:p>
            <w:pPr>
              <w:pStyle w:val="21"/>
            </w:pPr>
            <w:r>
              <w:rPr>
                <w:rFonts w:hint="eastAsia"/>
              </w:rPr>
              <w:t>机关事业单位基本养老保险缴费支出</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r>
              <w:t>42.00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8</w:t>
            </w:r>
          </w:p>
        </w:tc>
        <w:tc>
          <w:tcPr>
            <w:tcW w:w="992" w:type="dxa"/>
            <w:vAlign w:val="center"/>
          </w:tcPr>
          <w:p>
            <w:pPr>
              <w:pStyle w:val="21"/>
            </w:pPr>
            <w:r>
              <w:t>210</w:t>
            </w:r>
          </w:p>
        </w:tc>
        <w:tc>
          <w:tcPr>
            <w:tcW w:w="1559" w:type="dxa"/>
            <w:vAlign w:val="center"/>
          </w:tcPr>
          <w:p>
            <w:pPr>
              <w:pStyle w:val="21"/>
            </w:pPr>
            <w:r>
              <w:rPr>
                <w:rFonts w:hint="eastAsia"/>
              </w:rPr>
              <w:t>卫生健康支出</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9</w:t>
            </w:r>
          </w:p>
        </w:tc>
        <w:tc>
          <w:tcPr>
            <w:tcW w:w="992" w:type="dxa"/>
            <w:vAlign w:val="center"/>
          </w:tcPr>
          <w:p>
            <w:pPr>
              <w:pStyle w:val="21"/>
            </w:pPr>
            <w:r>
              <w:t>21011</w:t>
            </w:r>
          </w:p>
        </w:tc>
        <w:tc>
          <w:tcPr>
            <w:tcW w:w="1559" w:type="dxa"/>
            <w:vAlign w:val="center"/>
          </w:tcPr>
          <w:p>
            <w:pPr>
              <w:pStyle w:val="21"/>
            </w:pPr>
            <w:r>
              <w:rPr>
                <w:rFonts w:hint="eastAsia"/>
              </w:rPr>
              <w:t>行政事业单位医疗</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2"/>
            </w:pPr>
            <w:r>
              <w:t>10</w:t>
            </w:r>
          </w:p>
        </w:tc>
        <w:tc>
          <w:tcPr>
            <w:tcW w:w="992" w:type="dxa"/>
            <w:vAlign w:val="center"/>
          </w:tcPr>
          <w:p>
            <w:pPr>
              <w:pStyle w:val="21"/>
            </w:pPr>
            <w:r>
              <w:t>2101102</w:t>
            </w:r>
          </w:p>
        </w:tc>
        <w:tc>
          <w:tcPr>
            <w:tcW w:w="1559" w:type="dxa"/>
            <w:vAlign w:val="center"/>
          </w:tcPr>
          <w:p>
            <w:pPr>
              <w:pStyle w:val="21"/>
            </w:pPr>
            <w:r>
              <w:rPr>
                <w:rFonts w:hint="eastAsia"/>
              </w:rPr>
              <w:t>事业单位医疗</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r>
              <w:t>22.10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8"/>
            </w:pPr>
            <w:r>
              <w:t>359001</w:t>
            </w:r>
            <w:r>
              <w:rPr>
                <w:rFonts w:hint="eastAsia"/>
              </w:rPr>
              <w:t>无极县融媒体中心</w:t>
            </w:r>
            <w:r>
              <w:t>(</w:t>
            </w:r>
            <w:r>
              <w:rPr>
                <w:rFonts w:hint="eastAsia"/>
              </w:rPr>
              <w:t>无极县广播电视台</w:t>
            </w:r>
            <w:r>
              <w:t>)</w:t>
            </w:r>
            <w:r>
              <w:rPr>
                <w:rFonts w:hint="eastAsia"/>
              </w:rPr>
              <w:t>本级</w:t>
            </w:r>
          </w:p>
        </w:tc>
        <w:tc>
          <w:tcPr>
            <w:tcW w:w="2721" w:type="dxa"/>
            <w:gridSpan w:val="2"/>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5528" w:type="dxa"/>
            <w:gridSpan w:val="2"/>
            <w:vAlign w:val="center"/>
          </w:tcPr>
          <w:p>
            <w:pPr>
              <w:pStyle w:val="19"/>
            </w:pPr>
            <w:r>
              <w:rPr>
                <w:rFonts w:hint="eastAsia"/>
              </w:rPr>
              <w:t>功能分类科目</w:t>
            </w:r>
          </w:p>
        </w:tc>
        <w:tc>
          <w:tcPr>
            <w:tcW w:w="1361" w:type="dxa"/>
            <w:vMerge w:val="restart"/>
            <w:vAlign w:val="center"/>
          </w:tcPr>
          <w:p>
            <w:pPr>
              <w:pStyle w:val="19"/>
            </w:pPr>
            <w:r>
              <w:rPr>
                <w:rFonts w:hint="eastAsia"/>
              </w:rPr>
              <w:t>合计</w:t>
            </w:r>
          </w:p>
        </w:tc>
        <w:tc>
          <w:tcPr>
            <w:tcW w:w="1361" w:type="dxa"/>
            <w:vMerge w:val="restart"/>
            <w:vAlign w:val="center"/>
          </w:tcPr>
          <w:p>
            <w:pPr>
              <w:pStyle w:val="19"/>
            </w:pPr>
            <w:r>
              <w:rPr>
                <w:rFonts w:hint="eastAsia"/>
              </w:rPr>
              <w:t>基本支出</w:t>
            </w:r>
          </w:p>
        </w:tc>
        <w:tc>
          <w:tcPr>
            <w:tcW w:w="1361" w:type="dxa"/>
            <w:vMerge w:val="restart"/>
            <w:vAlign w:val="center"/>
          </w:tcPr>
          <w:p>
            <w:pPr>
              <w:pStyle w:val="19"/>
            </w:pPr>
            <w:r>
              <w:rPr>
                <w:rFonts w:hint="eastAsia"/>
              </w:rPr>
              <w:t>项目支出</w:t>
            </w:r>
          </w:p>
        </w:tc>
        <w:tc>
          <w:tcPr>
            <w:tcW w:w="1361" w:type="dxa"/>
            <w:vMerge w:val="restart"/>
            <w:vAlign w:val="center"/>
          </w:tcPr>
          <w:p>
            <w:pPr>
              <w:pStyle w:val="19"/>
            </w:pPr>
            <w:r>
              <w:rPr>
                <w:rFonts w:hint="eastAsia"/>
              </w:rPr>
              <w:t>经营支出</w:t>
            </w:r>
          </w:p>
        </w:tc>
        <w:tc>
          <w:tcPr>
            <w:tcW w:w="1361" w:type="dxa"/>
            <w:vMerge w:val="restart"/>
            <w:vAlign w:val="center"/>
          </w:tcPr>
          <w:p>
            <w:pPr>
              <w:pStyle w:val="19"/>
            </w:pPr>
            <w:r>
              <w:rPr>
                <w:rFonts w:hint="eastAsia"/>
              </w:rPr>
              <w:t>上解上级</w:t>
            </w:r>
            <w:r>
              <w:t xml:space="preserve">     </w:t>
            </w:r>
            <w:r>
              <w:rPr>
                <w:rFonts w:hint="eastAsia"/>
              </w:rPr>
              <w:t>支出</w:t>
            </w:r>
          </w:p>
        </w:tc>
        <w:tc>
          <w:tcPr>
            <w:tcW w:w="1361" w:type="dxa"/>
            <w:vMerge w:val="restart"/>
            <w:vAlign w:val="center"/>
          </w:tcPr>
          <w:p>
            <w:pPr>
              <w:pStyle w:val="19"/>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9"/>
            </w:pPr>
            <w:r>
              <w:rPr>
                <w:rFonts w:hint="eastAsia"/>
              </w:rPr>
              <w:t>科目</w:t>
            </w:r>
            <w:r>
              <w:t xml:space="preserve">    </w:t>
            </w:r>
            <w:r>
              <w:rPr>
                <w:rFonts w:hint="eastAsia"/>
              </w:rPr>
              <w:t>编码</w:t>
            </w:r>
          </w:p>
        </w:tc>
        <w:tc>
          <w:tcPr>
            <w:tcW w:w="4535" w:type="dxa"/>
            <w:vAlign w:val="center"/>
          </w:tcPr>
          <w:p>
            <w:pPr>
              <w:pStyle w:val="19"/>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992" w:type="dxa"/>
            <w:vAlign w:val="center"/>
          </w:tcPr>
          <w:p>
            <w:pPr>
              <w:pStyle w:val="19"/>
            </w:pPr>
            <w:r>
              <w:t>1</w:t>
            </w:r>
          </w:p>
        </w:tc>
        <w:tc>
          <w:tcPr>
            <w:tcW w:w="4535" w:type="dxa"/>
            <w:vAlign w:val="center"/>
          </w:tcPr>
          <w:p>
            <w:pPr>
              <w:pStyle w:val="19"/>
            </w:pPr>
            <w:r>
              <w:t>2</w:t>
            </w:r>
          </w:p>
        </w:tc>
        <w:tc>
          <w:tcPr>
            <w:tcW w:w="1361" w:type="dxa"/>
            <w:vAlign w:val="center"/>
          </w:tcPr>
          <w:p>
            <w:pPr>
              <w:pStyle w:val="19"/>
            </w:pPr>
            <w:r>
              <w:t>3</w:t>
            </w:r>
          </w:p>
        </w:tc>
        <w:tc>
          <w:tcPr>
            <w:tcW w:w="1361" w:type="dxa"/>
            <w:vAlign w:val="center"/>
          </w:tcPr>
          <w:p>
            <w:pPr>
              <w:pStyle w:val="19"/>
            </w:pPr>
            <w:r>
              <w:t>4</w:t>
            </w:r>
          </w:p>
        </w:tc>
        <w:tc>
          <w:tcPr>
            <w:tcW w:w="1361" w:type="dxa"/>
            <w:vAlign w:val="center"/>
          </w:tcPr>
          <w:p>
            <w:pPr>
              <w:pStyle w:val="19"/>
            </w:pPr>
            <w:r>
              <w:t>5</w:t>
            </w:r>
          </w:p>
        </w:tc>
        <w:tc>
          <w:tcPr>
            <w:tcW w:w="1361" w:type="dxa"/>
            <w:vAlign w:val="center"/>
          </w:tcPr>
          <w:p>
            <w:pPr>
              <w:pStyle w:val="19"/>
            </w:pPr>
            <w:r>
              <w:t>6</w:t>
            </w:r>
          </w:p>
        </w:tc>
        <w:tc>
          <w:tcPr>
            <w:tcW w:w="1361" w:type="dxa"/>
            <w:vAlign w:val="center"/>
          </w:tcPr>
          <w:p>
            <w:pPr>
              <w:pStyle w:val="19"/>
            </w:pPr>
            <w:r>
              <w:t>7</w:t>
            </w:r>
          </w:p>
        </w:tc>
        <w:tc>
          <w:tcPr>
            <w:tcW w:w="1361" w:type="dxa"/>
            <w:vAlign w:val="center"/>
          </w:tcPr>
          <w:p>
            <w:pPr>
              <w:pStyle w:val="1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w:t>
            </w:r>
          </w:p>
        </w:tc>
        <w:tc>
          <w:tcPr>
            <w:tcW w:w="992" w:type="dxa"/>
            <w:vAlign w:val="center"/>
          </w:tcPr>
          <w:p>
            <w:pPr>
              <w:pStyle w:val="25"/>
            </w:pPr>
          </w:p>
        </w:tc>
        <w:tc>
          <w:tcPr>
            <w:tcW w:w="4535" w:type="dxa"/>
            <w:vAlign w:val="center"/>
          </w:tcPr>
          <w:p>
            <w:pPr>
              <w:pStyle w:val="23"/>
            </w:pPr>
            <w:r>
              <w:rPr>
                <w:rFonts w:hint="eastAsia"/>
              </w:rPr>
              <w:t>合计</w:t>
            </w:r>
          </w:p>
        </w:tc>
        <w:tc>
          <w:tcPr>
            <w:tcW w:w="1361" w:type="dxa"/>
            <w:vAlign w:val="center"/>
          </w:tcPr>
          <w:p>
            <w:pPr>
              <w:pStyle w:val="24"/>
            </w:pPr>
            <w:r>
              <w:t>555.50</w:t>
            </w:r>
          </w:p>
        </w:tc>
        <w:tc>
          <w:tcPr>
            <w:tcW w:w="1361" w:type="dxa"/>
            <w:vAlign w:val="center"/>
          </w:tcPr>
          <w:p>
            <w:pPr>
              <w:pStyle w:val="24"/>
            </w:pPr>
            <w:r>
              <w:t>441.80</w:t>
            </w:r>
          </w:p>
        </w:tc>
        <w:tc>
          <w:tcPr>
            <w:tcW w:w="1361" w:type="dxa"/>
            <w:vAlign w:val="center"/>
          </w:tcPr>
          <w:p>
            <w:pPr>
              <w:pStyle w:val="24"/>
            </w:pPr>
            <w:r>
              <w:t>113.70</w:t>
            </w:r>
          </w:p>
        </w:tc>
        <w:tc>
          <w:tcPr>
            <w:tcW w:w="1361" w:type="dxa"/>
            <w:vAlign w:val="center"/>
          </w:tcPr>
          <w:p>
            <w:pPr>
              <w:pStyle w:val="24"/>
            </w:pPr>
          </w:p>
        </w:tc>
        <w:tc>
          <w:tcPr>
            <w:tcW w:w="1361" w:type="dxa"/>
            <w:vAlign w:val="center"/>
          </w:tcPr>
          <w:p>
            <w:pPr>
              <w:pStyle w:val="24"/>
            </w:pPr>
          </w:p>
        </w:tc>
        <w:tc>
          <w:tcPr>
            <w:tcW w:w="1361" w:type="dxa"/>
            <w:vAlign w:val="center"/>
          </w:tcPr>
          <w:p>
            <w:pPr>
              <w:pStyle w:val="2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w:t>
            </w:r>
          </w:p>
        </w:tc>
        <w:tc>
          <w:tcPr>
            <w:tcW w:w="992" w:type="dxa"/>
            <w:vAlign w:val="center"/>
          </w:tcPr>
          <w:p>
            <w:pPr>
              <w:pStyle w:val="21"/>
            </w:pPr>
            <w:r>
              <w:t>207</w:t>
            </w:r>
          </w:p>
        </w:tc>
        <w:tc>
          <w:tcPr>
            <w:tcW w:w="4535" w:type="dxa"/>
            <w:vAlign w:val="center"/>
          </w:tcPr>
          <w:p>
            <w:pPr>
              <w:pStyle w:val="21"/>
            </w:pPr>
            <w:r>
              <w:rPr>
                <w:rFonts w:hint="eastAsia"/>
              </w:rPr>
              <w:t>文化旅游体育与传媒支出</w:t>
            </w:r>
          </w:p>
        </w:tc>
        <w:tc>
          <w:tcPr>
            <w:tcW w:w="1361" w:type="dxa"/>
            <w:vAlign w:val="center"/>
          </w:tcPr>
          <w:p>
            <w:pPr>
              <w:pStyle w:val="20"/>
            </w:pPr>
            <w:r>
              <w:t>491.40</w:t>
            </w:r>
          </w:p>
        </w:tc>
        <w:tc>
          <w:tcPr>
            <w:tcW w:w="1361" w:type="dxa"/>
            <w:vAlign w:val="center"/>
          </w:tcPr>
          <w:p>
            <w:pPr>
              <w:pStyle w:val="20"/>
            </w:pPr>
            <w:r>
              <w:t>377.70</w:t>
            </w:r>
          </w:p>
        </w:tc>
        <w:tc>
          <w:tcPr>
            <w:tcW w:w="1361" w:type="dxa"/>
            <w:vAlign w:val="center"/>
          </w:tcPr>
          <w:p>
            <w:pPr>
              <w:pStyle w:val="20"/>
            </w:pPr>
            <w:r>
              <w:t>113.70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w:t>
            </w:r>
          </w:p>
        </w:tc>
        <w:tc>
          <w:tcPr>
            <w:tcW w:w="992" w:type="dxa"/>
            <w:vAlign w:val="center"/>
          </w:tcPr>
          <w:p>
            <w:pPr>
              <w:pStyle w:val="21"/>
            </w:pPr>
            <w:r>
              <w:t>20708</w:t>
            </w:r>
          </w:p>
        </w:tc>
        <w:tc>
          <w:tcPr>
            <w:tcW w:w="4535" w:type="dxa"/>
            <w:vAlign w:val="center"/>
          </w:tcPr>
          <w:p>
            <w:pPr>
              <w:pStyle w:val="21"/>
            </w:pPr>
            <w:r>
              <w:rPr>
                <w:rFonts w:hint="eastAsia"/>
              </w:rPr>
              <w:t>广播电视</w:t>
            </w:r>
          </w:p>
        </w:tc>
        <w:tc>
          <w:tcPr>
            <w:tcW w:w="1361" w:type="dxa"/>
            <w:vAlign w:val="center"/>
          </w:tcPr>
          <w:p>
            <w:pPr>
              <w:pStyle w:val="20"/>
            </w:pPr>
            <w:r>
              <w:t>491.40</w:t>
            </w:r>
          </w:p>
        </w:tc>
        <w:tc>
          <w:tcPr>
            <w:tcW w:w="1361" w:type="dxa"/>
            <w:vAlign w:val="center"/>
          </w:tcPr>
          <w:p>
            <w:pPr>
              <w:pStyle w:val="20"/>
            </w:pPr>
            <w:r>
              <w:t>377.70</w:t>
            </w:r>
          </w:p>
        </w:tc>
        <w:tc>
          <w:tcPr>
            <w:tcW w:w="1361" w:type="dxa"/>
            <w:vAlign w:val="center"/>
          </w:tcPr>
          <w:p>
            <w:pPr>
              <w:pStyle w:val="20"/>
            </w:pPr>
            <w:r>
              <w:t>113.70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4</w:t>
            </w:r>
          </w:p>
        </w:tc>
        <w:tc>
          <w:tcPr>
            <w:tcW w:w="992" w:type="dxa"/>
            <w:vAlign w:val="center"/>
          </w:tcPr>
          <w:p>
            <w:pPr>
              <w:pStyle w:val="21"/>
            </w:pPr>
            <w:r>
              <w:t>2070808</w:t>
            </w:r>
          </w:p>
        </w:tc>
        <w:tc>
          <w:tcPr>
            <w:tcW w:w="4535" w:type="dxa"/>
            <w:vAlign w:val="center"/>
          </w:tcPr>
          <w:p>
            <w:pPr>
              <w:pStyle w:val="21"/>
            </w:pPr>
            <w:r>
              <w:rPr>
                <w:rFonts w:hint="eastAsia"/>
              </w:rPr>
              <w:t>广播电视事务</w:t>
            </w:r>
          </w:p>
        </w:tc>
        <w:tc>
          <w:tcPr>
            <w:tcW w:w="1361" w:type="dxa"/>
            <w:vAlign w:val="center"/>
          </w:tcPr>
          <w:p>
            <w:pPr>
              <w:pStyle w:val="20"/>
            </w:pPr>
            <w:r>
              <w:t>491.40</w:t>
            </w:r>
          </w:p>
        </w:tc>
        <w:tc>
          <w:tcPr>
            <w:tcW w:w="1361" w:type="dxa"/>
            <w:vAlign w:val="center"/>
          </w:tcPr>
          <w:p>
            <w:pPr>
              <w:pStyle w:val="20"/>
            </w:pPr>
            <w:r>
              <w:t>377.70</w:t>
            </w:r>
          </w:p>
        </w:tc>
        <w:tc>
          <w:tcPr>
            <w:tcW w:w="1361" w:type="dxa"/>
            <w:vAlign w:val="center"/>
          </w:tcPr>
          <w:p>
            <w:pPr>
              <w:pStyle w:val="20"/>
            </w:pPr>
            <w:r>
              <w:t>113.70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5</w:t>
            </w:r>
          </w:p>
        </w:tc>
        <w:tc>
          <w:tcPr>
            <w:tcW w:w="992" w:type="dxa"/>
            <w:vAlign w:val="center"/>
          </w:tcPr>
          <w:p>
            <w:pPr>
              <w:pStyle w:val="21"/>
            </w:pPr>
            <w:r>
              <w:t>208</w:t>
            </w:r>
          </w:p>
        </w:tc>
        <w:tc>
          <w:tcPr>
            <w:tcW w:w="4535" w:type="dxa"/>
            <w:vAlign w:val="center"/>
          </w:tcPr>
          <w:p>
            <w:pPr>
              <w:pStyle w:val="21"/>
            </w:pPr>
            <w:r>
              <w:rPr>
                <w:rFonts w:hint="eastAsia"/>
              </w:rPr>
              <w:t>社会保障和就业支出</w:t>
            </w:r>
          </w:p>
        </w:tc>
        <w:tc>
          <w:tcPr>
            <w:tcW w:w="1361" w:type="dxa"/>
            <w:vAlign w:val="center"/>
          </w:tcPr>
          <w:p>
            <w:pPr>
              <w:pStyle w:val="20"/>
            </w:pPr>
            <w:r>
              <w:t>42.00</w:t>
            </w:r>
          </w:p>
        </w:tc>
        <w:tc>
          <w:tcPr>
            <w:tcW w:w="1361" w:type="dxa"/>
            <w:vAlign w:val="center"/>
          </w:tcPr>
          <w:p>
            <w:pPr>
              <w:pStyle w:val="20"/>
            </w:pPr>
            <w:r>
              <w:t>42.00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6</w:t>
            </w:r>
          </w:p>
        </w:tc>
        <w:tc>
          <w:tcPr>
            <w:tcW w:w="992" w:type="dxa"/>
            <w:vAlign w:val="center"/>
          </w:tcPr>
          <w:p>
            <w:pPr>
              <w:pStyle w:val="21"/>
            </w:pPr>
            <w:r>
              <w:t>20805</w:t>
            </w:r>
          </w:p>
        </w:tc>
        <w:tc>
          <w:tcPr>
            <w:tcW w:w="4535" w:type="dxa"/>
            <w:vAlign w:val="center"/>
          </w:tcPr>
          <w:p>
            <w:pPr>
              <w:pStyle w:val="21"/>
            </w:pPr>
            <w:r>
              <w:rPr>
                <w:rFonts w:hint="eastAsia"/>
              </w:rPr>
              <w:t>行政事业单位养老支出</w:t>
            </w:r>
          </w:p>
        </w:tc>
        <w:tc>
          <w:tcPr>
            <w:tcW w:w="1361" w:type="dxa"/>
            <w:vAlign w:val="center"/>
          </w:tcPr>
          <w:p>
            <w:pPr>
              <w:pStyle w:val="20"/>
            </w:pPr>
            <w:r>
              <w:t>42.00</w:t>
            </w:r>
          </w:p>
        </w:tc>
        <w:tc>
          <w:tcPr>
            <w:tcW w:w="1361" w:type="dxa"/>
            <w:vAlign w:val="center"/>
          </w:tcPr>
          <w:p>
            <w:pPr>
              <w:pStyle w:val="20"/>
            </w:pPr>
            <w:r>
              <w:t>42.00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7</w:t>
            </w:r>
          </w:p>
        </w:tc>
        <w:tc>
          <w:tcPr>
            <w:tcW w:w="992" w:type="dxa"/>
            <w:vAlign w:val="center"/>
          </w:tcPr>
          <w:p>
            <w:pPr>
              <w:pStyle w:val="21"/>
            </w:pPr>
            <w:r>
              <w:t>2080505</w:t>
            </w:r>
          </w:p>
        </w:tc>
        <w:tc>
          <w:tcPr>
            <w:tcW w:w="4535" w:type="dxa"/>
            <w:vAlign w:val="center"/>
          </w:tcPr>
          <w:p>
            <w:pPr>
              <w:pStyle w:val="21"/>
            </w:pPr>
            <w:r>
              <w:rPr>
                <w:rFonts w:hint="eastAsia"/>
              </w:rPr>
              <w:t>机关事业单位基本养老保险缴费支出</w:t>
            </w:r>
          </w:p>
        </w:tc>
        <w:tc>
          <w:tcPr>
            <w:tcW w:w="1361" w:type="dxa"/>
            <w:vAlign w:val="center"/>
          </w:tcPr>
          <w:p>
            <w:pPr>
              <w:pStyle w:val="20"/>
            </w:pPr>
            <w:r>
              <w:t>42.00</w:t>
            </w:r>
          </w:p>
        </w:tc>
        <w:tc>
          <w:tcPr>
            <w:tcW w:w="1361" w:type="dxa"/>
            <w:vAlign w:val="center"/>
          </w:tcPr>
          <w:p>
            <w:pPr>
              <w:pStyle w:val="20"/>
            </w:pPr>
            <w:r>
              <w:t>42.00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8</w:t>
            </w:r>
          </w:p>
        </w:tc>
        <w:tc>
          <w:tcPr>
            <w:tcW w:w="992" w:type="dxa"/>
            <w:vAlign w:val="center"/>
          </w:tcPr>
          <w:p>
            <w:pPr>
              <w:pStyle w:val="21"/>
            </w:pPr>
            <w:r>
              <w:t>210</w:t>
            </w:r>
          </w:p>
        </w:tc>
        <w:tc>
          <w:tcPr>
            <w:tcW w:w="4535" w:type="dxa"/>
            <w:vAlign w:val="center"/>
          </w:tcPr>
          <w:p>
            <w:pPr>
              <w:pStyle w:val="21"/>
            </w:pPr>
            <w:r>
              <w:rPr>
                <w:rFonts w:hint="eastAsia"/>
              </w:rPr>
              <w:t>卫生健康支出</w:t>
            </w:r>
          </w:p>
        </w:tc>
        <w:tc>
          <w:tcPr>
            <w:tcW w:w="1361" w:type="dxa"/>
            <w:vAlign w:val="center"/>
          </w:tcPr>
          <w:p>
            <w:pPr>
              <w:pStyle w:val="20"/>
            </w:pPr>
            <w:r>
              <w:t>22.10</w:t>
            </w:r>
          </w:p>
        </w:tc>
        <w:tc>
          <w:tcPr>
            <w:tcW w:w="1361" w:type="dxa"/>
            <w:vAlign w:val="center"/>
          </w:tcPr>
          <w:p>
            <w:pPr>
              <w:pStyle w:val="20"/>
            </w:pPr>
            <w:r>
              <w:t>22.10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9</w:t>
            </w:r>
          </w:p>
        </w:tc>
        <w:tc>
          <w:tcPr>
            <w:tcW w:w="992" w:type="dxa"/>
            <w:vAlign w:val="center"/>
          </w:tcPr>
          <w:p>
            <w:pPr>
              <w:pStyle w:val="21"/>
            </w:pPr>
            <w:r>
              <w:t>21011</w:t>
            </w:r>
          </w:p>
        </w:tc>
        <w:tc>
          <w:tcPr>
            <w:tcW w:w="4535" w:type="dxa"/>
            <w:vAlign w:val="center"/>
          </w:tcPr>
          <w:p>
            <w:pPr>
              <w:pStyle w:val="21"/>
            </w:pPr>
            <w:r>
              <w:rPr>
                <w:rFonts w:hint="eastAsia"/>
              </w:rPr>
              <w:t>行政事业单位医疗</w:t>
            </w:r>
          </w:p>
        </w:tc>
        <w:tc>
          <w:tcPr>
            <w:tcW w:w="1361" w:type="dxa"/>
            <w:vAlign w:val="center"/>
          </w:tcPr>
          <w:p>
            <w:pPr>
              <w:pStyle w:val="20"/>
            </w:pPr>
            <w:r>
              <w:t>22.10</w:t>
            </w:r>
          </w:p>
        </w:tc>
        <w:tc>
          <w:tcPr>
            <w:tcW w:w="1361" w:type="dxa"/>
            <w:vAlign w:val="center"/>
          </w:tcPr>
          <w:p>
            <w:pPr>
              <w:pStyle w:val="20"/>
            </w:pPr>
            <w:r>
              <w:t>22.10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10</w:t>
            </w:r>
          </w:p>
        </w:tc>
        <w:tc>
          <w:tcPr>
            <w:tcW w:w="992" w:type="dxa"/>
            <w:vAlign w:val="center"/>
          </w:tcPr>
          <w:p>
            <w:pPr>
              <w:pStyle w:val="21"/>
            </w:pPr>
            <w:r>
              <w:t>2101102</w:t>
            </w:r>
          </w:p>
        </w:tc>
        <w:tc>
          <w:tcPr>
            <w:tcW w:w="4535" w:type="dxa"/>
            <w:vAlign w:val="center"/>
          </w:tcPr>
          <w:p>
            <w:pPr>
              <w:pStyle w:val="21"/>
            </w:pPr>
            <w:r>
              <w:rPr>
                <w:rFonts w:hint="eastAsia"/>
              </w:rPr>
              <w:t>事业单位医疗</w:t>
            </w:r>
          </w:p>
        </w:tc>
        <w:tc>
          <w:tcPr>
            <w:tcW w:w="1361" w:type="dxa"/>
            <w:vAlign w:val="center"/>
          </w:tcPr>
          <w:p>
            <w:pPr>
              <w:pStyle w:val="20"/>
            </w:pPr>
            <w:r>
              <w:t>22.10</w:t>
            </w:r>
          </w:p>
        </w:tc>
        <w:tc>
          <w:tcPr>
            <w:tcW w:w="1361" w:type="dxa"/>
            <w:vAlign w:val="center"/>
          </w:tcPr>
          <w:p>
            <w:pPr>
              <w:pStyle w:val="20"/>
            </w:pPr>
            <w:r>
              <w:t>22.10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8"/>
            </w:pPr>
            <w:r>
              <w:t>359001</w:t>
            </w:r>
            <w:r>
              <w:rPr>
                <w:rFonts w:hint="eastAsia"/>
              </w:rPr>
              <w:t>无极县融媒体中心</w:t>
            </w:r>
            <w:r>
              <w:t>(</w:t>
            </w:r>
            <w:r>
              <w:rPr>
                <w:rFonts w:hint="eastAsia"/>
              </w:rPr>
              <w:t>无极县广播电视台</w:t>
            </w:r>
            <w:r>
              <w:t>)</w:t>
            </w:r>
            <w:r>
              <w:rPr>
                <w:rFonts w:hint="eastAsia"/>
              </w:rPr>
              <w:t>本级</w:t>
            </w:r>
          </w:p>
        </w:tc>
        <w:tc>
          <w:tcPr>
            <w:tcW w:w="3402"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4876" w:type="dxa"/>
            <w:gridSpan w:val="2"/>
            <w:vAlign w:val="center"/>
          </w:tcPr>
          <w:p>
            <w:pPr>
              <w:pStyle w:val="19"/>
            </w:pPr>
            <w:r>
              <w:rPr>
                <w:rFonts w:hint="eastAsia"/>
              </w:rPr>
              <w:t>收入</w:t>
            </w:r>
          </w:p>
        </w:tc>
        <w:tc>
          <w:tcPr>
            <w:tcW w:w="9298" w:type="dxa"/>
            <w:gridSpan w:val="5"/>
            <w:vAlign w:val="center"/>
          </w:tcPr>
          <w:p>
            <w:pPr>
              <w:pStyle w:val="19"/>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9"/>
            </w:pPr>
            <w:r>
              <w:rPr>
                <w:rFonts w:hint="eastAsia"/>
              </w:rPr>
              <w:t>项</w:t>
            </w:r>
            <w:r>
              <w:t xml:space="preserve">  </w:t>
            </w:r>
            <w:r>
              <w:rPr>
                <w:rFonts w:hint="eastAsia"/>
              </w:rPr>
              <w:t>目</w:t>
            </w:r>
          </w:p>
        </w:tc>
        <w:tc>
          <w:tcPr>
            <w:tcW w:w="1474" w:type="dxa"/>
            <w:vAlign w:val="center"/>
          </w:tcPr>
          <w:p>
            <w:pPr>
              <w:pStyle w:val="19"/>
            </w:pPr>
            <w:r>
              <w:rPr>
                <w:rFonts w:hint="eastAsia"/>
              </w:rPr>
              <w:t>金额</w:t>
            </w:r>
          </w:p>
        </w:tc>
        <w:tc>
          <w:tcPr>
            <w:tcW w:w="3402" w:type="dxa"/>
            <w:vAlign w:val="center"/>
          </w:tcPr>
          <w:p>
            <w:pPr>
              <w:pStyle w:val="19"/>
            </w:pPr>
            <w:r>
              <w:rPr>
                <w:rFonts w:hint="eastAsia"/>
              </w:rPr>
              <w:t>项</w:t>
            </w:r>
            <w:r>
              <w:t xml:space="preserve">  </w:t>
            </w:r>
            <w:r>
              <w:rPr>
                <w:rFonts w:hint="eastAsia"/>
              </w:rPr>
              <w:t>目</w:t>
            </w:r>
          </w:p>
        </w:tc>
        <w:tc>
          <w:tcPr>
            <w:tcW w:w="1474" w:type="dxa"/>
            <w:vAlign w:val="center"/>
          </w:tcPr>
          <w:p>
            <w:pPr>
              <w:pStyle w:val="19"/>
            </w:pPr>
            <w:r>
              <w:rPr>
                <w:rFonts w:hint="eastAsia"/>
              </w:rPr>
              <w:t>合计</w:t>
            </w:r>
          </w:p>
        </w:tc>
        <w:tc>
          <w:tcPr>
            <w:tcW w:w="1474" w:type="dxa"/>
            <w:vAlign w:val="center"/>
          </w:tcPr>
          <w:p>
            <w:pPr>
              <w:pStyle w:val="19"/>
            </w:pPr>
            <w:r>
              <w:rPr>
                <w:rFonts w:hint="eastAsia"/>
              </w:rPr>
              <w:t>一般公共预算财政拨款</w:t>
            </w:r>
          </w:p>
        </w:tc>
        <w:tc>
          <w:tcPr>
            <w:tcW w:w="1474" w:type="dxa"/>
            <w:vAlign w:val="center"/>
          </w:tcPr>
          <w:p>
            <w:pPr>
              <w:pStyle w:val="19"/>
            </w:pPr>
            <w:r>
              <w:rPr>
                <w:rFonts w:hint="eastAsia"/>
              </w:rPr>
              <w:t>政府性基金预算财政</w:t>
            </w:r>
            <w:r>
              <w:t xml:space="preserve">    </w:t>
            </w:r>
            <w:r>
              <w:rPr>
                <w:rFonts w:hint="eastAsia"/>
              </w:rPr>
              <w:t>拨款</w:t>
            </w:r>
          </w:p>
        </w:tc>
        <w:tc>
          <w:tcPr>
            <w:tcW w:w="1474" w:type="dxa"/>
            <w:vAlign w:val="center"/>
          </w:tcPr>
          <w:p>
            <w:pPr>
              <w:pStyle w:val="19"/>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3402" w:type="dxa"/>
            <w:vAlign w:val="center"/>
          </w:tcPr>
          <w:p>
            <w:pPr>
              <w:pStyle w:val="19"/>
            </w:pPr>
            <w:r>
              <w:t>1</w:t>
            </w:r>
          </w:p>
        </w:tc>
        <w:tc>
          <w:tcPr>
            <w:tcW w:w="1474" w:type="dxa"/>
            <w:vAlign w:val="center"/>
          </w:tcPr>
          <w:p>
            <w:pPr>
              <w:pStyle w:val="19"/>
            </w:pPr>
            <w:r>
              <w:t>2</w:t>
            </w:r>
          </w:p>
        </w:tc>
        <w:tc>
          <w:tcPr>
            <w:tcW w:w="3402" w:type="dxa"/>
            <w:vAlign w:val="center"/>
          </w:tcPr>
          <w:p>
            <w:pPr>
              <w:pStyle w:val="19"/>
            </w:pPr>
            <w:r>
              <w:t>3</w:t>
            </w:r>
          </w:p>
        </w:tc>
        <w:tc>
          <w:tcPr>
            <w:tcW w:w="1474" w:type="dxa"/>
            <w:vAlign w:val="center"/>
          </w:tcPr>
          <w:p>
            <w:pPr>
              <w:pStyle w:val="19"/>
            </w:pPr>
            <w:r>
              <w:t>4</w:t>
            </w:r>
          </w:p>
        </w:tc>
        <w:tc>
          <w:tcPr>
            <w:tcW w:w="1474" w:type="dxa"/>
            <w:vAlign w:val="center"/>
          </w:tcPr>
          <w:p>
            <w:pPr>
              <w:pStyle w:val="19"/>
            </w:pPr>
            <w:r>
              <w:t>5</w:t>
            </w:r>
          </w:p>
        </w:tc>
        <w:tc>
          <w:tcPr>
            <w:tcW w:w="1474" w:type="dxa"/>
            <w:vAlign w:val="center"/>
          </w:tcPr>
          <w:p>
            <w:pPr>
              <w:pStyle w:val="19"/>
            </w:pPr>
            <w:r>
              <w:t>6</w:t>
            </w:r>
          </w:p>
        </w:tc>
        <w:tc>
          <w:tcPr>
            <w:tcW w:w="1474" w:type="dxa"/>
            <w:vAlign w:val="center"/>
          </w:tcPr>
          <w:p>
            <w:pPr>
              <w:pStyle w:val="1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w:t>
            </w:r>
          </w:p>
        </w:tc>
        <w:tc>
          <w:tcPr>
            <w:tcW w:w="3402" w:type="dxa"/>
            <w:vAlign w:val="center"/>
          </w:tcPr>
          <w:p>
            <w:pPr>
              <w:pStyle w:val="21"/>
            </w:pPr>
            <w:r>
              <w:rPr>
                <w:rFonts w:hint="eastAsia"/>
              </w:rPr>
              <w:t>一、一般公共预算拨款</w:t>
            </w:r>
          </w:p>
        </w:tc>
        <w:tc>
          <w:tcPr>
            <w:tcW w:w="1474" w:type="dxa"/>
            <w:vAlign w:val="center"/>
          </w:tcPr>
          <w:p>
            <w:pPr>
              <w:pStyle w:val="20"/>
            </w:pPr>
            <w:r>
              <w:t>555.50</w:t>
            </w:r>
          </w:p>
        </w:tc>
        <w:tc>
          <w:tcPr>
            <w:tcW w:w="3402" w:type="dxa"/>
            <w:vAlign w:val="center"/>
          </w:tcPr>
          <w:p>
            <w:pPr>
              <w:pStyle w:val="21"/>
            </w:pPr>
            <w:r>
              <w:rPr>
                <w:rFonts w:hint="eastAsia"/>
              </w:rPr>
              <w:t>一、一般公共服务支出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w:t>
            </w:r>
          </w:p>
        </w:tc>
        <w:tc>
          <w:tcPr>
            <w:tcW w:w="3402" w:type="dxa"/>
            <w:vAlign w:val="center"/>
          </w:tcPr>
          <w:p>
            <w:pPr>
              <w:pStyle w:val="21"/>
            </w:pPr>
            <w:r>
              <w:rPr>
                <w:rFonts w:hint="eastAsia"/>
              </w:rPr>
              <w:t>二、政府性基金预算拨款</w:t>
            </w:r>
          </w:p>
        </w:tc>
        <w:tc>
          <w:tcPr>
            <w:tcW w:w="1474" w:type="dxa"/>
            <w:vAlign w:val="center"/>
          </w:tcPr>
          <w:p>
            <w:pPr>
              <w:pStyle w:val="20"/>
            </w:pPr>
          </w:p>
        </w:tc>
        <w:tc>
          <w:tcPr>
            <w:tcW w:w="3402" w:type="dxa"/>
            <w:vAlign w:val="center"/>
          </w:tcPr>
          <w:p>
            <w:pPr>
              <w:pStyle w:val="21"/>
            </w:pPr>
            <w:r>
              <w:rPr>
                <w:rFonts w:hint="eastAsia"/>
              </w:rPr>
              <w:t>二、外交支出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w:t>
            </w:r>
          </w:p>
        </w:tc>
        <w:tc>
          <w:tcPr>
            <w:tcW w:w="3402" w:type="dxa"/>
            <w:vAlign w:val="center"/>
          </w:tcPr>
          <w:p>
            <w:pPr>
              <w:pStyle w:val="21"/>
            </w:pPr>
            <w:r>
              <w:rPr>
                <w:rFonts w:hint="eastAsia"/>
              </w:rPr>
              <w:t>三、国有资本经营预算拨款</w:t>
            </w:r>
          </w:p>
        </w:tc>
        <w:tc>
          <w:tcPr>
            <w:tcW w:w="1474" w:type="dxa"/>
            <w:vAlign w:val="center"/>
          </w:tcPr>
          <w:p>
            <w:pPr>
              <w:pStyle w:val="20"/>
            </w:pPr>
          </w:p>
        </w:tc>
        <w:tc>
          <w:tcPr>
            <w:tcW w:w="3402" w:type="dxa"/>
            <w:vAlign w:val="center"/>
          </w:tcPr>
          <w:p>
            <w:pPr>
              <w:pStyle w:val="21"/>
            </w:pPr>
            <w:r>
              <w:rPr>
                <w:rFonts w:hint="eastAsia"/>
              </w:rPr>
              <w:t>三、国防支出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4</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四、公共安全支出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5</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五、教育支出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6</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六、科学技术支出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7</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七、文化旅游体育与传媒支出</w:t>
            </w:r>
          </w:p>
        </w:tc>
        <w:tc>
          <w:tcPr>
            <w:tcW w:w="1474" w:type="dxa"/>
            <w:vAlign w:val="center"/>
          </w:tcPr>
          <w:p>
            <w:pPr>
              <w:pStyle w:val="20"/>
            </w:pPr>
            <w:r>
              <w:t>491.40</w:t>
            </w:r>
          </w:p>
        </w:tc>
        <w:tc>
          <w:tcPr>
            <w:tcW w:w="1474" w:type="dxa"/>
            <w:vAlign w:val="center"/>
          </w:tcPr>
          <w:p>
            <w:pPr>
              <w:pStyle w:val="20"/>
            </w:pPr>
            <w:r>
              <w:t>491.40</w:t>
            </w: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8</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八、社会保障和就业支出</w:t>
            </w:r>
          </w:p>
        </w:tc>
        <w:tc>
          <w:tcPr>
            <w:tcW w:w="1474" w:type="dxa"/>
            <w:vAlign w:val="center"/>
          </w:tcPr>
          <w:p>
            <w:pPr>
              <w:pStyle w:val="20"/>
            </w:pPr>
            <w:r>
              <w:t>42.00</w:t>
            </w:r>
          </w:p>
        </w:tc>
        <w:tc>
          <w:tcPr>
            <w:tcW w:w="1474" w:type="dxa"/>
            <w:vAlign w:val="center"/>
          </w:tcPr>
          <w:p>
            <w:pPr>
              <w:pStyle w:val="20"/>
            </w:pPr>
            <w:r>
              <w:t>42.00</w:t>
            </w: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9</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九、社会保险基金支出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10</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十、卫生健康支出</w:t>
            </w:r>
          </w:p>
        </w:tc>
        <w:tc>
          <w:tcPr>
            <w:tcW w:w="1474" w:type="dxa"/>
            <w:vAlign w:val="center"/>
          </w:tcPr>
          <w:p>
            <w:pPr>
              <w:pStyle w:val="20"/>
            </w:pPr>
            <w:r>
              <w:t>22.10</w:t>
            </w:r>
          </w:p>
        </w:tc>
        <w:tc>
          <w:tcPr>
            <w:tcW w:w="1474" w:type="dxa"/>
            <w:vAlign w:val="center"/>
          </w:tcPr>
          <w:p>
            <w:pPr>
              <w:pStyle w:val="20"/>
            </w:pPr>
            <w:r>
              <w:t>22.10</w:t>
            </w: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11</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十一、节能环保支出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12</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十二、城乡社区支出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13</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十三、农林水支出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14</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十四、交通运输支出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15</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十五、资源勘探工业信息等支出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16</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十六、商业服务业等支出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17</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十七、金融支出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18</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十八、援助其他地区支出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19</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十九、自然资源海洋气象等支出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20</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二十、住房保障支出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21</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二十一、粮油物资储备支出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22</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二十二、国有资本经营预算支出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23</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二十三、灾害防治及应急管理支出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24</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二十四、预备费</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25</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二十五、其他支出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26</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二十六、转移性支出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27</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二十七、债务还本支出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28</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二十八、债务付息支出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29</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二十九、债务发行费用支出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30</w:t>
            </w:r>
          </w:p>
        </w:tc>
        <w:tc>
          <w:tcPr>
            <w:tcW w:w="3402" w:type="dxa"/>
            <w:vAlign w:val="center"/>
          </w:tcPr>
          <w:p>
            <w:pPr>
              <w:pStyle w:val="21"/>
            </w:pPr>
          </w:p>
        </w:tc>
        <w:tc>
          <w:tcPr>
            <w:tcW w:w="1474" w:type="dxa"/>
            <w:vAlign w:val="center"/>
          </w:tcPr>
          <w:p>
            <w:pPr>
              <w:pStyle w:val="20"/>
            </w:pPr>
          </w:p>
        </w:tc>
        <w:tc>
          <w:tcPr>
            <w:tcW w:w="3402" w:type="dxa"/>
            <w:vAlign w:val="center"/>
          </w:tcPr>
          <w:p>
            <w:pPr>
              <w:pStyle w:val="21"/>
            </w:pPr>
            <w:r>
              <w:rPr>
                <w:rFonts w:hint="eastAsia"/>
              </w:rPr>
              <w:t>三十、抗疫特别国债安排的支出</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31</w:t>
            </w:r>
          </w:p>
        </w:tc>
        <w:tc>
          <w:tcPr>
            <w:tcW w:w="3402" w:type="dxa"/>
            <w:vAlign w:val="center"/>
          </w:tcPr>
          <w:p>
            <w:pPr>
              <w:pStyle w:val="23"/>
            </w:pPr>
            <w:r>
              <w:rPr>
                <w:rFonts w:hint="eastAsia"/>
              </w:rPr>
              <w:t>本年收入合计</w:t>
            </w:r>
          </w:p>
        </w:tc>
        <w:tc>
          <w:tcPr>
            <w:tcW w:w="1474" w:type="dxa"/>
            <w:vAlign w:val="center"/>
          </w:tcPr>
          <w:p>
            <w:pPr>
              <w:pStyle w:val="24"/>
            </w:pPr>
            <w:r>
              <w:t>555.50</w:t>
            </w:r>
          </w:p>
        </w:tc>
        <w:tc>
          <w:tcPr>
            <w:tcW w:w="3402" w:type="dxa"/>
            <w:vAlign w:val="center"/>
          </w:tcPr>
          <w:p>
            <w:pPr>
              <w:pStyle w:val="23"/>
            </w:pPr>
            <w:r>
              <w:rPr>
                <w:rFonts w:hint="eastAsia"/>
              </w:rPr>
              <w:t>本年支出合计</w:t>
            </w:r>
          </w:p>
        </w:tc>
        <w:tc>
          <w:tcPr>
            <w:tcW w:w="1474" w:type="dxa"/>
            <w:vAlign w:val="center"/>
          </w:tcPr>
          <w:p>
            <w:pPr>
              <w:pStyle w:val="24"/>
            </w:pPr>
            <w:r>
              <w:t>555.50</w:t>
            </w:r>
          </w:p>
        </w:tc>
        <w:tc>
          <w:tcPr>
            <w:tcW w:w="1474" w:type="dxa"/>
            <w:vAlign w:val="center"/>
          </w:tcPr>
          <w:p>
            <w:pPr>
              <w:pStyle w:val="24"/>
            </w:pPr>
            <w:r>
              <w:t>555.50</w:t>
            </w:r>
          </w:p>
        </w:tc>
        <w:tc>
          <w:tcPr>
            <w:tcW w:w="1474" w:type="dxa"/>
            <w:vAlign w:val="center"/>
          </w:tcPr>
          <w:p>
            <w:pPr>
              <w:pStyle w:val="24"/>
            </w:pPr>
          </w:p>
        </w:tc>
        <w:tc>
          <w:tcPr>
            <w:tcW w:w="1474" w:type="dxa"/>
            <w:vAlign w:val="center"/>
          </w:tcPr>
          <w:p>
            <w:pPr>
              <w:pStyle w:val="2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32</w:t>
            </w:r>
          </w:p>
        </w:tc>
        <w:tc>
          <w:tcPr>
            <w:tcW w:w="3402" w:type="dxa"/>
            <w:vAlign w:val="center"/>
          </w:tcPr>
          <w:p>
            <w:pPr>
              <w:pStyle w:val="21"/>
            </w:pPr>
            <w:r>
              <w:rPr>
                <w:rFonts w:hint="eastAsia"/>
              </w:rPr>
              <w:t>年初财政拨款结转和结余</w:t>
            </w:r>
          </w:p>
        </w:tc>
        <w:tc>
          <w:tcPr>
            <w:tcW w:w="1474" w:type="dxa"/>
            <w:vAlign w:val="center"/>
          </w:tcPr>
          <w:p>
            <w:pPr>
              <w:pStyle w:val="20"/>
            </w:pPr>
          </w:p>
        </w:tc>
        <w:tc>
          <w:tcPr>
            <w:tcW w:w="3402" w:type="dxa"/>
            <w:vAlign w:val="center"/>
          </w:tcPr>
          <w:p>
            <w:pPr>
              <w:pStyle w:val="21"/>
            </w:pPr>
            <w:r>
              <w:rPr>
                <w:rFonts w:hint="eastAsia"/>
              </w:rPr>
              <w:t>年末财政拨款结转和结余</w:t>
            </w: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33</w:t>
            </w:r>
          </w:p>
        </w:tc>
        <w:tc>
          <w:tcPr>
            <w:tcW w:w="3402" w:type="dxa"/>
            <w:vAlign w:val="center"/>
          </w:tcPr>
          <w:p>
            <w:pPr>
              <w:pStyle w:val="21"/>
            </w:pPr>
            <w:r>
              <w:rPr>
                <w:rFonts w:hint="eastAsia"/>
              </w:rPr>
              <w:t>一、一般公共预算拨款</w:t>
            </w:r>
          </w:p>
        </w:tc>
        <w:tc>
          <w:tcPr>
            <w:tcW w:w="1474" w:type="dxa"/>
            <w:vAlign w:val="center"/>
          </w:tcPr>
          <w:p>
            <w:pPr>
              <w:pStyle w:val="20"/>
            </w:pPr>
          </w:p>
        </w:tc>
        <w:tc>
          <w:tcPr>
            <w:tcW w:w="3402" w:type="dxa"/>
            <w:vAlign w:val="center"/>
          </w:tcPr>
          <w:p>
            <w:pPr>
              <w:pStyle w:val="21"/>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34</w:t>
            </w:r>
          </w:p>
        </w:tc>
        <w:tc>
          <w:tcPr>
            <w:tcW w:w="3402" w:type="dxa"/>
            <w:vAlign w:val="center"/>
          </w:tcPr>
          <w:p>
            <w:pPr>
              <w:pStyle w:val="21"/>
            </w:pPr>
            <w:r>
              <w:rPr>
                <w:rFonts w:hint="eastAsia"/>
              </w:rPr>
              <w:t>二、政府性基金预算拨款</w:t>
            </w:r>
          </w:p>
        </w:tc>
        <w:tc>
          <w:tcPr>
            <w:tcW w:w="1474" w:type="dxa"/>
            <w:vAlign w:val="center"/>
          </w:tcPr>
          <w:p>
            <w:pPr>
              <w:pStyle w:val="20"/>
            </w:pPr>
          </w:p>
        </w:tc>
        <w:tc>
          <w:tcPr>
            <w:tcW w:w="3402" w:type="dxa"/>
            <w:vAlign w:val="center"/>
          </w:tcPr>
          <w:p>
            <w:pPr>
              <w:pStyle w:val="21"/>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35</w:t>
            </w:r>
          </w:p>
        </w:tc>
        <w:tc>
          <w:tcPr>
            <w:tcW w:w="3402" w:type="dxa"/>
            <w:vAlign w:val="center"/>
          </w:tcPr>
          <w:p>
            <w:pPr>
              <w:pStyle w:val="21"/>
            </w:pPr>
            <w:r>
              <w:rPr>
                <w:rFonts w:hint="eastAsia"/>
              </w:rPr>
              <w:t>三、国有资本经营预算拨款</w:t>
            </w:r>
          </w:p>
        </w:tc>
        <w:tc>
          <w:tcPr>
            <w:tcW w:w="1474" w:type="dxa"/>
            <w:vAlign w:val="center"/>
          </w:tcPr>
          <w:p>
            <w:pPr>
              <w:pStyle w:val="20"/>
            </w:pPr>
          </w:p>
        </w:tc>
        <w:tc>
          <w:tcPr>
            <w:tcW w:w="3402" w:type="dxa"/>
            <w:vAlign w:val="center"/>
          </w:tcPr>
          <w:p>
            <w:pPr>
              <w:pStyle w:val="21"/>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36</w:t>
            </w:r>
          </w:p>
        </w:tc>
        <w:tc>
          <w:tcPr>
            <w:tcW w:w="3402" w:type="dxa"/>
            <w:vAlign w:val="center"/>
          </w:tcPr>
          <w:p>
            <w:pPr>
              <w:pStyle w:val="23"/>
            </w:pPr>
            <w:r>
              <w:rPr>
                <w:rFonts w:hint="eastAsia"/>
              </w:rPr>
              <w:t>收入总计</w:t>
            </w:r>
          </w:p>
        </w:tc>
        <w:tc>
          <w:tcPr>
            <w:tcW w:w="1474" w:type="dxa"/>
            <w:vAlign w:val="center"/>
          </w:tcPr>
          <w:p>
            <w:pPr>
              <w:pStyle w:val="24"/>
            </w:pPr>
            <w:r>
              <w:t>555.50</w:t>
            </w:r>
          </w:p>
        </w:tc>
        <w:tc>
          <w:tcPr>
            <w:tcW w:w="3402" w:type="dxa"/>
            <w:vAlign w:val="center"/>
          </w:tcPr>
          <w:p>
            <w:pPr>
              <w:pStyle w:val="23"/>
            </w:pPr>
            <w:r>
              <w:rPr>
                <w:rFonts w:hint="eastAsia"/>
              </w:rPr>
              <w:t>支出总计</w:t>
            </w:r>
          </w:p>
        </w:tc>
        <w:tc>
          <w:tcPr>
            <w:tcW w:w="1474" w:type="dxa"/>
            <w:vAlign w:val="center"/>
          </w:tcPr>
          <w:p>
            <w:pPr>
              <w:pStyle w:val="24"/>
            </w:pPr>
            <w:r>
              <w:t>555.50</w:t>
            </w:r>
          </w:p>
        </w:tc>
        <w:tc>
          <w:tcPr>
            <w:tcW w:w="1474" w:type="dxa"/>
            <w:vAlign w:val="center"/>
          </w:tcPr>
          <w:p>
            <w:pPr>
              <w:pStyle w:val="24"/>
            </w:pPr>
            <w:r>
              <w:t>555.50</w:t>
            </w:r>
          </w:p>
        </w:tc>
        <w:tc>
          <w:tcPr>
            <w:tcW w:w="1474" w:type="dxa"/>
            <w:vAlign w:val="center"/>
          </w:tcPr>
          <w:p>
            <w:pPr>
              <w:pStyle w:val="24"/>
            </w:pPr>
          </w:p>
        </w:tc>
        <w:tc>
          <w:tcPr>
            <w:tcW w:w="1474" w:type="dxa"/>
            <w:vAlign w:val="center"/>
          </w:tcPr>
          <w:p>
            <w:pPr>
              <w:pStyle w:val="24"/>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8"/>
            </w:pPr>
            <w:r>
              <w:t>359001</w:t>
            </w:r>
            <w:r>
              <w:rPr>
                <w:rFonts w:hint="eastAsia"/>
              </w:rPr>
              <w:t>无极县融媒体中心</w:t>
            </w:r>
            <w:r>
              <w:t>(</w:t>
            </w:r>
            <w:r>
              <w:rPr>
                <w:rFonts w:hint="eastAsia"/>
              </w:rPr>
              <w:t>无极县广播电视台</w:t>
            </w:r>
            <w:r>
              <w:t>)</w:t>
            </w:r>
            <w:r>
              <w:rPr>
                <w:rFonts w:hint="eastAsia"/>
              </w:rPr>
              <w:t>本级</w:t>
            </w:r>
          </w:p>
        </w:tc>
        <w:tc>
          <w:tcPr>
            <w:tcW w:w="2551"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5726" w:type="dxa"/>
            <w:gridSpan w:val="2"/>
            <w:vAlign w:val="center"/>
          </w:tcPr>
          <w:p>
            <w:pPr>
              <w:pStyle w:val="19"/>
            </w:pPr>
            <w:r>
              <w:rPr>
                <w:rFonts w:hint="eastAsia"/>
              </w:rPr>
              <w:t>功能分类科目</w:t>
            </w:r>
          </w:p>
        </w:tc>
        <w:tc>
          <w:tcPr>
            <w:tcW w:w="2551" w:type="dxa"/>
            <w:vMerge w:val="restart"/>
            <w:vAlign w:val="center"/>
          </w:tcPr>
          <w:p>
            <w:pPr>
              <w:pStyle w:val="19"/>
            </w:pPr>
            <w:r>
              <w:rPr>
                <w:rFonts w:hint="eastAsia"/>
              </w:rPr>
              <w:t>合计</w:t>
            </w:r>
          </w:p>
        </w:tc>
        <w:tc>
          <w:tcPr>
            <w:tcW w:w="2551" w:type="dxa"/>
            <w:vMerge w:val="restart"/>
            <w:vAlign w:val="center"/>
          </w:tcPr>
          <w:p>
            <w:pPr>
              <w:pStyle w:val="19"/>
            </w:pPr>
            <w:r>
              <w:rPr>
                <w:rFonts w:hint="eastAsia"/>
              </w:rPr>
              <w:t>基本支出</w:t>
            </w:r>
          </w:p>
        </w:tc>
        <w:tc>
          <w:tcPr>
            <w:tcW w:w="2551" w:type="dxa"/>
            <w:vMerge w:val="restart"/>
            <w:vAlign w:val="center"/>
          </w:tcPr>
          <w:p>
            <w:pPr>
              <w:pStyle w:val="19"/>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9"/>
            </w:pPr>
            <w:r>
              <w:rPr>
                <w:rFonts w:hint="eastAsia"/>
              </w:rPr>
              <w:t>科目编码</w:t>
            </w:r>
          </w:p>
        </w:tc>
        <w:tc>
          <w:tcPr>
            <w:tcW w:w="4535" w:type="dxa"/>
            <w:vAlign w:val="center"/>
          </w:tcPr>
          <w:p>
            <w:pPr>
              <w:pStyle w:val="19"/>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1191" w:type="dxa"/>
            <w:vAlign w:val="center"/>
          </w:tcPr>
          <w:p>
            <w:pPr>
              <w:pStyle w:val="19"/>
            </w:pPr>
            <w:r>
              <w:t>1</w:t>
            </w:r>
          </w:p>
        </w:tc>
        <w:tc>
          <w:tcPr>
            <w:tcW w:w="4535" w:type="dxa"/>
            <w:vAlign w:val="center"/>
          </w:tcPr>
          <w:p>
            <w:pPr>
              <w:pStyle w:val="19"/>
            </w:pPr>
            <w:r>
              <w:t>2</w:t>
            </w:r>
          </w:p>
        </w:tc>
        <w:tc>
          <w:tcPr>
            <w:tcW w:w="2551" w:type="dxa"/>
            <w:vAlign w:val="center"/>
          </w:tcPr>
          <w:p>
            <w:pPr>
              <w:pStyle w:val="19"/>
            </w:pPr>
            <w:r>
              <w:t>3</w:t>
            </w:r>
          </w:p>
        </w:tc>
        <w:tc>
          <w:tcPr>
            <w:tcW w:w="2551" w:type="dxa"/>
            <w:vAlign w:val="center"/>
          </w:tcPr>
          <w:p>
            <w:pPr>
              <w:pStyle w:val="19"/>
            </w:pPr>
            <w:r>
              <w:t>4</w:t>
            </w:r>
          </w:p>
        </w:tc>
        <w:tc>
          <w:tcPr>
            <w:tcW w:w="2551" w:type="dxa"/>
            <w:vAlign w:val="center"/>
          </w:tcPr>
          <w:p>
            <w:pPr>
              <w:pStyle w:val="1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w:t>
            </w:r>
          </w:p>
        </w:tc>
        <w:tc>
          <w:tcPr>
            <w:tcW w:w="1191" w:type="dxa"/>
            <w:vAlign w:val="center"/>
          </w:tcPr>
          <w:p>
            <w:pPr>
              <w:pStyle w:val="25"/>
            </w:pPr>
          </w:p>
        </w:tc>
        <w:tc>
          <w:tcPr>
            <w:tcW w:w="4535" w:type="dxa"/>
            <w:vAlign w:val="center"/>
          </w:tcPr>
          <w:p>
            <w:pPr>
              <w:pStyle w:val="23"/>
            </w:pPr>
            <w:r>
              <w:rPr>
                <w:rFonts w:hint="eastAsia"/>
              </w:rPr>
              <w:t>合计</w:t>
            </w:r>
          </w:p>
        </w:tc>
        <w:tc>
          <w:tcPr>
            <w:tcW w:w="2551" w:type="dxa"/>
            <w:vAlign w:val="center"/>
          </w:tcPr>
          <w:p>
            <w:pPr>
              <w:pStyle w:val="24"/>
            </w:pPr>
            <w:r>
              <w:t>555.50</w:t>
            </w:r>
          </w:p>
        </w:tc>
        <w:tc>
          <w:tcPr>
            <w:tcW w:w="2551" w:type="dxa"/>
            <w:vAlign w:val="center"/>
          </w:tcPr>
          <w:p>
            <w:pPr>
              <w:pStyle w:val="24"/>
            </w:pPr>
            <w:r>
              <w:t>441.80</w:t>
            </w:r>
          </w:p>
        </w:tc>
        <w:tc>
          <w:tcPr>
            <w:tcW w:w="2551" w:type="dxa"/>
            <w:vAlign w:val="center"/>
          </w:tcPr>
          <w:p>
            <w:pPr>
              <w:pStyle w:val="24"/>
            </w:pPr>
            <w:r>
              <w:t>113.70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w:t>
            </w:r>
          </w:p>
        </w:tc>
        <w:tc>
          <w:tcPr>
            <w:tcW w:w="1191" w:type="dxa"/>
            <w:vAlign w:val="center"/>
          </w:tcPr>
          <w:p>
            <w:pPr>
              <w:pStyle w:val="21"/>
            </w:pPr>
            <w:r>
              <w:t>207</w:t>
            </w:r>
          </w:p>
        </w:tc>
        <w:tc>
          <w:tcPr>
            <w:tcW w:w="4535" w:type="dxa"/>
            <w:vAlign w:val="center"/>
          </w:tcPr>
          <w:p>
            <w:pPr>
              <w:pStyle w:val="21"/>
            </w:pPr>
            <w:r>
              <w:rPr>
                <w:rFonts w:hint="eastAsia"/>
              </w:rPr>
              <w:t>文化旅游体育与传媒支出</w:t>
            </w:r>
          </w:p>
        </w:tc>
        <w:tc>
          <w:tcPr>
            <w:tcW w:w="2551" w:type="dxa"/>
            <w:vAlign w:val="center"/>
          </w:tcPr>
          <w:p>
            <w:pPr>
              <w:pStyle w:val="20"/>
            </w:pPr>
            <w:r>
              <w:t>491.40</w:t>
            </w:r>
          </w:p>
        </w:tc>
        <w:tc>
          <w:tcPr>
            <w:tcW w:w="2551" w:type="dxa"/>
            <w:vAlign w:val="center"/>
          </w:tcPr>
          <w:p>
            <w:pPr>
              <w:pStyle w:val="20"/>
            </w:pPr>
            <w:r>
              <w:t>377.70</w:t>
            </w:r>
          </w:p>
        </w:tc>
        <w:tc>
          <w:tcPr>
            <w:tcW w:w="2551" w:type="dxa"/>
            <w:vAlign w:val="center"/>
          </w:tcPr>
          <w:p>
            <w:pPr>
              <w:pStyle w:val="20"/>
            </w:pPr>
            <w:r>
              <w:t>113.70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w:t>
            </w:r>
          </w:p>
        </w:tc>
        <w:tc>
          <w:tcPr>
            <w:tcW w:w="1191" w:type="dxa"/>
            <w:vAlign w:val="center"/>
          </w:tcPr>
          <w:p>
            <w:pPr>
              <w:pStyle w:val="21"/>
            </w:pPr>
            <w:r>
              <w:t>20708</w:t>
            </w:r>
          </w:p>
        </w:tc>
        <w:tc>
          <w:tcPr>
            <w:tcW w:w="4535" w:type="dxa"/>
            <w:vAlign w:val="center"/>
          </w:tcPr>
          <w:p>
            <w:pPr>
              <w:pStyle w:val="21"/>
            </w:pPr>
            <w:r>
              <w:rPr>
                <w:rFonts w:hint="eastAsia"/>
              </w:rPr>
              <w:t>广播电视</w:t>
            </w:r>
          </w:p>
        </w:tc>
        <w:tc>
          <w:tcPr>
            <w:tcW w:w="2551" w:type="dxa"/>
            <w:vAlign w:val="center"/>
          </w:tcPr>
          <w:p>
            <w:pPr>
              <w:pStyle w:val="20"/>
            </w:pPr>
            <w:r>
              <w:t>491.40</w:t>
            </w:r>
          </w:p>
        </w:tc>
        <w:tc>
          <w:tcPr>
            <w:tcW w:w="2551" w:type="dxa"/>
            <w:vAlign w:val="center"/>
          </w:tcPr>
          <w:p>
            <w:pPr>
              <w:pStyle w:val="20"/>
            </w:pPr>
            <w:r>
              <w:t>377.70</w:t>
            </w:r>
          </w:p>
        </w:tc>
        <w:tc>
          <w:tcPr>
            <w:tcW w:w="2551" w:type="dxa"/>
            <w:vAlign w:val="center"/>
          </w:tcPr>
          <w:p>
            <w:pPr>
              <w:pStyle w:val="20"/>
            </w:pPr>
            <w:r>
              <w:t>113.70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4</w:t>
            </w:r>
          </w:p>
        </w:tc>
        <w:tc>
          <w:tcPr>
            <w:tcW w:w="1191" w:type="dxa"/>
            <w:vAlign w:val="center"/>
          </w:tcPr>
          <w:p>
            <w:pPr>
              <w:pStyle w:val="21"/>
            </w:pPr>
            <w:r>
              <w:t>2070808</w:t>
            </w:r>
          </w:p>
        </w:tc>
        <w:tc>
          <w:tcPr>
            <w:tcW w:w="4535" w:type="dxa"/>
            <w:vAlign w:val="center"/>
          </w:tcPr>
          <w:p>
            <w:pPr>
              <w:pStyle w:val="21"/>
            </w:pPr>
            <w:r>
              <w:rPr>
                <w:rFonts w:hint="eastAsia"/>
              </w:rPr>
              <w:t>广播电视事务</w:t>
            </w:r>
          </w:p>
        </w:tc>
        <w:tc>
          <w:tcPr>
            <w:tcW w:w="2551" w:type="dxa"/>
            <w:vAlign w:val="center"/>
          </w:tcPr>
          <w:p>
            <w:pPr>
              <w:pStyle w:val="20"/>
            </w:pPr>
            <w:r>
              <w:t>491.40</w:t>
            </w:r>
          </w:p>
        </w:tc>
        <w:tc>
          <w:tcPr>
            <w:tcW w:w="2551" w:type="dxa"/>
            <w:vAlign w:val="center"/>
          </w:tcPr>
          <w:p>
            <w:pPr>
              <w:pStyle w:val="20"/>
            </w:pPr>
            <w:r>
              <w:t>377.70</w:t>
            </w:r>
          </w:p>
        </w:tc>
        <w:tc>
          <w:tcPr>
            <w:tcW w:w="2551" w:type="dxa"/>
            <w:vAlign w:val="center"/>
          </w:tcPr>
          <w:p>
            <w:pPr>
              <w:pStyle w:val="20"/>
            </w:pPr>
            <w:r>
              <w:t>113.70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5</w:t>
            </w:r>
          </w:p>
        </w:tc>
        <w:tc>
          <w:tcPr>
            <w:tcW w:w="1191" w:type="dxa"/>
            <w:vAlign w:val="center"/>
          </w:tcPr>
          <w:p>
            <w:pPr>
              <w:pStyle w:val="21"/>
            </w:pPr>
            <w:r>
              <w:t>208</w:t>
            </w:r>
          </w:p>
        </w:tc>
        <w:tc>
          <w:tcPr>
            <w:tcW w:w="4535" w:type="dxa"/>
            <w:vAlign w:val="center"/>
          </w:tcPr>
          <w:p>
            <w:pPr>
              <w:pStyle w:val="21"/>
            </w:pPr>
            <w:r>
              <w:rPr>
                <w:rFonts w:hint="eastAsia"/>
              </w:rPr>
              <w:t>社会保障和就业支出</w:t>
            </w:r>
          </w:p>
        </w:tc>
        <w:tc>
          <w:tcPr>
            <w:tcW w:w="2551" w:type="dxa"/>
            <w:vAlign w:val="center"/>
          </w:tcPr>
          <w:p>
            <w:pPr>
              <w:pStyle w:val="20"/>
            </w:pPr>
            <w:r>
              <w:t>42.00</w:t>
            </w:r>
          </w:p>
        </w:tc>
        <w:tc>
          <w:tcPr>
            <w:tcW w:w="2551" w:type="dxa"/>
            <w:vAlign w:val="center"/>
          </w:tcPr>
          <w:p>
            <w:pPr>
              <w:pStyle w:val="20"/>
            </w:pPr>
            <w:r>
              <w:t>42.00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6</w:t>
            </w:r>
          </w:p>
        </w:tc>
        <w:tc>
          <w:tcPr>
            <w:tcW w:w="1191" w:type="dxa"/>
            <w:vAlign w:val="center"/>
          </w:tcPr>
          <w:p>
            <w:pPr>
              <w:pStyle w:val="21"/>
            </w:pPr>
            <w:r>
              <w:t>20805</w:t>
            </w:r>
          </w:p>
        </w:tc>
        <w:tc>
          <w:tcPr>
            <w:tcW w:w="4535" w:type="dxa"/>
            <w:vAlign w:val="center"/>
          </w:tcPr>
          <w:p>
            <w:pPr>
              <w:pStyle w:val="21"/>
            </w:pPr>
            <w:r>
              <w:rPr>
                <w:rFonts w:hint="eastAsia"/>
              </w:rPr>
              <w:t>行政事业单位养老支出</w:t>
            </w:r>
          </w:p>
        </w:tc>
        <w:tc>
          <w:tcPr>
            <w:tcW w:w="2551" w:type="dxa"/>
            <w:vAlign w:val="center"/>
          </w:tcPr>
          <w:p>
            <w:pPr>
              <w:pStyle w:val="20"/>
            </w:pPr>
            <w:r>
              <w:t>42.00</w:t>
            </w:r>
          </w:p>
        </w:tc>
        <w:tc>
          <w:tcPr>
            <w:tcW w:w="2551" w:type="dxa"/>
            <w:vAlign w:val="center"/>
          </w:tcPr>
          <w:p>
            <w:pPr>
              <w:pStyle w:val="20"/>
            </w:pPr>
            <w:r>
              <w:t>42.00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7</w:t>
            </w:r>
          </w:p>
        </w:tc>
        <w:tc>
          <w:tcPr>
            <w:tcW w:w="1191" w:type="dxa"/>
            <w:vAlign w:val="center"/>
          </w:tcPr>
          <w:p>
            <w:pPr>
              <w:pStyle w:val="21"/>
            </w:pPr>
            <w:r>
              <w:t>2080505</w:t>
            </w:r>
          </w:p>
        </w:tc>
        <w:tc>
          <w:tcPr>
            <w:tcW w:w="4535" w:type="dxa"/>
            <w:vAlign w:val="center"/>
          </w:tcPr>
          <w:p>
            <w:pPr>
              <w:pStyle w:val="21"/>
            </w:pPr>
            <w:r>
              <w:rPr>
                <w:rFonts w:hint="eastAsia"/>
              </w:rPr>
              <w:t>机关事业单位基本养老保险缴费支出</w:t>
            </w:r>
          </w:p>
        </w:tc>
        <w:tc>
          <w:tcPr>
            <w:tcW w:w="2551" w:type="dxa"/>
            <w:vAlign w:val="center"/>
          </w:tcPr>
          <w:p>
            <w:pPr>
              <w:pStyle w:val="20"/>
            </w:pPr>
            <w:r>
              <w:t>42.00</w:t>
            </w:r>
          </w:p>
        </w:tc>
        <w:tc>
          <w:tcPr>
            <w:tcW w:w="2551" w:type="dxa"/>
            <w:vAlign w:val="center"/>
          </w:tcPr>
          <w:p>
            <w:pPr>
              <w:pStyle w:val="20"/>
            </w:pPr>
            <w:r>
              <w:t>42.00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8</w:t>
            </w:r>
          </w:p>
        </w:tc>
        <w:tc>
          <w:tcPr>
            <w:tcW w:w="1191" w:type="dxa"/>
            <w:vAlign w:val="center"/>
          </w:tcPr>
          <w:p>
            <w:pPr>
              <w:pStyle w:val="21"/>
            </w:pPr>
            <w:r>
              <w:t>210</w:t>
            </w:r>
          </w:p>
        </w:tc>
        <w:tc>
          <w:tcPr>
            <w:tcW w:w="4535" w:type="dxa"/>
            <w:vAlign w:val="center"/>
          </w:tcPr>
          <w:p>
            <w:pPr>
              <w:pStyle w:val="21"/>
            </w:pPr>
            <w:r>
              <w:rPr>
                <w:rFonts w:hint="eastAsia"/>
              </w:rPr>
              <w:t>卫生健康支出</w:t>
            </w:r>
          </w:p>
        </w:tc>
        <w:tc>
          <w:tcPr>
            <w:tcW w:w="2551" w:type="dxa"/>
            <w:vAlign w:val="center"/>
          </w:tcPr>
          <w:p>
            <w:pPr>
              <w:pStyle w:val="20"/>
            </w:pPr>
            <w:r>
              <w:t>22.10</w:t>
            </w:r>
          </w:p>
        </w:tc>
        <w:tc>
          <w:tcPr>
            <w:tcW w:w="2551" w:type="dxa"/>
            <w:vAlign w:val="center"/>
          </w:tcPr>
          <w:p>
            <w:pPr>
              <w:pStyle w:val="20"/>
            </w:pPr>
            <w:r>
              <w:t>22.10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9</w:t>
            </w:r>
          </w:p>
        </w:tc>
        <w:tc>
          <w:tcPr>
            <w:tcW w:w="1191" w:type="dxa"/>
            <w:vAlign w:val="center"/>
          </w:tcPr>
          <w:p>
            <w:pPr>
              <w:pStyle w:val="21"/>
            </w:pPr>
            <w:r>
              <w:t>21011</w:t>
            </w:r>
          </w:p>
        </w:tc>
        <w:tc>
          <w:tcPr>
            <w:tcW w:w="4535" w:type="dxa"/>
            <w:vAlign w:val="center"/>
          </w:tcPr>
          <w:p>
            <w:pPr>
              <w:pStyle w:val="21"/>
            </w:pPr>
            <w:r>
              <w:rPr>
                <w:rFonts w:hint="eastAsia"/>
              </w:rPr>
              <w:t>行政事业单位医疗</w:t>
            </w:r>
          </w:p>
        </w:tc>
        <w:tc>
          <w:tcPr>
            <w:tcW w:w="2551" w:type="dxa"/>
            <w:vAlign w:val="center"/>
          </w:tcPr>
          <w:p>
            <w:pPr>
              <w:pStyle w:val="20"/>
            </w:pPr>
            <w:r>
              <w:t>22.10</w:t>
            </w:r>
          </w:p>
        </w:tc>
        <w:tc>
          <w:tcPr>
            <w:tcW w:w="2551" w:type="dxa"/>
            <w:vAlign w:val="center"/>
          </w:tcPr>
          <w:p>
            <w:pPr>
              <w:pStyle w:val="20"/>
            </w:pPr>
            <w:r>
              <w:t>22.10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10</w:t>
            </w:r>
          </w:p>
        </w:tc>
        <w:tc>
          <w:tcPr>
            <w:tcW w:w="1191" w:type="dxa"/>
            <w:vAlign w:val="center"/>
          </w:tcPr>
          <w:p>
            <w:pPr>
              <w:pStyle w:val="21"/>
            </w:pPr>
            <w:r>
              <w:t>2101102</w:t>
            </w:r>
          </w:p>
        </w:tc>
        <w:tc>
          <w:tcPr>
            <w:tcW w:w="4535" w:type="dxa"/>
            <w:vAlign w:val="center"/>
          </w:tcPr>
          <w:p>
            <w:pPr>
              <w:pStyle w:val="21"/>
            </w:pPr>
            <w:r>
              <w:rPr>
                <w:rFonts w:hint="eastAsia"/>
              </w:rPr>
              <w:t>事业单位医疗</w:t>
            </w:r>
          </w:p>
        </w:tc>
        <w:tc>
          <w:tcPr>
            <w:tcW w:w="2551" w:type="dxa"/>
            <w:vAlign w:val="center"/>
          </w:tcPr>
          <w:p>
            <w:pPr>
              <w:pStyle w:val="20"/>
            </w:pPr>
            <w:r>
              <w:t>22.10</w:t>
            </w:r>
          </w:p>
        </w:tc>
        <w:tc>
          <w:tcPr>
            <w:tcW w:w="2551" w:type="dxa"/>
            <w:vAlign w:val="center"/>
          </w:tcPr>
          <w:p>
            <w:pPr>
              <w:pStyle w:val="20"/>
            </w:pPr>
            <w:r>
              <w:t>22.10</w:t>
            </w:r>
          </w:p>
        </w:tc>
        <w:tc>
          <w:tcPr>
            <w:tcW w:w="2551"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8"/>
            </w:pPr>
            <w:r>
              <w:t>359001</w:t>
            </w:r>
            <w:r>
              <w:rPr>
                <w:rFonts w:hint="eastAsia"/>
              </w:rPr>
              <w:t>无极县融媒体中心</w:t>
            </w:r>
            <w:r>
              <w:t>(</w:t>
            </w:r>
            <w:r>
              <w:rPr>
                <w:rFonts w:hint="eastAsia"/>
              </w:rPr>
              <w:t>无极县广播电视台</w:t>
            </w:r>
            <w:r>
              <w:t>)</w:t>
            </w:r>
            <w:r>
              <w:rPr>
                <w:rFonts w:hint="eastAsia"/>
              </w:rPr>
              <w:t>本级</w:t>
            </w:r>
          </w:p>
        </w:tc>
        <w:tc>
          <w:tcPr>
            <w:tcW w:w="2551"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5726" w:type="dxa"/>
            <w:gridSpan w:val="2"/>
            <w:vAlign w:val="center"/>
          </w:tcPr>
          <w:p>
            <w:pPr>
              <w:pStyle w:val="19"/>
            </w:pPr>
            <w:r>
              <w:rPr>
                <w:rFonts w:hint="eastAsia"/>
              </w:rPr>
              <w:t>支出部门经济分类科目</w:t>
            </w:r>
          </w:p>
        </w:tc>
        <w:tc>
          <w:tcPr>
            <w:tcW w:w="7654" w:type="dxa"/>
            <w:gridSpan w:val="3"/>
            <w:vAlign w:val="center"/>
          </w:tcPr>
          <w:p>
            <w:pPr>
              <w:pStyle w:val="19"/>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9"/>
            </w:pPr>
            <w:r>
              <w:rPr>
                <w:rFonts w:hint="eastAsia"/>
              </w:rPr>
              <w:t>科目编码</w:t>
            </w:r>
          </w:p>
        </w:tc>
        <w:tc>
          <w:tcPr>
            <w:tcW w:w="4535" w:type="dxa"/>
            <w:vAlign w:val="center"/>
          </w:tcPr>
          <w:p>
            <w:pPr>
              <w:pStyle w:val="19"/>
            </w:pPr>
            <w:r>
              <w:rPr>
                <w:rFonts w:hint="eastAsia"/>
              </w:rPr>
              <w:t>科目名称</w:t>
            </w:r>
          </w:p>
        </w:tc>
        <w:tc>
          <w:tcPr>
            <w:tcW w:w="2551" w:type="dxa"/>
            <w:vAlign w:val="center"/>
          </w:tcPr>
          <w:p>
            <w:pPr>
              <w:pStyle w:val="19"/>
            </w:pPr>
            <w:r>
              <w:rPr>
                <w:rFonts w:hint="eastAsia"/>
              </w:rPr>
              <w:t>合计</w:t>
            </w:r>
          </w:p>
        </w:tc>
        <w:tc>
          <w:tcPr>
            <w:tcW w:w="2551" w:type="dxa"/>
            <w:vAlign w:val="center"/>
          </w:tcPr>
          <w:p>
            <w:pPr>
              <w:pStyle w:val="19"/>
            </w:pPr>
            <w:r>
              <w:rPr>
                <w:rFonts w:hint="eastAsia"/>
              </w:rPr>
              <w:t>人员经费</w:t>
            </w:r>
          </w:p>
        </w:tc>
        <w:tc>
          <w:tcPr>
            <w:tcW w:w="2551" w:type="dxa"/>
            <w:vAlign w:val="center"/>
          </w:tcPr>
          <w:p>
            <w:pPr>
              <w:pStyle w:val="19"/>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1191" w:type="dxa"/>
            <w:vAlign w:val="center"/>
          </w:tcPr>
          <w:p>
            <w:pPr>
              <w:pStyle w:val="19"/>
            </w:pPr>
            <w:r>
              <w:t>1</w:t>
            </w:r>
          </w:p>
        </w:tc>
        <w:tc>
          <w:tcPr>
            <w:tcW w:w="4535" w:type="dxa"/>
            <w:vAlign w:val="center"/>
          </w:tcPr>
          <w:p>
            <w:pPr>
              <w:pStyle w:val="19"/>
            </w:pPr>
            <w:r>
              <w:t>2</w:t>
            </w:r>
          </w:p>
        </w:tc>
        <w:tc>
          <w:tcPr>
            <w:tcW w:w="2551" w:type="dxa"/>
            <w:vAlign w:val="center"/>
          </w:tcPr>
          <w:p>
            <w:pPr>
              <w:pStyle w:val="19"/>
            </w:pPr>
            <w:r>
              <w:t>3</w:t>
            </w:r>
          </w:p>
        </w:tc>
        <w:tc>
          <w:tcPr>
            <w:tcW w:w="2551" w:type="dxa"/>
            <w:vAlign w:val="center"/>
          </w:tcPr>
          <w:p>
            <w:pPr>
              <w:pStyle w:val="19"/>
            </w:pPr>
            <w:r>
              <w:t>4</w:t>
            </w:r>
          </w:p>
        </w:tc>
        <w:tc>
          <w:tcPr>
            <w:tcW w:w="2551" w:type="dxa"/>
            <w:vAlign w:val="center"/>
          </w:tcPr>
          <w:p>
            <w:pPr>
              <w:pStyle w:val="1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w:t>
            </w:r>
          </w:p>
        </w:tc>
        <w:tc>
          <w:tcPr>
            <w:tcW w:w="1191" w:type="dxa"/>
            <w:vAlign w:val="center"/>
          </w:tcPr>
          <w:p>
            <w:pPr>
              <w:pStyle w:val="25"/>
            </w:pPr>
          </w:p>
        </w:tc>
        <w:tc>
          <w:tcPr>
            <w:tcW w:w="4535" w:type="dxa"/>
            <w:vAlign w:val="center"/>
          </w:tcPr>
          <w:p>
            <w:pPr>
              <w:pStyle w:val="23"/>
            </w:pPr>
            <w:r>
              <w:rPr>
                <w:rFonts w:hint="eastAsia"/>
              </w:rPr>
              <w:t>合计</w:t>
            </w:r>
          </w:p>
        </w:tc>
        <w:tc>
          <w:tcPr>
            <w:tcW w:w="2551" w:type="dxa"/>
            <w:vAlign w:val="center"/>
          </w:tcPr>
          <w:p>
            <w:pPr>
              <w:pStyle w:val="24"/>
            </w:pPr>
            <w:r>
              <w:t>441.80</w:t>
            </w:r>
          </w:p>
        </w:tc>
        <w:tc>
          <w:tcPr>
            <w:tcW w:w="2551" w:type="dxa"/>
            <w:vAlign w:val="center"/>
          </w:tcPr>
          <w:p>
            <w:pPr>
              <w:pStyle w:val="24"/>
            </w:pPr>
            <w:r>
              <w:t>411.80</w:t>
            </w:r>
          </w:p>
        </w:tc>
        <w:tc>
          <w:tcPr>
            <w:tcW w:w="2551" w:type="dxa"/>
            <w:vAlign w:val="center"/>
          </w:tcPr>
          <w:p>
            <w:pPr>
              <w:pStyle w:val="24"/>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2</w:t>
            </w:r>
          </w:p>
        </w:tc>
        <w:tc>
          <w:tcPr>
            <w:tcW w:w="1191" w:type="dxa"/>
            <w:vAlign w:val="center"/>
          </w:tcPr>
          <w:p>
            <w:pPr>
              <w:pStyle w:val="21"/>
            </w:pPr>
            <w:r>
              <w:t>301</w:t>
            </w:r>
          </w:p>
        </w:tc>
        <w:tc>
          <w:tcPr>
            <w:tcW w:w="4535" w:type="dxa"/>
            <w:vAlign w:val="center"/>
          </w:tcPr>
          <w:p>
            <w:pPr>
              <w:pStyle w:val="21"/>
            </w:pPr>
            <w:r>
              <w:rPr>
                <w:rFonts w:hint="eastAsia"/>
              </w:rPr>
              <w:t>工资福利支出</w:t>
            </w:r>
          </w:p>
        </w:tc>
        <w:tc>
          <w:tcPr>
            <w:tcW w:w="2551" w:type="dxa"/>
            <w:vAlign w:val="center"/>
          </w:tcPr>
          <w:p>
            <w:pPr>
              <w:pStyle w:val="20"/>
            </w:pPr>
            <w:r>
              <w:t>399.70</w:t>
            </w:r>
          </w:p>
        </w:tc>
        <w:tc>
          <w:tcPr>
            <w:tcW w:w="2551" w:type="dxa"/>
            <w:vAlign w:val="center"/>
          </w:tcPr>
          <w:p>
            <w:pPr>
              <w:pStyle w:val="20"/>
            </w:pPr>
            <w:r>
              <w:t>399.70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3</w:t>
            </w:r>
          </w:p>
        </w:tc>
        <w:tc>
          <w:tcPr>
            <w:tcW w:w="1191" w:type="dxa"/>
            <w:vAlign w:val="center"/>
          </w:tcPr>
          <w:p>
            <w:pPr>
              <w:pStyle w:val="21"/>
            </w:pPr>
            <w:r>
              <w:t>30101</w:t>
            </w:r>
          </w:p>
        </w:tc>
        <w:tc>
          <w:tcPr>
            <w:tcW w:w="4535" w:type="dxa"/>
            <w:vAlign w:val="center"/>
          </w:tcPr>
          <w:p>
            <w:pPr>
              <w:pStyle w:val="21"/>
            </w:pPr>
            <w:r>
              <w:rPr>
                <w:rFonts w:hint="eastAsia"/>
              </w:rPr>
              <w:t>基本工资</w:t>
            </w:r>
          </w:p>
        </w:tc>
        <w:tc>
          <w:tcPr>
            <w:tcW w:w="2551" w:type="dxa"/>
            <w:vAlign w:val="center"/>
          </w:tcPr>
          <w:p>
            <w:pPr>
              <w:pStyle w:val="20"/>
            </w:pPr>
            <w:r>
              <w:t>155.00</w:t>
            </w:r>
          </w:p>
        </w:tc>
        <w:tc>
          <w:tcPr>
            <w:tcW w:w="2551" w:type="dxa"/>
            <w:vAlign w:val="center"/>
          </w:tcPr>
          <w:p>
            <w:pPr>
              <w:pStyle w:val="20"/>
            </w:pPr>
            <w:r>
              <w:t>155.00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4</w:t>
            </w:r>
          </w:p>
        </w:tc>
        <w:tc>
          <w:tcPr>
            <w:tcW w:w="1191" w:type="dxa"/>
            <w:vAlign w:val="center"/>
          </w:tcPr>
          <w:p>
            <w:pPr>
              <w:pStyle w:val="21"/>
            </w:pPr>
            <w:r>
              <w:t>30102</w:t>
            </w:r>
          </w:p>
        </w:tc>
        <w:tc>
          <w:tcPr>
            <w:tcW w:w="4535" w:type="dxa"/>
            <w:vAlign w:val="center"/>
          </w:tcPr>
          <w:p>
            <w:pPr>
              <w:pStyle w:val="21"/>
            </w:pPr>
            <w:r>
              <w:rPr>
                <w:rFonts w:hint="eastAsia"/>
              </w:rPr>
              <w:t>津贴补贴</w:t>
            </w:r>
          </w:p>
        </w:tc>
        <w:tc>
          <w:tcPr>
            <w:tcW w:w="2551" w:type="dxa"/>
            <w:vAlign w:val="center"/>
          </w:tcPr>
          <w:p>
            <w:pPr>
              <w:pStyle w:val="20"/>
            </w:pPr>
            <w:r>
              <w:t>32.00</w:t>
            </w:r>
          </w:p>
        </w:tc>
        <w:tc>
          <w:tcPr>
            <w:tcW w:w="2551" w:type="dxa"/>
            <w:vAlign w:val="center"/>
          </w:tcPr>
          <w:p>
            <w:pPr>
              <w:pStyle w:val="20"/>
            </w:pPr>
            <w:r>
              <w:t>32.00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5</w:t>
            </w:r>
          </w:p>
        </w:tc>
        <w:tc>
          <w:tcPr>
            <w:tcW w:w="1191" w:type="dxa"/>
            <w:vAlign w:val="center"/>
          </w:tcPr>
          <w:p>
            <w:pPr>
              <w:pStyle w:val="21"/>
            </w:pPr>
            <w:r>
              <w:t>30103</w:t>
            </w:r>
          </w:p>
        </w:tc>
        <w:tc>
          <w:tcPr>
            <w:tcW w:w="4535" w:type="dxa"/>
            <w:vAlign w:val="center"/>
          </w:tcPr>
          <w:p>
            <w:pPr>
              <w:pStyle w:val="21"/>
            </w:pPr>
            <w:r>
              <w:rPr>
                <w:rFonts w:hint="eastAsia"/>
              </w:rPr>
              <w:t>奖金</w:t>
            </w:r>
          </w:p>
        </w:tc>
        <w:tc>
          <w:tcPr>
            <w:tcW w:w="2551" w:type="dxa"/>
            <w:vAlign w:val="center"/>
          </w:tcPr>
          <w:p>
            <w:pPr>
              <w:pStyle w:val="20"/>
            </w:pPr>
            <w:r>
              <w:t>67.40</w:t>
            </w:r>
          </w:p>
        </w:tc>
        <w:tc>
          <w:tcPr>
            <w:tcW w:w="2551" w:type="dxa"/>
            <w:vAlign w:val="center"/>
          </w:tcPr>
          <w:p>
            <w:pPr>
              <w:pStyle w:val="20"/>
            </w:pPr>
            <w:r>
              <w:t>67.40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6</w:t>
            </w:r>
          </w:p>
        </w:tc>
        <w:tc>
          <w:tcPr>
            <w:tcW w:w="1191" w:type="dxa"/>
            <w:vAlign w:val="center"/>
          </w:tcPr>
          <w:p>
            <w:pPr>
              <w:pStyle w:val="21"/>
            </w:pPr>
            <w:r>
              <w:t>30107</w:t>
            </w:r>
          </w:p>
        </w:tc>
        <w:tc>
          <w:tcPr>
            <w:tcW w:w="4535" w:type="dxa"/>
            <w:vAlign w:val="center"/>
          </w:tcPr>
          <w:p>
            <w:pPr>
              <w:pStyle w:val="21"/>
            </w:pPr>
            <w:r>
              <w:rPr>
                <w:rFonts w:hint="eastAsia"/>
              </w:rPr>
              <w:t>绩效工资</w:t>
            </w:r>
          </w:p>
        </w:tc>
        <w:tc>
          <w:tcPr>
            <w:tcW w:w="2551" w:type="dxa"/>
            <w:vAlign w:val="center"/>
          </w:tcPr>
          <w:p>
            <w:pPr>
              <w:pStyle w:val="20"/>
            </w:pPr>
            <w:r>
              <w:t>78.00</w:t>
            </w:r>
          </w:p>
        </w:tc>
        <w:tc>
          <w:tcPr>
            <w:tcW w:w="2551" w:type="dxa"/>
            <w:vAlign w:val="center"/>
          </w:tcPr>
          <w:p>
            <w:pPr>
              <w:pStyle w:val="20"/>
            </w:pPr>
            <w:r>
              <w:t>78.00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7</w:t>
            </w:r>
          </w:p>
        </w:tc>
        <w:tc>
          <w:tcPr>
            <w:tcW w:w="1191" w:type="dxa"/>
            <w:vAlign w:val="center"/>
          </w:tcPr>
          <w:p>
            <w:pPr>
              <w:pStyle w:val="21"/>
            </w:pPr>
            <w:r>
              <w:t>30108</w:t>
            </w:r>
          </w:p>
        </w:tc>
        <w:tc>
          <w:tcPr>
            <w:tcW w:w="4535" w:type="dxa"/>
            <w:vAlign w:val="center"/>
          </w:tcPr>
          <w:p>
            <w:pPr>
              <w:pStyle w:val="21"/>
            </w:pPr>
            <w:r>
              <w:rPr>
                <w:rFonts w:hint="eastAsia"/>
              </w:rPr>
              <w:t>机关事业单位基本养老保险缴费</w:t>
            </w:r>
          </w:p>
        </w:tc>
        <w:tc>
          <w:tcPr>
            <w:tcW w:w="2551" w:type="dxa"/>
            <w:vAlign w:val="center"/>
          </w:tcPr>
          <w:p>
            <w:pPr>
              <w:pStyle w:val="20"/>
            </w:pPr>
            <w:r>
              <w:t>42.00</w:t>
            </w:r>
          </w:p>
        </w:tc>
        <w:tc>
          <w:tcPr>
            <w:tcW w:w="2551" w:type="dxa"/>
            <w:vAlign w:val="center"/>
          </w:tcPr>
          <w:p>
            <w:pPr>
              <w:pStyle w:val="20"/>
            </w:pPr>
            <w:r>
              <w:t>42.00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8</w:t>
            </w:r>
          </w:p>
        </w:tc>
        <w:tc>
          <w:tcPr>
            <w:tcW w:w="1191" w:type="dxa"/>
            <w:vAlign w:val="center"/>
          </w:tcPr>
          <w:p>
            <w:pPr>
              <w:pStyle w:val="21"/>
            </w:pPr>
            <w:r>
              <w:t>30110</w:t>
            </w:r>
          </w:p>
        </w:tc>
        <w:tc>
          <w:tcPr>
            <w:tcW w:w="4535" w:type="dxa"/>
            <w:vAlign w:val="center"/>
          </w:tcPr>
          <w:p>
            <w:pPr>
              <w:pStyle w:val="21"/>
            </w:pPr>
            <w:r>
              <w:rPr>
                <w:rFonts w:hint="eastAsia"/>
              </w:rPr>
              <w:t>城镇职工基本医疗保险缴费</w:t>
            </w:r>
          </w:p>
        </w:tc>
        <w:tc>
          <w:tcPr>
            <w:tcW w:w="2551" w:type="dxa"/>
            <w:vAlign w:val="center"/>
          </w:tcPr>
          <w:p>
            <w:pPr>
              <w:pStyle w:val="20"/>
            </w:pPr>
            <w:r>
              <w:t>22.10</w:t>
            </w:r>
          </w:p>
        </w:tc>
        <w:tc>
          <w:tcPr>
            <w:tcW w:w="2551" w:type="dxa"/>
            <w:vAlign w:val="center"/>
          </w:tcPr>
          <w:p>
            <w:pPr>
              <w:pStyle w:val="20"/>
            </w:pPr>
            <w:r>
              <w:t>22.10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9</w:t>
            </w:r>
          </w:p>
        </w:tc>
        <w:tc>
          <w:tcPr>
            <w:tcW w:w="1191" w:type="dxa"/>
            <w:vAlign w:val="center"/>
          </w:tcPr>
          <w:p>
            <w:pPr>
              <w:pStyle w:val="21"/>
            </w:pPr>
            <w:r>
              <w:t>30112</w:t>
            </w:r>
          </w:p>
        </w:tc>
        <w:tc>
          <w:tcPr>
            <w:tcW w:w="4535" w:type="dxa"/>
            <w:vAlign w:val="center"/>
          </w:tcPr>
          <w:p>
            <w:pPr>
              <w:pStyle w:val="21"/>
            </w:pPr>
            <w:r>
              <w:rPr>
                <w:rFonts w:hint="eastAsia"/>
              </w:rPr>
              <w:t>其他社会保障缴费</w:t>
            </w:r>
          </w:p>
        </w:tc>
        <w:tc>
          <w:tcPr>
            <w:tcW w:w="2551" w:type="dxa"/>
            <w:vAlign w:val="center"/>
          </w:tcPr>
          <w:p>
            <w:pPr>
              <w:pStyle w:val="20"/>
            </w:pPr>
            <w:r>
              <w:t>3.20</w:t>
            </w:r>
          </w:p>
        </w:tc>
        <w:tc>
          <w:tcPr>
            <w:tcW w:w="2551" w:type="dxa"/>
            <w:vAlign w:val="center"/>
          </w:tcPr>
          <w:p>
            <w:pPr>
              <w:pStyle w:val="20"/>
            </w:pPr>
            <w:r>
              <w:t>3.20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10</w:t>
            </w:r>
          </w:p>
        </w:tc>
        <w:tc>
          <w:tcPr>
            <w:tcW w:w="1191" w:type="dxa"/>
            <w:vAlign w:val="center"/>
          </w:tcPr>
          <w:p>
            <w:pPr>
              <w:pStyle w:val="21"/>
            </w:pPr>
            <w:r>
              <w:t>302</w:t>
            </w:r>
          </w:p>
        </w:tc>
        <w:tc>
          <w:tcPr>
            <w:tcW w:w="4535" w:type="dxa"/>
            <w:vAlign w:val="center"/>
          </w:tcPr>
          <w:p>
            <w:pPr>
              <w:pStyle w:val="21"/>
            </w:pPr>
            <w:r>
              <w:rPr>
                <w:rFonts w:hint="eastAsia"/>
              </w:rPr>
              <w:t>商品和服务支出</w:t>
            </w:r>
          </w:p>
        </w:tc>
        <w:tc>
          <w:tcPr>
            <w:tcW w:w="2551" w:type="dxa"/>
            <w:vAlign w:val="center"/>
          </w:tcPr>
          <w:p>
            <w:pPr>
              <w:pStyle w:val="20"/>
            </w:pPr>
            <w:r>
              <w:t>30.00</w:t>
            </w:r>
          </w:p>
        </w:tc>
        <w:tc>
          <w:tcPr>
            <w:tcW w:w="2551" w:type="dxa"/>
            <w:vAlign w:val="center"/>
          </w:tcPr>
          <w:p>
            <w:pPr>
              <w:pStyle w:val="20"/>
            </w:pPr>
          </w:p>
        </w:tc>
        <w:tc>
          <w:tcPr>
            <w:tcW w:w="2551" w:type="dxa"/>
            <w:vAlign w:val="center"/>
          </w:tcPr>
          <w:p>
            <w:pPr>
              <w:pStyle w:val="20"/>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11</w:t>
            </w:r>
          </w:p>
        </w:tc>
        <w:tc>
          <w:tcPr>
            <w:tcW w:w="1191" w:type="dxa"/>
            <w:vAlign w:val="center"/>
          </w:tcPr>
          <w:p>
            <w:pPr>
              <w:pStyle w:val="21"/>
            </w:pPr>
            <w:r>
              <w:t>30299</w:t>
            </w:r>
          </w:p>
        </w:tc>
        <w:tc>
          <w:tcPr>
            <w:tcW w:w="4535" w:type="dxa"/>
            <w:vAlign w:val="center"/>
          </w:tcPr>
          <w:p>
            <w:pPr>
              <w:pStyle w:val="21"/>
            </w:pPr>
            <w:r>
              <w:rPr>
                <w:rFonts w:hint="eastAsia"/>
              </w:rPr>
              <w:t>其他商品和服务支出</w:t>
            </w:r>
          </w:p>
        </w:tc>
        <w:tc>
          <w:tcPr>
            <w:tcW w:w="2551" w:type="dxa"/>
            <w:vAlign w:val="center"/>
          </w:tcPr>
          <w:p>
            <w:pPr>
              <w:pStyle w:val="20"/>
            </w:pPr>
            <w:r>
              <w:t>30.00</w:t>
            </w:r>
          </w:p>
        </w:tc>
        <w:tc>
          <w:tcPr>
            <w:tcW w:w="2551" w:type="dxa"/>
            <w:vAlign w:val="center"/>
          </w:tcPr>
          <w:p>
            <w:pPr>
              <w:pStyle w:val="20"/>
            </w:pPr>
          </w:p>
        </w:tc>
        <w:tc>
          <w:tcPr>
            <w:tcW w:w="2551" w:type="dxa"/>
            <w:vAlign w:val="center"/>
          </w:tcPr>
          <w:p>
            <w:pPr>
              <w:pStyle w:val="20"/>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12</w:t>
            </w:r>
          </w:p>
        </w:tc>
        <w:tc>
          <w:tcPr>
            <w:tcW w:w="1191" w:type="dxa"/>
            <w:vAlign w:val="center"/>
          </w:tcPr>
          <w:p>
            <w:pPr>
              <w:pStyle w:val="21"/>
            </w:pPr>
            <w:r>
              <w:t>303</w:t>
            </w:r>
          </w:p>
        </w:tc>
        <w:tc>
          <w:tcPr>
            <w:tcW w:w="4535" w:type="dxa"/>
            <w:vAlign w:val="center"/>
          </w:tcPr>
          <w:p>
            <w:pPr>
              <w:pStyle w:val="21"/>
            </w:pPr>
            <w:r>
              <w:rPr>
                <w:rFonts w:hint="eastAsia"/>
              </w:rPr>
              <w:t>对个人和家庭的补助</w:t>
            </w:r>
          </w:p>
        </w:tc>
        <w:tc>
          <w:tcPr>
            <w:tcW w:w="2551" w:type="dxa"/>
            <w:vAlign w:val="center"/>
          </w:tcPr>
          <w:p>
            <w:pPr>
              <w:pStyle w:val="20"/>
            </w:pPr>
            <w:r>
              <w:t>12.10</w:t>
            </w:r>
          </w:p>
        </w:tc>
        <w:tc>
          <w:tcPr>
            <w:tcW w:w="2551" w:type="dxa"/>
            <w:vAlign w:val="center"/>
          </w:tcPr>
          <w:p>
            <w:pPr>
              <w:pStyle w:val="20"/>
            </w:pPr>
            <w:r>
              <w:t>12.10</w:t>
            </w:r>
          </w:p>
        </w:tc>
        <w:tc>
          <w:tcPr>
            <w:tcW w:w="255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r>
              <w:t>13</w:t>
            </w:r>
          </w:p>
        </w:tc>
        <w:tc>
          <w:tcPr>
            <w:tcW w:w="1191" w:type="dxa"/>
            <w:vAlign w:val="center"/>
          </w:tcPr>
          <w:p>
            <w:pPr>
              <w:pStyle w:val="21"/>
            </w:pPr>
            <w:r>
              <w:t>30302</w:t>
            </w:r>
          </w:p>
        </w:tc>
        <w:tc>
          <w:tcPr>
            <w:tcW w:w="4535" w:type="dxa"/>
            <w:vAlign w:val="center"/>
          </w:tcPr>
          <w:p>
            <w:pPr>
              <w:pStyle w:val="21"/>
            </w:pPr>
            <w:r>
              <w:rPr>
                <w:rFonts w:hint="eastAsia"/>
              </w:rPr>
              <w:t>退休费</w:t>
            </w:r>
          </w:p>
        </w:tc>
        <w:tc>
          <w:tcPr>
            <w:tcW w:w="2551" w:type="dxa"/>
            <w:vAlign w:val="center"/>
          </w:tcPr>
          <w:p>
            <w:pPr>
              <w:pStyle w:val="20"/>
            </w:pPr>
            <w:r>
              <w:t>12.10</w:t>
            </w:r>
          </w:p>
        </w:tc>
        <w:tc>
          <w:tcPr>
            <w:tcW w:w="2551" w:type="dxa"/>
            <w:vAlign w:val="center"/>
          </w:tcPr>
          <w:p>
            <w:pPr>
              <w:pStyle w:val="20"/>
            </w:pPr>
            <w:r>
              <w:t>12.10</w:t>
            </w:r>
          </w:p>
        </w:tc>
        <w:tc>
          <w:tcPr>
            <w:tcW w:w="2551"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8"/>
            </w:pPr>
            <w:r>
              <w:t>359001</w:t>
            </w:r>
            <w:r>
              <w:rPr>
                <w:rFonts w:hint="eastAsia"/>
              </w:rPr>
              <w:t>无极县融媒体中心</w:t>
            </w:r>
            <w:r>
              <w:t>(</w:t>
            </w:r>
            <w:r>
              <w:rPr>
                <w:rFonts w:hint="eastAsia"/>
              </w:rPr>
              <w:t>无极县广播电视台</w:t>
            </w:r>
            <w:r>
              <w:t>)</w:t>
            </w:r>
            <w:r>
              <w:rPr>
                <w:rFonts w:hint="eastAsia"/>
              </w:rPr>
              <w:t>本级</w:t>
            </w:r>
          </w:p>
        </w:tc>
        <w:tc>
          <w:tcPr>
            <w:tcW w:w="2551"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5726" w:type="dxa"/>
            <w:gridSpan w:val="2"/>
            <w:vAlign w:val="center"/>
          </w:tcPr>
          <w:p>
            <w:pPr>
              <w:pStyle w:val="19"/>
            </w:pPr>
            <w:r>
              <w:rPr>
                <w:rFonts w:hint="eastAsia"/>
              </w:rPr>
              <w:t>功能分类科目</w:t>
            </w:r>
          </w:p>
        </w:tc>
        <w:tc>
          <w:tcPr>
            <w:tcW w:w="2551" w:type="dxa"/>
            <w:vMerge w:val="restart"/>
            <w:vAlign w:val="center"/>
          </w:tcPr>
          <w:p>
            <w:pPr>
              <w:pStyle w:val="19"/>
            </w:pPr>
            <w:r>
              <w:rPr>
                <w:rFonts w:hint="eastAsia"/>
              </w:rPr>
              <w:t>合计</w:t>
            </w:r>
          </w:p>
        </w:tc>
        <w:tc>
          <w:tcPr>
            <w:tcW w:w="2551" w:type="dxa"/>
            <w:vMerge w:val="restart"/>
            <w:vAlign w:val="center"/>
          </w:tcPr>
          <w:p>
            <w:pPr>
              <w:pStyle w:val="19"/>
            </w:pPr>
            <w:r>
              <w:rPr>
                <w:rFonts w:hint="eastAsia"/>
              </w:rPr>
              <w:t>基本支出</w:t>
            </w:r>
          </w:p>
        </w:tc>
        <w:tc>
          <w:tcPr>
            <w:tcW w:w="2551" w:type="dxa"/>
            <w:vMerge w:val="restart"/>
            <w:vAlign w:val="center"/>
          </w:tcPr>
          <w:p>
            <w:pPr>
              <w:pStyle w:val="19"/>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9"/>
            </w:pPr>
            <w:r>
              <w:rPr>
                <w:rFonts w:hint="eastAsia"/>
              </w:rPr>
              <w:t>科目编码</w:t>
            </w:r>
          </w:p>
        </w:tc>
        <w:tc>
          <w:tcPr>
            <w:tcW w:w="4535" w:type="dxa"/>
            <w:vAlign w:val="center"/>
          </w:tcPr>
          <w:p>
            <w:pPr>
              <w:pStyle w:val="19"/>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1191" w:type="dxa"/>
            <w:vAlign w:val="center"/>
          </w:tcPr>
          <w:p>
            <w:pPr>
              <w:pStyle w:val="19"/>
            </w:pPr>
            <w:r>
              <w:t>1</w:t>
            </w:r>
          </w:p>
        </w:tc>
        <w:tc>
          <w:tcPr>
            <w:tcW w:w="4535" w:type="dxa"/>
            <w:vAlign w:val="center"/>
          </w:tcPr>
          <w:p>
            <w:pPr>
              <w:pStyle w:val="19"/>
            </w:pPr>
            <w:r>
              <w:t>2</w:t>
            </w:r>
          </w:p>
        </w:tc>
        <w:tc>
          <w:tcPr>
            <w:tcW w:w="2551" w:type="dxa"/>
            <w:vAlign w:val="center"/>
          </w:tcPr>
          <w:p>
            <w:pPr>
              <w:pStyle w:val="19"/>
            </w:pPr>
            <w:r>
              <w:t>3</w:t>
            </w:r>
          </w:p>
        </w:tc>
        <w:tc>
          <w:tcPr>
            <w:tcW w:w="2551" w:type="dxa"/>
            <w:vAlign w:val="center"/>
          </w:tcPr>
          <w:p>
            <w:pPr>
              <w:pStyle w:val="19"/>
            </w:pPr>
            <w:r>
              <w:t>4</w:t>
            </w:r>
          </w:p>
        </w:tc>
        <w:tc>
          <w:tcPr>
            <w:tcW w:w="2551" w:type="dxa"/>
            <w:vAlign w:val="center"/>
          </w:tcPr>
          <w:p>
            <w:pPr>
              <w:pStyle w:val="1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p>
        </w:tc>
        <w:tc>
          <w:tcPr>
            <w:tcW w:w="1191" w:type="dxa"/>
            <w:vAlign w:val="center"/>
          </w:tcPr>
          <w:p>
            <w:pPr>
              <w:pStyle w:val="21"/>
            </w:pPr>
          </w:p>
        </w:tc>
        <w:tc>
          <w:tcPr>
            <w:tcW w:w="4535" w:type="dxa"/>
            <w:vAlign w:val="center"/>
          </w:tcPr>
          <w:p>
            <w:pPr>
              <w:pStyle w:val="21"/>
            </w:pPr>
          </w:p>
        </w:tc>
        <w:tc>
          <w:tcPr>
            <w:tcW w:w="2551" w:type="dxa"/>
            <w:vAlign w:val="center"/>
          </w:tcPr>
          <w:p>
            <w:pPr>
              <w:pStyle w:val="20"/>
            </w:pPr>
          </w:p>
        </w:tc>
        <w:tc>
          <w:tcPr>
            <w:tcW w:w="2551" w:type="dxa"/>
            <w:vAlign w:val="center"/>
          </w:tcPr>
          <w:p>
            <w:pPr>
              <w:pStyle w:val="20"/>
            </w:pPr>
          </w:p>
        </w:tc>
        <w:tc>
          <w:tcPr>
            <w:tcW w:w="2551" w:type="dxa"/>
            <w:vAlign w:val="center"/>
          </w:tcPr>
          <w:p>
            <w:pPr>
              <w:pStyle w:val="20"/>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8"/>
            </w:pPr>
            <w:r>
              <w:t>359001</w:t>
            </w:r>
            <w:r>
              <w:rPr>
                <w:rFonts w:hint="eastAsia"/>
              </w:rPr>
              <w:t>无极县融媒体中心</w:t>
            </w:r>
            <w:r>
              <w:t>(</w:t>
            </w:r>
            <w:r>
              <w:rPr>
                <w:rFonts w:hint="eastAsia"/>
              </w:rPr>
              <w:t>无极县广播电视台</w:t>
            </w:r>
            <w:r>
              <w:t>)</w:t>
            </w:r>
            <w:r>
              <w:rPr>
                <w:rFonts w:hint="eastAsia"/>
              </w:rPr>
              <w:t>本级</w:t>
            </w:r>
          </w:p>
        </w:tc>
        <w:tc>
          <w:tcPr>
            <w:tcW w:w="2551" w:type="dxa"/>
            <w:tcBorders>
              <w:top w:val="single" w:color="FFFFFF" w:sz="6" w:space="0"/>
              <w:left w:val="single" w:color="FFFFFF" w:sz="6" w:space="0"/>
              <w:right w:val="single" w:color="FFFFFF" w:sz="6" w:space="0"/>
            </w:tcBorders>
            <w:vAlign w:val="center"/>
          </w:tcPr>
          <w:p>
            <w:pPr>
              <w:pStyle w:val="17"/>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9"/>
            </w:pPr>
            <w:r>
              <w:rPr>
                <w:rFonts w:hint="eastAsia"/>
              </w:rPr>
              <w:t>序号</w:t>
            </w:r>
          </w:p>
        </w:tc>
        <w:tc>
          <w:tcPr>
            <w:tcW w:w="5726" w:type="dxa"/>
            <w:gridSpan w:val="2"/>
            <w:vAlign w:val="center"/>
          </w:tcPr>
          <w:p>
            <w:pPr>
              <w:pStyle w:val="19"/>
            </w:pPr>
            <w:r>
              <w:rPr>
                <w:rFonts w:hint="eastAsia"/>
              </w:rPr>
              <w:t>功能分类科目</w:t>
            </w:r>
          </w:p>
        </w:tc>
        <w:tc>
          <w:tcPr>
            <w:tcW w:w="2551" w:type="dxa"/>
            <w:vMerge w:val="restart"/>
            <w:vAlign w:val="center"/>
          </w:tcPr>
          <w:p>
            <w:pPr>
              <w:pStyle w:val="19"/>
            </w:pPr>
            <w:r>
              <w:rPr>
                <w:rFonts w:hint="eastAsia"/>
              </w:rPr>
              <w:t>合计</w:t>
            </w:r>
          </w:p>
        </w:tc>
        <w:tc>
          <w:tcPr>
            <w:tcW w:w="2551" w:type="dxa"/>
            <w:vMerge w:val="restart"/>
            <w:vAlign w:val="center"/>
          </w:tcPr>
          <w:p>
            <w:pPr>
              <w:pStyle w:val="19"/>
            </w:pPr>
            <w:r>
              <w:rPr>
                <w:rFonts w:hint="eastAsia"/>
              </w:rPr>
              <w:t>基本支出</w:t>
            </w:r>
          </w:p>
        </w:tc>
        <w:tc>
          <w:tcPr>
            <w:tcW w:w="2551" w:type="dxa"/>
            <w:vMerge w:val="restart"/>
            <w:vAlign w:val="center"/>
          </w:tcPr>
          <w:p>
            <w:pPr>
              <w:pStyle w:val="19"/>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9"/>
            </w:pPr>
            <w:r>
              <w:rPr>
                <w:rFonts w:hint="eastAsia"/>
              </w:rPr>
              <w:t>科目编码</w:t>
            </w:r>
          </w:p>
        </w:tc>
        <w:tc>
          <w:tcPr>
            <w:tcW w:w="4535" w:type="dxa"/>
            <w:vAlign w:val="center"/>
          </w:tcPr>
          <w:p>
            <w:pPr>
              <w:pStyle w:val="19"/>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9"/>
            </w:pPr>
            <w:r>
              <w:rPr>
                <w:rFonts w:hint="eastAsia"/>
              </w:rPr>
              <w:t>栏次</w:t>
            </w:r>
          </w:p>
        </w:tc>
        <w:tc>
          <w:tcPr>
            <w:tcW w:w="1191" w:type="dxa"/>
            <w:vAlign w:val="center"/>
          </w:tcPr>
          <w:p>
            <w:pPr>
              <w:pStyle w:val="19"/>
            </w:pPr>
            <w:r>
              <w:t>1</w:t>
            </w:r>
          </w:p>
        </w:tc>
        <w:tc>
          <w:tcPr>
            <w:tcW w:w="4535" w:type="dxa"/>
            <w:vAlign w:val="center"/>
          </w:tcPr>
          <w:p>
            <w:pPr>
              <w:pStyle w:val="19"/>
            </w:pPr>
            <w:r>
              <w:t>2</w:t>
            </w:r>
          </w:p>
        </w:tc>
        <w:tc>
          <w:tcPr>
            <w:tcW w:w="2551" w:type="dxa"/>
            <w:vAlign w:val="center"/>
          </w:tcPr>
          <w:p>
            <w:pPr>
              <w:pStyle w:val="19"/>
            </w:pPr>
            <w:r>
              <w:t>3</w:t>
            </w:r>
          </w:p>
        </w:tc>
        <w:tc>
          <w:tcPr>
            <w:tcW w:w="2551" w:type="dxa"/>
            <w:vAlign w:val="center"/>
          </w:tcPr>
          <w:p>
            <w:pPr>
              <w:pStyle w:val="19"/>
            </w:pPr>
            <w:r>
              <w:t>4</w:t>
            </w:r>
          </w:p>
        </w:tc>
        <w:tc>
          <w:tcPr>
            <w:tcW w:w="2551" w:type="dxa"/>
            <w:vAlign w:val="center"/>
          </w:tcPr>
          <w:p>
            <w:pPr>
              <w:pStyle w:val="1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2"/>
            </w:pPr>
          </w:p>
        </w:tc>
        <w:tc>
          <w:tcPr>
            <w:tcW w:w="1191" w:type="dxa"/>
            <w:vAlign w:val="center"/>
          </w:tcPr>
          <w:p>
            <w:pPr>
              <w:pStyle w:val="21"/>
            </w:pPr>
          </w:p>
        </w:tc>
        <w:tc>
          <w:tcPr>
            <w:tcW w:w="4535" w:type="dxa"/>
            <w:vAlign w:val="center"/>
          </w:tcPr>
          <w:p>
            <w:pPr>
              <w:pStyle w:val="21"/>
            </w:pPr>
          </w:p>
        </w:tc>
        <w:tc>
          <w:tcPr>
            <w:tcW w:w="2551" w:type="dxa"/>
            <w:vAlign w:val="center"/>
          </w:tcPr>
          <w:p>
            <w:pPr>
              <w:pStyle w:val="20"/>
            </w:pPr>
          </w:p>
        </w:tc>
        <w:tc>
          <w:tcPr>
            <w:tcW w:w="2551" w:type="dxa"/>
            <w:vAlign w:val="center"/>
          </w:tcPr>
          <w:p>
            <w:pPr>
              <w:pStyle w:val="20"/>
            </w:pPr>
          </w:p>
        </w:tc>
        <w:tc>
          <w:tcPr>
            <w:tcW w:w="2551" w:type="dxa"/>
            <w:vAlign w:val="center"/>
          </w:tcPr>
          <w:p>
            <w:pPr>
              <w:pStyle w:val="20"/>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10"/>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spacing w:line="300" w:lineRule="exact"/>
              <w:rPr>
                <w:rFonts w:ascii="方正小标宋_GBK" w:eastAsia="方正小标宋_GBK"/>
              </w:rPr>
            </w:pPr>
            <w:r>
              <w:t>359001</w:t>
            </w:r>
            <w:r>
              <w:rPr>
                <w:rFonts w:hint="eastAsia"/>
              </w:rPr>
              <w:t>无极县融媒体中心</w:t>
            </w:r>
            <w:r>
              <w:t>(</w:t>
            </w:r>
            <w:r>
              <w:rPr>
                <w:rFonts w:hint="eastAsia"/>
              </w:rPr>
              <w:t>无极县广播电视台</w:t>
            </w:r>
            <w:r>
              <w:t>)</w:t>
            </w:r>
            <w:r>
              <w:rPr>
                <w:rFonts w:hint="eastAsia"/>
              </w:rPr>
              <w:t>本级</w:t>
            </w:r>
          </w:p>
        </w:tc>
        <w:tc>
          <w:tcPr>
            <w:tcW w:w="238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lang w:eastAsia="zh-CN"/>
              </w:rPr>
            </w:pPr>
            <w:r>
              <w:rPr>
                <w:rFonts w:hint="eastAsia" w:ascii="方正小标宋_GBK" w:eastAsia="方正小标宋_GBK"/>
              </w:rPr>
              <w:t>预算年度：</w:t>
            </w:r>
            <w:r>
              <w:rPr>
                <w:rFonts w:ascii="方正小标宋_GBK" w:eastAsia="方正小标宋_GBK"/>
              </w:rPr>
              <w:t>202</w:t>
            </w:r>
            <w:r>
              <w:rPr>
                <w:rFonts w:ascii="方正小标宋_GBK" w:eastAsia="方正小标宋_GBK"/>
                <w:lang w:eastAsia="zh-CN"/>
              </w:rPr>
              <w:t>2</w:t>
            </w:r>
          </w:p>
        </w:tc>
        <w:tc>
          <w:tcPr>
            <w:tcW w:w="476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rPr>
            </w:pPr>
            <w:r>
              <w:rPr>
                <w:rFonts w:hint="eastAsia" w:ascii="方正小标宋_GBK" w:eastAsia="方正小标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pPr>
              <w:spacing w:line="300" w:lineRule="exact"/>
              <w:outlineLvl w:val="1"/>
            </w:pPr>
          </w:p>
        </w:tc>
        <w:tc>
          <w:tcPr>
            <w:tcW w:w="3798" w:type="dxa"/>
            <w:vMerge w:val="continue"/>
            <w:vAlign w:val="center"/>
          </w:tcPr>
          <w:p>
            <w:pPr>
              <w:spacing w:line="300" w:lineRule="exact"/>
              <w:outlineLvl w:val="1"/>
            </w:pP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vAlign w:val="center"/>
          </w:tcPr>
          <w:p>
            <w:pPr>
              <w:spacing w:line="300" w:lineRule="exact"/>
              <w:jc w:val="center"/>
              <w:rPr>
                <w:rFonts w:ascii="方正书宋_GBK" w:eastAsia="方正书宋_GBK"/>
                <w:b/>
              </w:rPr>
            </w:pPr>
            <w:r>
              <w:rPr>
                <w:rFonts w:ascii="方正书宋_GBK" w:eastAsia="方正书宋_GBK"/>
                <w:b/>
              </w:rPr>
              <w:t>1</w:t>
            </w:r>
          </w:p>
        </w:tc>
        <w:tc>
          <w:tcPr>
            <w:tcW w:w="2381" w:type="dxa"/>
            <w:vAlign w:val="center"/>
          </w:tcPr>
          <w:p>
            <w:pPr>
              <w:spacing w:line="300" w:lineRule="exact"/>
              <w:jc w:val="center"/>
              <w:rPr>
                <w:rFonts w:ascii="方正书宋_GBK" w:eastAsia="方正书宋_GBK"/>
                <w:b/>
              </w:rPr>
            </w:pPr>
            <w:r>
              <w:rPr>
                <w:rFonts w:ascii="方正书宋_GBK" w:eastAsia="方正书宋_GBK"/>
                <w:b/>
              </w:rPr>
              <w:t>2</w:t>
            </w:r>
          </w:p>
        </w:tc>
        <w:tc>
          <w:tcPr>
            <w:tcW w:w="2381" w:type="dxa"/>
            <w:vAlign w:val="center"/>
          </w:tcPr>
          <w:p>
            <w:pPr>
              <w:spacing w:line="300" w:lineRule="exact"/>
              <w:jc w:val="center"/>
              <w:rPr>
                <w:rFonts w:ascii="方正书宋_GBK" w:eastAsia="方正书宋_GBK"/>
                <w:b/>
              </w:rPr>
            </w:pPr>
            <w:r>
              <w:rPr>
                <w:rFonts w:ascii="方正书宋_GBK" w:eastAsia="方正书宋_GBK"/>
                <w:b/>
              </w:rPr>
              <w:t>3</w:t>
            </w:r>
          </w:p>
        </w:tc>
        <w:tc>
          <w:tcPr>
            <w:tcW w:w="2381" w:type="dxa"/>
            <w:vAlign w:val="center"/>
          </w:tcPr>
          <w:p>
            <w:pPr>
              <w:spacing w:line="300" w:lineRule="exact"/>
              <w:jc w:val="center"/>
              <w:rPr>
                <w:rFonts w:ascii="方正书宋_GBK" w:eastAsia="方正书宋_GBK"/>
                <w:b/>
              </w:rPr>
            </w:pPr>
            <w:r>
              <w:rPr>
                <w:rFonts w:ascii="方正书宋_GBK" w:eastAsia="方正书宋_GBK"/>
                <w:b/>
              </w:rPr>
              <w:t>4</w:t>
            </w:r>
          </w:p>
        </w:tc>
        <w:tc>
          <w:tcPr>
            <w:tcW w:w="238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3798"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right"/>
              <w:rPr>
                <w:rFonts w:ascii="方正书宋_GBK" w:eastAsia="方正书宋_GBK"/>
                <w:b/>
              </w:rPr>
            </w:pPr>
            <w:r>
              <w:rPr>
                <w:rFonts w:ascii="方正书宋_GBK" w:eastAsia="方正书宋_GBK"/>
                <w:b/>
              </w:rPr>
              <w:t>2.80</w:t>
            </w:r>
          </w:p>
        </w:tc>
        <w:tc>
          <w:tcPr>
            <w:tcW w:w="2381" w:type="dxa"/>
            <w:vAlign w:val="center"/>
          </w:tcPr>
          <w:p>
            <w:pPr>
              <w:spacing w:line="300" w:lineRule="exact"/>
              <w:jc w:val="right"/>
              <w:rPr>
                <w:rFonts w:ascii="方正书宋_GBK" w:eastAsia="方正书宋_GBK"/>
                <w:b/>
              </w:rPr>
            </w:pPr>
            <w:r>
              <w:rPr>
                <w:rFonts w:ascii="方正书宋_GBK" w:eastAsia="方正书宋_GBK"/>
                <w:b/>
              </w:rPr>
              <w:t>2.80</w:t>
            </w: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3798" w:type="dxa"/>
            <w:vAlign w:val="center"/>
          </w:tcPr>
          <w:p>
            <w:pPr>
              <w:spacing w:line="300" w:lineRule="exact"/>
              <w:rPr>
                <w:rFonts w:ascii="方正书宋_GBK" w:eastAsia="方正书宋_GBK"/>
              </w:rPr>
            </w:pPr>
            <w:r>
              <w:rPr>
                <w:rFonts w:hint="eastAsia" w:ascii="方正书宋_GBK" w:eastAsia="方正书宋_GBK"/>
              </w:rPr>
              <w:t>一、因公出国（境）费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3798" w:type="dxa"/>
            <w:vAlign w:val="center"/>
          </w:tcPr>
          <w:p>
            <w:pPr>
              <w:spacing w:line="300" w:lineRule="exact"/>
              <w:rPr>
                <w:rFonts w:ascii="方正书宋_GBK" w:eastAsia="方正书宋_GBK"/>
              </w:rPr>
            </w:pPr>
            <w:r>
              <w:rPr>
                <w:rFonts w:hint="eastAsia" w:ascii="方正书宋_GBK" w:eastAsia="方正书宋_GBK"/>
              </w:rPr>
              <w:t>二、公务用车购置及运维费</w:t>
            </w:r>
          </w:p>
        </w:tc>
        <w:tc>
          <w:tcPr>
            <w:tcW w:w="2381" w:type="dxa"/>
            <w:vAlign w:val="center"/>
          </w:tcPr>
          <w:p>
            <w:pPr>
              <w:spacing w:line="300" w:lineRule="exact"/>
              <w:jc w:val="right"/>
              <w:rPr>
                <w:rFonts w:ascii="方正书宋_GBK" w:eastAsia="方正书宋_GBK"/>
              </w:rPr>
            </w:pPr>
            <w:r>
              <w:rPr>
                <w:rFonts w:ascii="方正书宋_GBK" w:eastAsia="方正书宋_GBK"/>
              </w:rPr>
              <w:t>2.80</w:t>
            </w:r>
          </w:p>
        </w:tc>
        <w:tc>
          <w:tcPr>
            <w:tcW w:w="2381" w:type="dxa"/>
            <w:vAlign w:val="center"/>
          </w:tcPr>
          <w:p>
            <w:pPr>
              <w:spacing w:line="300" w:lineRule="exact"/>
              <w:jc w:val="right"/>
              <w:rPr>
                <w:rFonts w:ascii="方正书宋_GBK" w:eastAsia="方正书宋_GBK"/>
              </w:rPr>
            </w:pPr>
            <w:r>
              <w:rPr>
                <w:rFonts w:ascii="方正书宋_GBK" w:eastAsia="方正书宋_GBK"/>
              </w:rPr>
              <w:t>2.80</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3798" w:type="dxa"/>
            <w:vAlign w:val="center"/>
          </w:tcPr>
          <w:p>
            <w:pPr>
              <w:spacing w:line="300" w:lineRule="exact"/>
              <w:rPr>
                <w:rFonts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3798" w:type="dxa"/>
            <w:vAlign w:val="center"/>
          </w:tcPr>
          <w:p>
            <w:pPr>
              <w:spacing w:line="300" w:lineRule="exac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vAlign w:val="center"/>
          </w:tcPr>
          <w:p>
            <w:pPr>
              <w:spacing w:line="300" w:lineRule="exact"/>
              <w:jc w:val="right"/>
              <w:rPr>
                <w:rFonts w:ascii="方正书宋_GBK" w:eastAsia="方正书宋_GBK"/>
              </w:rPr>
            </w:pPr>
            <w:r>
              <w:rPr>
                <w:rFonts w:ascii="方正书宋_GBK" w:eastAsia="方正书宋_GBK"/>
              </w:rPr>
              <w:t>2.80</w:t>
            </w:r>
          </w:p>
        </w:tc>
        <w:tc>
          <w:tcPr>
            <w:tcW w:w="2381" w:type="dxa"/>
            <w:vAlign w:val="center"/>
          </w:tcPr>
          <w:p>
            <w:pPr>
              <w:spacing w:line="300" w:lineRule="exact"/>
              <w:jc w:val="right"/>
              <w:rPr>
                <w:rFonts w:ascii="方正书宋_GBK" w:eastAsia="方正书宋_GBK"/>
              </w:rPr>
            </w:pPr>
            <w:r>
              <w:rPr>
                <w:rFonts w:ascii="方正书宋_GBK" w:eastAsia="方正书宋_GBK"/>
              </w:rPr>
              <w:t>2.80</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3798" w:type="dxa"/>
            <w:vAlign w:val="center"/>
          </w:tcPr>
          <w:p>
            <w:pPr>
              <w:spacing w:line="300" w:lineRule="exact"/>
              <w:rPr>
                <w:rFonts w:ascii="方正书宋_GBK" w:eastAsia="方正书宋_GBK"/>
              </w:rPr>
            </w:pPr>
            <w:r>
              <w:rPr>
                <w:rFonts w:hint="eastAsia" w:ascii="方正书宋_GBK" w:eastAsia="方正书宋_GBK"/>
              </w:rPr>
              <w:t>三、公务接待费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bl>
    <w:p>
      <w:pPr>
        <w:jc w:val="center"/>
        <w:outlineLvl w:val="4"/>
        <w:rPr>
          <w:rFonts w:ascii="方正小标宋_GBK" w:hAnsi="方正小标宋_GBK" w:eastAsia="方正小标宋_GBK" w:cs="方正小标宋_GBK"/>
          <w:color w:val="000000"/>
          <w:sz w:val="44"/>
          <w:lang w:eastAsia="zh-CN"/>
        </w:rPr>
      </w:pPr>
    </w:p>
    <w:p>
      <w:pPr>
        <w:jc w:val="center"/>
        <w:outlineLvl w:val="4"/>
        <w:rPr>
          <w:rFonts w:ascii="方正小标宋_GBK" w:hAnsi="方正小标宋_GBK" w:eastAsia="方正小标宋_GBK" w:cs="方正小标宋_GBK"/>
          <w:color w:val="000000"/>
          <w:sz w:val="44"/>
          <w:lang w:eastAsia="zh-CN"/>
        </w:rPr>
      </w:pPr>
    </w:p>
    <w:p>
      <w:pPr>
        <w:jc w:val="center"/>
        <w:outlineLvl w:val="4"/>
        <w:rPr>
          <w:rFonts w:ascii="方正小标宋_GBK" w:hAnsi="方正小标宋_GBK" w:eastAsia="方正小标宋_GBK" w:cs="方正小标宋_GBK"/>
          <w:color w:val="000000"/>
          <w:sz w:val="44"/>
          <w:lang w:eastAsia="zh-CN"/>
        </w:rPr>
      </w:pPr>
    </w:p>
    <w:p>
      <w:pPr>
        <w:jc w:val="center"/>
        <w:outlineLvl w:val="4"/>
        <w:rPr>
          <w:rFonts w:ascii="方正小标宋_GBK" w:hAnsi="方正小标宋_GBK" w:eastAsia="方正小标宋_GBK" w:cs="方正小标宋_GBK"/>
          <w:color w:val="000000"/>
          <w:sz w:val="44"/>
          <w:lang w:eastAsia="zh-CN"/>
        </w:rPr>
      </w:pPr>
    </w:p>
    <w:p>
      <w:pPr>
        <w:jc w:val="center"/>
        <w:outlineLvl w:val="4"/>
      </w:pPr>
      <w:r>
        <w:rPr>
          <w:rFonts w:hint="eastAsia" w:ascii="方正小标宋_GBK" w:hAnsi="方正小标宋_GBK" w:eastAsia="方正小标宋_GBK" w:cs="方正小标宋_GBK"/>
          <w:color w:val="000000"/>
          <w:sz w:val="44"/>
        </w:rPr>
        <w:t>无极县融媒体中心</w:t>
      </w:r>
      <w:r>
        <w:rPr>
          <w:rFonts w:ascii="方正小标宋_GBK" w:hAnsi="方正小标宋_GBK" w:eastAsia="方正小标宋_GBK" w:cs="方正小标宋_GBK"/>
          <w:color w:val="000000"/>
          <w:sz w:val="44"/>
        </w:rPr>
        <w:t>(</w:t>
      </w:r>
      <w:r>
        <w:rPr>
          <w:rFonts w:hint="eastAsia" w:ascii="方正小标宋_GBK" w:hAnsi="方正小标宋_GBK" w:eastAsia="方正小标宋_GBK" w:cs="方正小标宋_GBK"/>
          <w:color w:val="000000"/>
          <w:sz w:val="44"/>
        </w:rPr>
        <w:t>无极县广播电视台</w:t>
      </w:r>
      <w:r>
        <w:rPr>
          <w:rFonts w:ascii="方正小标宋_GBK" w:hAnsi="方正小标宋_GBK" w:eastAsia="方正小标宋_GBK" w:cs="方正小标宋_GBK"/>
          <w:color w:val="000000"/>
          <w:sz w:val="44"/>
        </w:rPr>
        <w:t>)</w:t>
      </w:r>
      <w:r>
        <w:rPr>
          <w:rFonts w:hint="eastAsia" w:ascii="方正小标宋_GBK" w:hAnsi="方正小标宋_GBK" w:eastAsia="方正小标宋_GBK" w:cs="方正小标宋_GBK"/>
          <w:color w:val="000000"/>
          <w:sz w:val="44"/>
        </w:rPr>
        <w:t>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w:t>
      </w:r>
      <w:r>
        <w:rPr>
          <w:rFonts w:hint="eastAsia" w:eastAsia="方正仿宋_GBK"/>
          <w:color w:val="000000"/>
          <w:sz w:val="28"/>
          <w:lang w:eastAsia="zh-CN"/>
        </w:rPr>
        <w:t>《中华人民共和国预算法》</w:t>
      </w:r>
      <w:r>
        <w:rPr>
          <w:rFonts w:hint="eastAsia" w:eastAsia="方正仿宋_GBK"/>
          <w:color w:val="000000"/>
          <w:sz w:val="28"/>
        </w:rPr>
        <w:t>、《地方预决算公开操作规程》和《关于进一步推进预算公开工作的实施意见》规定，现将无极县融媒体中心</w:t>
      </w:r>
      <w:r>
        <w:rPr>
          <w:rFonts w:eastAsia="方正仿宋_GBK"/>
          <w:color w:val="000000"/>
          <w:sz w:val="28"/>
        </w:rPr>
        <w:t>(</w:t>
      </w:r>
      <w:r>
        <w:rPr>
          <w:rFonts w:hint="eastAsia" w:eastAsia="方正仿宋_GBK"/>
          <w:color w:val="000000"/>
          <w:sz w:val="28"/>
        </w:rPr>
        <w:t>无极县广播电视台</w:t>
      </w:r>
      <w:r>
        <w:rPr>
          <w:rFonts w:eastAsia="方正仿宋_GBK"/>
          <w:color w:val="000000"/>
          <w:sz w:val="28"/>
        </w:rPr>
        <w:t>)</w:t>
      </w:r>
      <w:r>
        <w:rPr>
          <w:rFonts w:hint="eastAsia" w:eastAsia="方正仿宋_GBK"/>
          <w:color w:val="000000"/>
          <w:sz w:val="28"/>
        </w:rPr>
        <w:t>本级</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34"/>
      </w:pPr>
      <w:r>
        <w:rPr>
          <w:rFonts w:hint="eastAsia"/>
        </w:rPr>
        <w:t>负责县域内各类新闻资讯的采集和编辑；</w:t>
      </w:r>
    </w:p>
    <w:p>
      <w:pPr>
        <w:pStyle w:val="34"/>
      </w:pPr>
      <w:r>
        <w:rPr>
          <w:rFonts w:hint="eastAsia"/>
        </w:rPr>
        <w:t>宣传上级党委、政府的决策部署，中心工作及重点工作，宣传本地党委和政府工作安排，传播本地政经资讯；</w:t>
      </w:r>
    </w:p>
    <w:p>
      <w:pPr>
        <w:pStyle w:val="34"/>
      </w:pPr>
      <w:r>
        <w:rPr>
          <w:rFonts w:hint="eastAsia"/>
        </w:rPr>
        <w:t>向基层干部群众提供政务服务、生活服务、社会传播、教育培训等综合服务。</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9"/>
            </w:pPr>
            <w:r>
              <w:rPr>
                <w:rFonts w:hint="eastAsia"/>
              </w:rPr>
              <w:t>单位名称</w:t>
            </w:r>
          </w:p>
        </w:tc>
        <w:tc>
          <w:tcPr>
            <w:tcW w:w="1843" w:type="dxa"/>
            <w:vAlign w:val="center"/>
          </w:tcPr>
          <w:p>
            <w:pPr>
              <w:pStyle w:val="19"/>
            </w:pPr>
            <w:r>
              <w:rPr>
                <w:rFonts w:hint="eastAsia"/>
              </w:rPr>
              <w:t>单位性质</w:t>
            </w:r>
          </w:p>
        </w:tc>
        <w:tc>
          <w:tcPr>
            <w:tcW w:w="2126" w:type="dxa"/>
            <w:vAlign w:val="center"/>
          </w:tcPr>
          <w:p>
            <w:pPr>
              <w:pStyle w:val="19"/>
            </w:pPr>
            <w:r>
              <w:rPr>
                <w:rFonts w:hint="eastAsia"/>
              </w:rPr>
              <w:t>单位规格</w:t>
            </w:r>
          </w:p>
        </w:tc>
        <w:tc>
          <w:tcPr>
            <w:tcW w:w="3827" w:type="dxa"/>
            <w:vAlign w:val="center"/>
          </w:tcPr>
          <w:p>
            <w:pPr>
              <w:pStyle w:val="19"/>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21"/>
            </w:pPr>
            <w:r>
              <w:rPr>
                <w:rFonts w:hint="eastAsia"/>
              </w:rPr>
              <w:t>无极县融媒体中心</w:t>
            </w:r>
            <w:r>
              <w:t>(</w:t>
            </w:r>
            <w:r>
              <w:rPr>
                <w:rFonts w:hint="eastAsia"/>
              </w:rPr>
              <w:t>无极县广播电视台</w:t>
            </w:r>
            <w:r>
              <w:t>)</w:t>
            </w:r>
            <w:r>
              <w:rPr>
                <w:rFonts w:hint="eastAsia"/>
              </w:rPr>
              <w:t>本级</w:t>
            </w:r>
          </w:p>
        </w:tc>
        <w:tc>
          <w:tcPr>
            <w:tcW w:w="1843" w:type="dxa"/>
            <w:vAlign w:val="center"/>
          </w:tcPr>
          <w:p>
            <w:pPr>
              <w:pStyle w:val="22"/>
            </w:pPr>
            <w:r>
              <w:rPr>
                <w:rFonts w:hint="eastAsia"/>
              </w:rPr>
              <w:t>事业</w:t>
            </w:r>
          </w:p>
        </w:tc>
        <w:tc>
          <w:tcPr>
            <w:tcW w:w="2126" w:type="dxa"/>
            <w:vAlign w:val="center"/>
          </w:tcPr>
          <w:p>
            <w:pPr>
              <w:pStyle w:val="22"/>
            </w:pPr>
            <w:r>
              <w:rPr>
                <w:rFonts w:hint="eastAsia"/>
              </w:rPr>
              <w:t>正科级</w:t>
            </w:r>
          </w:p>
        </w:tc>
        <w:tc>
          <w:tcPr>
            <w:tcW w:w="3827" w:type="dxa"/>
            <w:vAlign w:val="center"/>
          </w:tcPr>
          <w:p>
            <w:pPr>
              <w:pStyle w:val="22"/>
            </w:pPr>
            <w:r>
              <w:rPr>
                <w:rFonts w:hint="eastAsia"/>
              </w:rPr>
              <w:t>财政性资金基本保证</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按照预算管理有关规定，目前我县单位预算的编制实行综合预算管理，即全部收入和支出都反映在预算中。</w:t>
      </w:r>
    </w:p>
    <w:p>
      <w:pPr>
        <w:spacing w:before="10" w:after="10" w:line="360" w:lineRule="auto"/>
        <w:ind w:firstLine="640"/>
        <w:outlineLvl w:val="2"/>
        <w:rPr>
          <w:rFonts w:eastAsia="方正仿宋_GBK"/>
          <w:color w:val="000000"/>
          <w:sz w:val="28"/>
        </w:rPr>
      </w:pPr>
      <w:r>
        <w:rPr>
          <w:rFonts w:eastAsia="方正仿宋_GBK"/>
          <w:color w:val="000000"/>
          <w:sz w:val="28"/>
        </w:rPr>
        <w:t>1</w:t>
      </w:r>
      <w:r>
        <w:rPr>
          <w:rFonts w:hint="eastAsia" w:eastAsia="方正仿宋_GBK"/>
          <w:color w:val="000000"/>
          <w:sz w:val="28"/>
        </w:rPr>
        <w:t>、收入说明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w:t>
      </w:r>
      <w:r>
        <w:rPr>
          <w:rFonts w:eastAsia="方正仿宋_GBK"/>
          <w:color w:val="000000"/>
          <w:sz w:val="28"/>
        </w:rPr>
        <w:t>2022</w:t>
      </w:r>
      <w:r>
        <w:rPr>
          <w:rFonts w:hint="eastAsia" w:eastAsia="方正仿宋_GBK"/>
          <w:color w:val="000000"/>
          <w:sz w:val="28"/>
        </w:rPr>
        <w:t>年预算收入</w:t>
      </w:r>
      <w:r>
        <w:rPr>
          <w:rFonts w:eastAsia="方正仿宋_GBK"/>
          <w:color w:val="000000"/>
          <w:sz w:val="28"/>
          <w:lang w:eastAsia="zh-CN"/>
        </w:rPr>
        <w:t>555.5</w:t>
      </w:r>
      <w:r>
        <w:rPr>
          <w:rFonts w:hint="eastAsia" w:eastAsia="方正仿宋_GBK"/>
          <w:color w:val="000000"/>
          <w:sz w:val="28"/>
        </w:rPr>
        <w:t>万元，其中：一般公共预算拨款</w:t>
      </w:r>
      <w:r>
        <w:rPr>
          <w:rFonts w:eastAsia="方正仿宋_GBK"/>
          <w:color w:val="000000"/>
          <w:sz w:val="28"/>
          <w:lang w:eastAsia="zh-CN"/>
        </w:rPr>
        <w:t>555.5</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pStyle w:val="27"/>
      </w:pPr>
      <w:r>
        <w:rPr>
          <w:rFonts w:hint="eastAsia"/>
          <w:color w:val="000000"/>
        </w:rPr>
        <w:t>收支预算总表支出栏、基本支出表、项目支出表按经济分类和支出功能分类科目编制，反映</w:t>
      </w:r>
      <w:r>
        <w:rPr>
          <w:rFonts w:hint="eastAsia"/>
        </w:rPr>
        <w:t>无极县融媒体中心</w:t>
      </w:r>
      <w:r>
        <w:t>(</w:t>
      </w:r>
      <w:r>
        <w:rPr>
          <w:rFonts w:hint="eastAsia"/>
        </w:rPr>
        <w:t>无极县广播电视台</w:t>
      </w:r>
      <w:r>
        <w:t>)</w:t>
      </w:r>
      <w:r>
        <w:rPr>
          <w:rFonts w:hint="eastAsia"/>
          <w:color w:val="000000"/>
        </w:rPr>
        <w:t>年度</w:t>
      </w:r>
      <w:r>
        <w:rPr>
          <w:rFonts w:hint="eastAsia"/>
          <w:color w:val="000000"/>
          <w:lang w:eastAsia="zh-CN"/>
        </w:rPr>
        <w:t>单位</w:t>
      </w:r>
      <w:r>
        <w:rPr>
          <w:rFonts w:hint="eastAsia"/>
          <w:color w:val="000000"/>
        </w:rPr>
        <w:t>预算中支出预算的总体情况。</w:t>
      </w:r>
      <w:r>
        <w:rPr>
          <w:color w:val="000000"/>
        </w:rPr>
        <w:t>2022</w:t>
      </w:r>
      <w:r>
        <w:rPr>
          <w:rFonts w:hint="eastAsia"/>
          <w:color w:val="000000"/>
        </w:rPr>
        <w:t>年部门支出预算为</w:t>
      </w:r>
      <w:r>
        <w:rPr>
          <w:color w:val="000000"/>
          <w:lang w:eastAsia="zh-CN"/>
        </w:rPr>
        <w:t>555.5</w:t>
      </w:r>
      <w:r>
        <w:rPr>
          <w:rFonts w:hint="eastAsia"/>
          <w:color w:val="000000"/>
        </w:rPr>
        <w:t>万元，其中基本支出</w:t>
      </w:r>
      <w:r>
        <w:rPr>
          <w:color w:val="000000"/>
          <w:lang w:eastAsia="zh-CN"/>
        </w:rPr>
        <w:t>441.8</w:t>
      </w:r>
      <w:r>
        <w:rPr>
          <w:rFonts w:hint="eastAsia"/>
          <w:color w:val="000000"/>
        </w:rPr>
        <w:t>元，包括人员经费</w:t>
      </w:r>
      <w:r>
        <w:rPr>
          <w:color w:val="000000"/>
          <w:lang w:eastAsia="zh-CN"/>
        </w:rPr>
        <w:t>411.8</w:t>
      </w:r>
      <w:r>
        <w:rPr>
          <w:rFonts w:hint="eastAsia"/>
          <w:color w:val="000000"/>
        </w:rPr>
        <w:t>万元和日常公用经费</w:t>
      </w:r>
      <w:r>
        <w:rPr>
          <w:color w:val="000000"/>
          <w:lang w:eastAsia="zh-CN"/>
        </w:rPr>
        <w:t>30</w:t>
      </w:r>
      <w:r>
        <w:rPr>
          <w:rFonts w:hint="eastAsia"/>
          <w:color w:val="000000"/>
        </w:rPr>
        <w:t>万元；项目支出</w:t>
      </w:r>
      <w:r>
        <w:rPr>
          <w:color w:val="000000"/>
          <w:lang w:eastAsia="zh-CN"/>
        </w:rPr>
        <w:t>113.7</w:t>
      </w:r>
      <w:r>
        <w:rPr>
          <w:rFonts w:hint="eastAsia"/>
          <w:color w:val="000000"/>
        </w:rPr>
        <w:t>万元，主要为</w:t>
      </w:r>
      <w:r>
        <w:rPr>
          <w:rFonts w:hint="eastAsia"/>
        </w:rPr>
        <w:t>无极之声报刊费</w:t>
      </w:r>
      <w:r>
        <w:t>10</w:t>
      </w:r>
      <w:r>
        <w:rPr>
          <w:rFonts w:hint="eastAsia"/>
        </w:rPr>
        <w:t>万元，县级文化公共体系建设资金</w:t>
      </w:r>
      <w:r>
        <w:t>40</w:t>
      </w:r>
      <w:r>
        <w:rPr>
          <w:rFonts w:hint="eastAsia"/>
        </w:rPr>
        <w:t>万元，省市栏目配套资金</w:t>
      </w:r>
      <w:r>
        <w:t>20</w:t>
      </w:r>
      <w:r>
        <w:rPr>
          <w:rFonts w:hint="eastAsia"/>
        </w:rPr>
        <w:t>万元，新闻采编播辅助人员经费</w:t>
      </w:r>
      <w:r>
        <w:t>9</w:t>
      </w:r>
      <w:r>
        <w:rPr>
          <w:rFonts w:hint="eastAsia"/>
        </w:rPr>
        <w:t>万元，台聘人员绩效增资资金</w:t>
      </w:r>
      <w:r>
        <w:t>11</w:t>
      </w:r>
      <w:r>
        <w:rPr>
          <w:rFonts w:hint="eastAsia"/>
        </w:rPr>
        <w:t>万元</w:t>
      </w:r>
      <w:r>
        <w:rPr>
          <w:rFonts w:hint="eastAsia"/>
          <w:lang w:eastAsia="zh-CN"/>
        </w:rPr>
        <w:t>，中央补助地方</w:t>
      </w:r>
      <w:r>
        <w:rPr>
          <w:lang w:eastAsia="zh-CN"/>
        </w:rPr>
        <w:t>23.7</w:t>
      </w:r>
      <w:r>
        <w:rPr>
          <w:rFonts w:hint="eastAsia"/>
          <w:lang w:eastAsia="zh-CN"/>
        </w:rPr>
        <w:t>万元</w:t>
      </w:r>
      <w:r>
        <w:rPr>
          <w:rFonts w:hint="eastAsia"/>
        </w:rPr>
        <w:t>。</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line="360" w:lineRule="auto"/>
        <w:ind w:firstLine="640"/>
        <w:outlineLvl w:val="2"/>
        <w:rPr>
          <w:lang w:eastAsia="zh-CN"/>
        </w:rPr>
      </w:pPr>
      <w:r>
        <w:rPr>
          <w:rFonts w:eastAsia="方正仿宋_GBK"/>
          <w:color w:val="000000"/>
          <w:sz w:val="28"/>
        </w:rPr>
        <w:t>2022</w:t>
      </w:r>
      <w:r>
        <w:rPr>
          <w:rFonts w:hint="eastAsia" w:eastAsia="方正仿宋_GBK"/>
          <w:color w:val="000000"/>
          <w:sz w:val="28"/>
        </w:rPr>
        <w:t>年</w:t>
      </w:r>
      <w:r>
        <w:rPr>
          <w:rFonts w:hint="eastAsia" w:eastAsia="方正仿宋_GBK"/>
          <w:color w:val="000000"/>
          <w:sz w:val="28"/>
          <w:lang w:val="en-US" w:eastAsia="zh-CN"/>
        </w:rPr>
        <w:t>单位</w:t>
      </w:r>
      <w:r>
        <w:rPr>
          <w:rFonts w:hint="eastAsia" w:eastAsia="方正仿宋_GBK"/>
          <w:color w:val="000000"/>
          <w:sz w:val="28"/>
        </w:rPr>
        <w:t>预算支出较</w:t>
      </w:r>
      <w:r>
        <w:rPr>
          <w:rFonts w:eastAsia="方正仿宋_GBK"/>
          <w:color w:val="000000"/>
          <w:sz w:val="28"/>
        </w:rPr>
        <w:t>2021</w:t>
      </w:r>
      <w:r>
        <w:rPr>
          <w:rFonts w:hint="eastAsia" w:eastAsia="方正仿宋_GBK"/>
          <w:color w:val="000000"/>
          <w:sz w:val="28"/>
        </w:rPr>
        <w:t>年增加</w:t>
      </w:r>
      <w:r>
        <w:rPr>
          <w:rFonts w:eastAsia="方正仿宋_GBK"/>
          <w:color w:val="000000"/>
          <w:sz w:val="28"/>
          <w:lang w:eastAsia="zh-CN"/>
        </w:rPr>
        <w:t>47.84</w:t>
      </w:r>
      <w:r>
        <w:rPr>
          <w:rFonts w:hint="eastAsia" w:eastAsia="方正仿宋_GBK"/>
          <w:color w:val="000000"/>
          <w:sz w:val="28"/>
        </w:rPr>
        <w:t>万元，其中：基本支出增加</w:t>
      </w:r>
      <w:r>
        <w:rPr>
          <w:rFonts w:eastAsia="方正仿宋_GBK"/>
          <w:color w:val="000000"/>
          <w:sz w:val="28"/>
          <w:lang w:eastAsia="zh-CN"/>
        </w:rPr>
        <w:t>47.84</w:t>
      </w:r>
      <w:r>
        <w:rPr>
          <w:rFonts w:hint="eastAsia" w:eastAsia="方正仿宋_GBK"/>
          <w:color w:val="000000"/>
          <w:sz w:val="28"/>
        </w:rPr>
        <w:t>万元，主要是增加人员经费支出；项目支出增加</w:t>
      </w:r>
      <w:r>
        <w:rPr>
          <w:rFonts w:eastAsia="方正仿宋_GBK"/>
          <w:color w:val="000000"/>
          <w:sz w:val="28"/>
          <w:lang w:eastAsia="zh-CN"/>
        </w:rPr>
        <w:t>0</w:t>
      </w:r>
      <w:r>
        <w:rPr>
          <w:rFonts w:hint="eastAsia" w:eastAsia="方正仿宋_GBK"/>
          <w:color w:val="000000"/>
          <w:sz w:val="28"/>
        </w:rPr>
        <w:t>万元，</w:t>
      </w:r>
      <w:r>
        <w:rPr>
          <w:rFonts w:hint="eastAsia" w:eastAsia="方正仿宋_GBK"/>
          <w:color w:val="000000"/>
          <w:sz w:val="28"/>
          <w:lang w:eastAsia="zh-CN"/>
        </w:rPr>
        <w:t>没有变化。</w:t>
      </w:r>
    </w:p>
    <w:p>
      <w:pPr>
        <w:numPr>
          <w:ilvl w:val="0"/>
          <w:numId w:val="1"/>
        </w:numPr>
        <w:spacing w:before="10" w:after="10" w:line="360" w:lineRule="auto"/>
        <w:ind w:firstLine="640"/>
        <w:outlineLvl w:val="2"/>
        <w:rPr>
          <w:rFonts w:hint="eastAsia" w:ascii="黑体" w:hAnsi="黑体" w:eastAsia="黑体" w:cs="黑体"/>
          <w:color w:val="000000"/>
          <w:sz w:val="32"/>
        </w:rPr>
      </w:pPr>
      <w:r>
        <w:rPr>
          <w:rFonts w:hint="eastAsia" w:ascii="黑体" w:hAnsi="黑体" w:eastAsia="黑体" w:cs="黑体"/>
          <w:color w:val="000000"/>
          <w:sz w:val="32"/>
        </w:rPr>
        <w:t>机关运行经费安排情况</w:t>
      </w:r>
    </w:p>
    <w:p>
      <w:pPr>
        <w:numPr>
          <w:ilvl w:val="0"/>
          <w:numId w:val="0"/>
        </w:numPr>
        <w:spacing w:before="10" w:after="10" w:line="360" w:lineRule="auto"/>
        <w:outlineLvl w:val="2"/>
        <w:rPr>
          <w:rFonts w:hint="default" w:eastAsia="方正仿宋_GBK"/>
          <w:color w:val="000000"/>
          <w:sz w:val="28"/>
          <w:lang w:val="en-US" w:eastAsia="zh-CN"/>
        </w:rPr>
      </w:pPr>
      <w:r>
        <w:rPr>
          <w:rFonts w:hint="eastAsia" w:ascii="黑体" w:hAnsi="黑体" w:eastAsia="黑体" w:cs="黑体"/>
          <w:color w:val="000000"/>
          <w:sz w:val="32"/>
          <w:lang w:val="en-US" w:eastAsia="zh-CN"/>
        </w:rPr>
        <w:t xml:space="preserve">    </w:t>
      </w:r>
      <w:r>
        <w:rPr>
          <w:rFonts w:hint="default"/>
          <w:sz w:val="28"/>
        </w:rPr>
        <w:t>2</w:t>
      </w:r>
      <w:r>
        <w:rPr>
          <w:rFonts w:hint="default" w:eastAsia="方正仿宋_GBK"/>
          <w:color w:val="000000"/>
          <w:sz w:val="28"/>
        </w:rPr>
        <w:t>022</w:t>
      </w:r>
      <w:r>
        <w:rPr>
          <w:rFonts w:hint="eastAsia" w:eastAsia="方正仿宋_GBK"/>
          <w:color w:val="000000"/>
          <w:sz w:val="28"/>
        </w:rPr>
        <w:t>年，机关运行经费共计安排</w:t>
      </w:r>
      <w:r>
        <w:rPr>
          <w:rFonts w:hint="eastAsia" w:eastAsia="方正仿宋_GBK"/>
          <w:color w:val="000000"/>
          <w:sz w:val="28"/>
          <w:lang w:val="en-US" w:eastAsia="zh-CN"/>
        </w:rPr>
        <w:t>30</w:t>
      </w:r>
      <w:r>
        <w:rPr>
          <w:rFonts w:hint="eastAsia" w:eastAsia="方正仿宋_GBK"/>
          <w:color w:val="000000"/>
          <w:sz w:val="28"/>
        </w:rPr>
        <w:t>万元，主要用于保证机关正常运转的办公及印刷费、邮电费、差旅费、一般设备购置费、办公用房电费、日常维修费等支出。</w:t>
      </w:r>
    </w:p>
    <w:p>
      <w:pPr>
        <w:spacing w:before="10" w:after="10" w:line="360" w:lineRule="auto"/>
        <w:ind w:firstLine="640"/>
        <w:outlineLvl w:val="2"/>
      </w:pPr>
      <w:r>
        <w:rPr>
          <w:rFonts w:hint="eastAsia" w:ascii="黑体" w:hAnsi="黑体" w:eastAsia="黑体" w:cs="黑体"/>
          <w:color w:val="000000"/>
          <w:sz w:val="32"/>
        </w:rPr>
        <w:t>四、财政拨款“三公”经费预算情况及增减变化原因</w:t>
      </w:r>
    </w:p>
    <w:p>
      <w:pPr>
        <w:pStyle w:val="34"/>
      </w:pPr>
      <w:r>
        <w:t>2022</w:t>
      </w:r>
      <w:r>
        <w:rPr>
          <w:rFonts w:hint="eastAsia"/>
        </w:rPr>
        <w:t>年，我</w:t>
      </w:r>
      <w:r>
        <w:rPr>
          <w:rFonts w:hint="eastAsia"/>
          <w:lang w:eastAsia="zh-CN"/>
        </w:rPr>
        <w:t>单位</w:t>
      </w:r>
      <w:r>
        <w:rPr>
          <w:rFonts w:hint="eastAsia"/>
        </w:rPr>
        <w:t>财政拨款</w:t>
      </w:r>
      <w:r>
        <w:t>“</w:t>
      </w:r>
      <w:r>
        <w:rPr>
          <w:rFonts w:hint="eastAsia"/>
        </w:rPr>
        <w:t>三公</w:t>
      </w:r>
      <w:r>
        <w:t>”</w:t>
      </w:r>
      <w:r>
        <w:rPr>
          <w:rFonts w:hint="eastAsia"/>
        </w:rPr>
        <w:t>经费预算安排</w:t>
      </w:r>
      <w:r>
        <w:rPr>
          <w:lang w:eastAsia="zh-CN"/>
        </w:rPr>
        <w:t>2.8</w:t>
      </w:r>
      <w:r>
        <w:rPr>
          <w:rFonts w:hint="eastAsia"/>
        </w:rPr>
        <w:t>万元，其中：因公出国（境）费</w:t>
      </w:r>
      <w:r>
        <w:t>0</w:t>
      </w:r>
      <w:r>
        <w:rPr>
          <w:rFonts w:hint="eastAsia"/>
        </w:rPr>
        <w:t>万元；公务用车购置及运维费</w:t>
      </w:r>
      <w:r>
        <w:rPr>
          <w:lang w:eastAsia="zh-CN"/>
        </w:rPr>
        <w:t>2.8</w:t>
      </w:r>
      <w:r>
        <w:rPr>
          <w:rFonts w:hint="eastAsia"/>
        </w:rPr>
        <w:t>万元（其中：公务用车购置费</w:t>
      </w:r>
      <w:r>
        <w:t>0</w:t>
      </w:r>
      <w:r>
        <w:rPr>
          <w:rFonts w:hint="eastAsia"/>
        </w:rPr>
        <w:t>万元，公务用车运行维护费</w:t>
      </w:r>
      <w:r>
        <w:rPr>
          <w:lang w:eastAsia="zh-CN"/>
        </w:rPr>
        <w:t>2.8</w:t>
      </w:r>
      <w:r>
        <w:rPr>
          <w:rFonts w:hint="eastAsia"/>
        </w:rPr>
        <w:t>万元</w:t>
      </w:r>
      <w:r>
        <w:t>)</w:t>
      </w:r>
      <w:r>
        <w:rPr>
          <w:rFonts w:hint="eastAsia"/>
        </w:rPr>
        <w:t>。其中公务接待费</w:t>
      </w:r>
      <w:r>
        <w:t>0</w:t>
      </w:r>
      <w:r>
        <w:rPr>
          <w:rFonts w:hint="eastAsia"/>
        </w:rPr>
        <w:t>万元。与</w:t>
      </w:r>
      <w:r>
        <w:t>2021</w:t>
      </w:r>
      <w:r>
        <w:rPr>
          <w:rFonts w:hint="eastAsia"/>
        </w:rPr>
        <w:t>年相比持平无增减变化</w:t>
      </w:r>
      <w:r>
        <w:rPr>
          <w:rFonts w:hint="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年省市栏目配套资金绩效目标表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pPr>
            <w:r>
              <w:t>1.2022</w:t>
            </w:r>
            <w:r>
              <w:rPr>
                <w:rFonts w:hint="eastAsia"/>
              </w:rPr>
              <w:t>年省市栏目配套资金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实际发放工资率</w:t>
            </w:r>
          </w:p>
        </w:tc>
        <w:tc>
          <w:tcPr>
            <w:tcW w:w="2835" w:type="dxa"/>
            <w:vAlign w:val="center"/>
          </w:tcPr>
          <w:p>
            <w:pPr>
              <w:pStyle w:val="21"/>
            </w:pPr>
            <w:r>
              <w:t>2022</w:t>
            </w:r>
            <w:r>
              <w:rPr>
                <w:rFonts w:hint="eastAsia"/>
              </w:rPr>
              <w:t>年实际发放工资人数占应发放工资人数的比例</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工资发放准确率</w:t>
            </w:r>
          </w:p>
        </w:tc>
        <w:tc>
          <w:tcPr>
            <w:tcW w:w="2835" w:type="dxa"/>
            <w:vAlign w:val="center"/>
          </w:tcPr>
          <w:p>
            <w:pPr>
              <w:pStyle w:val="21"/>
            </w:pPr>
            <w:r>
              <w:rPr>
                <w:rFonts w:hint="eastAsia"/>
              </w:rPr>
              <w:t>工资发放准确程度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成本指标</w:t>
            </w:r>
          </w:p>
        </w:tc>
        <w:tc>
          <w:tcPr>
            <w:tcW w:w="2835" w:type="dxa"/>
            <w:vAlign w:val="center"/>
          </w:tcPr>
          <w:p>
            <w:pPr>
              <w:pStyle w:val="21"/>
            </w:pPr>
            <w:r>
              <w:rPr>
                <w:rFonts w:hint="eastAsia"/>
              </w:rPr>
              <w:t>项目预算控制数</w:t>
            </w:r>
          </w:p>
        </w:tc>
        <w:tc>
          <w:tcPr>
            <w:tcW w:w="2835" w:type="dxa"/>
            <w:vAlign w:val="center"/>
          </w:tcPr>
          <w:p>
            <w:pPr>
              <w:pStyle w:val="21"/>
            </w:pPr>
            <w:r>
              <w:rPr>
                <w:rFonts w:hint="eastAsia"/>
              </w:rPr>
              <w:t>人员经费预算金额</w:t>
            </w:r>
          </w:p>
        </w:tc>
        <w:tc>
          <w:tcPr>
            <w:tcW w:w="2551" w:type="dxa"/>
            <w:vAlign w:val="center"/>
          </w:tcPr>
          <w:p>
            <w:pPr>
              <w:pStyle w:val="21"/>
            </w:pPr>
            <w:r>
              <w:rPr>
                <w:rFonts w:hint="eastAsia"/>
              </w:rPr>
              <w:t>保障人员经费足额发放</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保证单位正常运转</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保证工作正常进行</w:t>
            </w:r>
          </w:p>
        </w:tc>
        <w:tc>
          <w:tcPr>
            <w:tcW w:w="2835" w:type="dxa"/>
            <w:vAlign w:val="center"/>
          </w:tcPr>
          <w:p>
            <w:pPr>
              <w:pStyle w:val="21"/>
            </w:pPr>
            <w:r>
              <w:rPr>
                <w:rFonts w:hint="eastAsia"/>
              </w:rPr>
              <w:t>必要的人员经费支出，是保证环保单位运转</w:t>
            </w:r>
          </w:p>
        </w:tc>
        <w:tc>
          <w:tcPr>
            <w:tcW w:w="2551" w:type="dxa"/>
            <w:vAlign w:val="center"/>
          </w:tcPr>
          <w:p>
            <w:pPr>
              <w:pStyle w:val="21"/>
            </w:pPr>
            <w:r>
              <w:rPr>
                <w:rFonts w:hint="eastAsia"/>
              </w:rPr>
              <w:t>保证工作正常进行</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可持续影响指标</w:t>
            </w:r>
          </w:p>
        </w:tc>
        <w:tc>
          <w:tcPr>
            <w:tcW w:w="2835" w:type="dxa"/>
            <w:vAlign w:val="center"/>
          </w:tcPr>
          <w:p>
            <w:pPr>
              <w:pStyle w:val="21"/>
            </w:pPr>
            <w:r>
              <w:rPr>
                <w:rFonts w:hint="eastAsia"/>
              </w:rPr>
              <w:t>保持单位人员稳定</w:t>
            </w:r>
          </w:p>
        </w:tc>
        <w:tc>
          <w:tcPr>
            <w:tcW w:w="2835" w:type="dxa"/>
            <w:vAlign w:val="center"/>
          </w:tcPr>
          <w:p>
            <w:pPr>
              <w:pStyle w:val="21"/>
            </w:pPr>
            <w:r>
              <w:rPr>
                <w:rFonts w:hint="eastAsia"/>
              </w:rPr>
              <w:t>保障人员稳定，保持工作正常有序的进行</w:t>
            </w:r>
          </w:p>
        </w:tc>
        <w:tc>
          <w:tcPr>
            <w:tcW w:w="2551" w:type="dxa"/>
            <w:vAlign w:val="center"/>
          </w:tcPr>
          <w:p>
            <w:pPr>
              <w:pStyle w:val="21"/>
            </w:pPr>
            <w:r>
              <w:rPr>
                <w:rFonts w:hint="eastAsia"/>
              </w:rPr>
              <w:t>保障工作稳定开展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保障机关正常运转，服务热情</w:t>
            </w:r>
          </w:p>
        </w:tc>
        <w:tc>
          <w:tcPr>
            <w:tcW w:w="2551" w:type="dxa"/>
            <w:vAlign w:val="center"/>
          </w:tcPr>
          <w:p>
            <w:pPr>
              <w:pStyle w:val="21"/>
            </w:pPr>
            <w:r>
              <w:t>100%</w:t>
            </w:r>
          </w:p>
        </w:tc>
        <w:tc>
          <w:tcPr>
            <w:tcW w:w="2268" w:type="dxa"/>
            <w:vAlign w:val="center"/>
          </w:tcPr>
          <w:p>
            <w:pPr>
              <w:pStyle w:val="21"/>
            </w:pPr>
            <w:r>
              <w:rPr>
                <w:rFonts w:hint="eastAsia"/>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机关单位工作人员满意度</w:t>
            </w:r>
          </w:p>
        </w:tc>
        <w:tc>
          <w:tcPr>
            <w:tcW w:w="2835" w:type="dxa"/>
            <w:vAlign w:val="center"/>
          </w:tcPr>
          <w:p>
            <w:pPr>
              <w:pStyle w:val="21"/>
            </w:pPr>
            <w:r>
              <w:rPr>
                <w:rFonts w:hint="eastAsia"/>
              </w:rPr>
              <w:t>调查中机关单位人员对单位环境和设施满意和较满意的人数占调查总人数的比率</w:t>
            </w:r>
          </w:p>
        </w:tc>
        <w:tc>
          <w:tcPr>
            <w:tcW w:w="2551" w:type="dxa"/>
            <w:vAlign w:val="center"/>
          </w:tcPr>
          <w:p>
            <w:pPr>
              <w:pStyle w:val="21"/>
            </w:pPr>
            <w:r>
              <w:t>95%</w:t>
            </w:r>
          </w:p>
        </w:tc>
        <w:tc>
          <w:tcPr>
            <w:tcW w:w="2268" w:type="dxa"/>
            <w:vAlign w:val="center"/>
          </w:tcPr>
          <w:p>
            <w:pPr>
              <w:pStyle w:val="21"/>
            </w:pPr>
            <w:r>
              <w:rPr>
                <w:rFonts w:hint="eastAsia"/>
              </w:rP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使用人员满意度</w:t>
            </w:r>
          </w:p>
        </w:tc>
        <w:tc>
          <w:tcPr>
            <w:tcW w:w="2835" w:type="dxa"/>
            <w:vAlign w:val="center"/>
          </w:tcPr>
          <w:p>
            <w:pPr>
              <w:pStyle w:val="21"/>
            </w:pPr>
            <w:r>
              <w:rPr>
                <w:rFonts w:hint="eastAsia"/>
              </w:rPr>
              <w:t>系统使用满意情况</w:t>
            </w:r>
          </w:p>
        </w:tc>
        <w:tc>
          <w:tcPr>
            <w:tcW w:w="2551" w:type="dxa"/>
            <w:vAlign w:val="center"/>
          </w:tcPr>
          <w:p>
            <w:pPr>
              <w:pStyle w:val="21"/>
            </w:pPr>
            <w:r>
              <w:t>95%</w:t>
            </w:r>
          </w:p>
        </w:tc>
        <w:tc>
          <w:tcPr>
            <w:tcW w:w="2268" w:type="dxa"/>
            <w:vAlign w:val="center"/>
          </w:tcPr>
          <w:p>
            <w:pPr>
              <w:pStyle w:val="21"/>
            </w:pPr>
            <w:r>
              <w:rPr>
                <w:rFonts w:hint="eastAsia"/>
              </w:rP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年台聘人员绩效增资资金绩效目标表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pPr>
            <w:r>
              <w:t>1. 2022</w:t>
            </w:r>
            <w:r>
              <w:rPr>
                <w:rFonts w:hint="eastAsia"/>
              </w:rPr>
              <w:t>年台聘人员绩效增资资金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实际发放工资率</w:t>
            </w:r>
          </w:p>
        </w:tc>
        <w:tc>
          <w:tcPr>
            <w:tcW w:w="2835" w:type="dxa"/>
            <w:vAlign w:val="center"/>
          </w:tcPr>
          <w:p>
            <w:pPr>
              <w:pStyle w:val="21"/>
            </w:pPr>
            <w:r>
              <w:t>2022</w:t>
            </w:r>
            <w:r>
              <w:rPr>
                <w:rFonts w:hint="eastAsia"/>
              </w:rPr>
              <w:t>年实际发放工资人数占应发放工资人数的比例</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工资发放准确率</w:t>
            </w:r>
          </w:p>
        </w:tc>
        <w:tc>
          <w:tcPr>
            <w:tcW w:w="2835" w:type="dxa"/>
            <w:vAlign w:val="center"/>
          </w:tcPr>
          <w:p>
            <w:pPr>
              <w:pStyle w:val="21"/>
            </w:pPr>
            <w:r>
              <w:rPr>
                <w:rFonts w:hint="eastAsia"/>
              </w:rPr>
              <w:t>工资发放准确程度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成本指标</w:t>
            </w:r>
          </w:p>
        </w:tc>
        <w:tc>
          <w:tcPr>
            <w:tcW w:w="2835" w:type="dxa"/>
            <w:vAlign w:val="center"/>
          </w:tcPr>
          <w:p>
            <w:pPr>
              <w:pStyle w:val="21"/>
            </w:pPr>
            <w:r>
              <w:rPr>
                <w:rFonts w:hint="eastAsia"/>
              </w:rPr>
              <w:t>项目预算控制数</w:t>
            </w:r>
          </w:p>
        </w:tc>
        <w:tc>
          <w:tcPr>
            <w:tcW w:w="2835" w:type="dxa"/>
            <w:vAlign w:val="center"/>
          </w:tcPr>
          <w:p>
            <w:pPr>
              <w:pStyle w:val="21"/>
            </w:pPr>
            <w:r>
              <w:rPr>
                <w:rFonts w:hint="eastAsia"/>
              </w:rPr>
              <w:t>人员经费预算金额</w:t>
            </w:r>
          </w:p>
        </w:tc>
        <w:tc>
          <w:tcPr>
            <w:tcW w:w="2551" w:type="dxa"/>
            <w:vAlign w:val="center"/>
          </w:tcPr>
          <w:p>
            <w:pPr>
              <w:pStyle w:val="21"/>
            </w:pPr>
            <w:r>
              <w:rPr>
                <w:rFonts w:hint="eastAsia"/>
              </w:rPr>
              <w:t>保障人员经费足额发放</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保证单位正常运转</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保证工作正常进行</w:t>
            </w:r>
          </w:p>
        </w:tc>
        <w:tc>
          <w:tcPr>
            <w:tcW w:w="2835" w:type="dxa"/>
            <w:vAlign w:val="center"/>
          </w:tcPr>
          <w:p>
            <w:pPr>
              <w:pStyle w:val="21"/>
            </w:pPr>
            <w:r>
              <w:rPr>
                <w:rFonts w:hint="eastAsia"/>
              </w:rPr>
              <w:t>必要的人员经费支出，是保证环保单位运转</w:t>
            </w:r>
          </w:p>
        </w:tc>
        <w:tc>
          <w:tcPr>
            <w:tcW w:w="2551" w:type="dxa"/>
            <w:vAlign w:val="center"/>
          </w:tcPr>
          <w:p>
            <w:pPr>
              <w:pStyle w:val="21"/>
            </w:pPr>
            <w:r>
              <w:rPr>
                <w:rFonts w:hint="eastAsia"/>
              </w:rPr>
              <w:t>保证工作正常进行</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可持续影响指标</w:t>
            </w:r>
          </w:p>
        </w:tc>
        <w:tc>
          <w:tcPr>
            <w:tcW w:w="2835" w:type="dxa"/>
            <w:vAlign w:val="center"/>
          </w:tcPr>
          <w:p>
            <w:pPr>
              <w:pStyle w:val="21"/>
            </w:pPr>
            <w:r>
              <w:rPr>
                <w:rFonts w:hint="eastAsia"/>
              </w:rPr>
              <w:t>保持单位人员稳定</w:t>
            </w:r>
          </w:p>
        </w:tc>
        <w:tc>
          <w:tcPr>
            <w:tcW w:w="2835" w:type="dxa"/>
            <w:vAlign w:val="center"/>
          </w:tcPr>
          <w:p>
            <w:pPr>
              <w:pStyle w:val="21"/>
            </w:pPr>
            <w:r>
              <w:rPr>
                <w:rFonts w:hint="eastAsia"/>
              </w:rPr>
              <w:t>保障人员稳定，保持工作正常有序的进行</w:t>
            </w:r>
          </w:p>
        </w:tc>
        <w:tc>
          <w:tcPr>
            <w:tcW w:w="2551" w:type="dxa"/>
            <w:vAlign w:val="center"/>
          </w:tcPr>
          <w:p>
            <w:pPr>
              <w:pStyle w:val="21"/>
            </w:pPr>
            <w:r>
              <w:rPr>
                <w:rFonts w:hint="eastAsia"/>
              </w:rPr>
              <w:t>保障工作稳定开展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保障机关正常运转，服务热情</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服务对象满意度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服务对象满意度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年无极之声报刊费用绩效目标表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pPr>
            <w:r>
              <w:t>1.</w:t>
            </w:r>
            <w:r>
              <w:rPr>
                <w:rFonts w:ascii="方正仿宋_GBK" w:hAnsi="方正仿宋_GBK" w:eastAsia="方正仿宋_GBK" w:cs="方正仿宋_GBK"/>
                <w:color w:val="000000"/>
                <w:szCs w:val="21"/>
              </w:rPr>
              <w:t>2022</w:t>
            </w:r>
            <w:r>
              <w:rPr>
                <w:rFonts w:hint="eastAsia" w:ascii="方正仿宋_GBK" w:hAnsi="方正仿宋_GBK" w:eastAsia="方正仿宋_GBK" w:cs="方正仿宋_GBK"/>
                <w:color w:val="000000"/>
                <w:szCs w:val="21"/>
              </w:rPr>
              <w:t>年无极之声报刊费用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实际发放工资率</w:t>
            </w:r>
          </w:p>
        </w:tc>
        <w:tc>
          <w:tcPr>
            <w:tcW w:w="2835" w:type="dxa"/>
            <w:vAlign w:val="center"/>
          </w:tcPr>
          <w:p>
            <w:pPr>
              <w:pStyle w:val="21"/>
            </w:pPr>
            <w:r>
              <w:t>2022</w:t>
            </w:r>
            <w:r>
              <w:rPr>
                <w:rFonts w:hint="eastAsia"/>
              </w:rPr>
              <w:t>年实际发放工资人数占应发放工资人数的比例</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工资发放准确率</w:t>
            </w:r>
          </w:p>
        </w:tc>
        <w:tc>
          <w:tcPr>
            <w:tcW w:w="2835" w:type="dxa"/>
            <w:vAlign w:val="center"/>
          </w:tcPr>
          <w:p>
            <w:pPr>
              <w:pStyle w:val="21"/>
            </w:pPr>
            <w:r>
              <w:rPr>
                <w:rFonts w:hint="eastAsia"/>
              </w:rPr>
              <w:t>工资发放准确程度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成本指标</w:t>
            </w:r>
          </w:p>
        </w:tc>
        <w:tc>
          <w:tcPr>
            <w:tcW w:w="2835" w:type="dxa"/>
            <w:vAlign w:val="center"/>
          </w:tcPr>
          <w:p>
            <w:pPr>
              <w:pStyle w:val="21"/>
            </w:pPr>
            <w:r>
              <w:rPr>
                <w:rFonts w:hint="eastAsia"/>
              </w:rPr>
              <w:t>项目预算控制数</w:t>
            </w:r>
          </w:p>
        </w:tc>
        <w:tc>
          <w:tcPr>
            <w:tcW w:w="2835" w:type="dxa"/>
            <w:vAlign w:val="center"/>
          </w:tcPr>
          <w:p>
            <w:pPr>
              <w:pStyle w:val="21"/>
            </w:pPr>
            <w:r>
              <w:rPr>
                <w:rFonts w:hint="eastAsia"/>
              </w:rPr>
              <w:t>人员经费预算金额</w:t>
            </w:r>
          </w:p>
        </w:tc>
        <w:tc>
          <w:tcPr>
            <w:tcW w:w="2551" w:type="dxa"/>
            <w:vAlign w:val="center"/>
          </w:tcPr>
          <w:p>
            <w:pPr>
              <w:pStyle w:val="21"/>
            </w:pPr>
            <w:r>
              <w:rPr>
                <w:rFonts w:hint="eastAsia"/>
              </w:rPr>
              <w:t>保障人员经费足额发放</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保证单位正常运转</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保证工作正常进行</w:t>
            </w:r>
          </w:p>
        </w:tc>
        <w:tc>
          <w:tcPr>
            <w:tcW w:w="2835" w:type="dxa"/>
            <w:vAlign w:val="center"/>
          </w:tcPr>
          <w:p>
            <w:pPr>
              <w:pStyle w:val="21"/>
            </w:pPr>
            <w:r>
              <w:rPr>
                <w:rFonts w:hint="eastAsia"/>
              </w:rPr>
              <w:t>必要的人员经费支出，是保证环保单位运转</w:t>
            </w:r>
          </w:p>
        </w:tc>
        <w:tc>
          <w:tcPr>
            <w:tcW w:w="2551" w:type="dxa"/>
            <w:vAlign w:val="center"/>
          </w:tcPr>
          <w:p>
            <w:pPr>
              <w:pStyle w:val="21"/>
            </w:pPr>
            <w:r>
              <w:rPr>
                <w:rFonts w:hint="eastAsia"/>
              </w:rPr>
              <w:t>保证工作正常进行</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可持续影响指标</w:t>
            </w:r>
          </w:p>
        </w:tc>
        <w:tc>
          <w:tcPr>
            <w:tcW w:w="2835" w:type="dxa"/>
            <w:vAlign w:val="center"/>
          </w:tcPr>
          <w:p>
            <w:pPr>
              <w:pStyle w:val="21"/>
            </w:pPr>
            <w:r>
              <w:rPr>
                <w:rFonts w:hint="eastAsia"/>
              </w:rPr>
              <w:t>保持单位人员稳定</w:t>
            </w:r>
          </w:p>
        </w:tc>
        <w:tc>
          <w:tcPr>
            <w:tcW w:w="2835" w:type="dxa"/>
            <w:vAlign w:val="center"/>
          </w:tcPr>
          <w:p>
            <w:pPr>
              <w:pStyle w:val="21"/>
            </w:pPr>
            <w:r>
              <w:rPr>
                <w:rFonts w:hint="eastAsia"/>
              </w:rPr>
              <w:t>保障人员稳定，保持工作正常有序的进行</w:t>
            </w:r>
          </w:p>
        </w:tc>
        <w:tc>
          <w:tcPr>
            <w:tcW w:w="2551" w:type="dxa"/>
            <w:vAlign w:val="center"/>
          </w:tcPr>
          <w:p>
            <w:pPr>
              <w:pStyle w:val="21"/>
            </w:pPr>
            <w:r>
              <w:rPr>
                <w:rFonts w:hint="eastAsia"/>
              </w:rPr>
              <w:t>保障工作稳定开展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职工满意度</w:t>
            </w:r>
          </w:p>
        </w:tc>
        <w:tc>
          <w:tcPr>
            <w:tcW w:w="2551" w:type="dxa"/>
            <w:vAlign w:val="center"/>
          </w:tcPr>
          <w:p>
            <w:pPr>
              <w:pStyle w:val="21"/>
            </w:pPr>
            <w:r>
              <w:t>100%</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服务对象满意度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服务对象满意度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年县级文化公共服务体系建设资金绩效目标表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pPr>
            <w:r>
              <w:t>1.</w:t>
            </w:r>
            <w:r>
              <w:rPr>
                <w:rFonts w:ascii="方正仿宋_GBK" w:hAnsi="方正仿宋_GBK" w:eastAsia="方正仿宋_GBK" w:cs="方正仿宋_GBK"/>
                <w:color w:val="000000"/>
                <w:szCs w:val="21"/>
              </w:rPr>
              <w:t>2022</w:t>
            </w:r>
            <w:r>
              <w:rPr>
                <w:rFonts w:hint="eastAsia" w:ascii="方正仿宋_GBK" w:hAnsi="方正仿宋_GBK" w:eastAsia="方正仿宋_GBK" w:cs="方正仿宋_GBK"/>
                <w:color w:val="000000"/>
                <w:szCs w:val="21"/>
              </w:rPr>
              <w:t>年县级文化公共服务体系建设资金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实际发放工资率</w:t>
            </w:r>
          </w:p>
        </w:tc>
        <w:tc>
          <w:tcPr>
            <w:tcW w:w="2835" w:type="dxa"/>
            <w:vAlign w:val="center"/>
          </w:tcPr>
          <w:p>
            <w:pPr>
              <w:pStyle w:val="21"/>
            </w:pPr>
            <w:r>
              <w:t>2022</w:t>
            </w:r>
            <w:r>
              <w:rPr>
                <w:rFonts w:hint="eastAsia"/>
              </w:rPr>
              <w:t>年实际发放工资人数占应发放工资人数的比例</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工资发放准确率</w:t>
            </w:r>
          </w:p>
        </w:tc>
        <w:tc>
          <w:tcPr>
            <w:tcW w:w="2835" w:type="dxa"/>
            <w:vAlign w:val="center"/>
          </w:tcPr>
          <w:p>
            <w:pPr>
              <w:pStyle w:val="21"/>
            </w:pPr>
            <w:r>
              <w:rPr>
                <w:rFonts w:hint="eastAsia"/>
              </w:rPr>
              <w:t>工资发放准确程度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成本指标</w:t>
            </w:r>
          </w:p>
        </w:tc>
        <w:tc>
          <w:tcPr>
            <w:tcW w:w="2835" w:type="dxa"/>
            <w:vAlign w:val="center"/>
          </w:tcPr>
          <w:p>
            <w:pPr>
              <w:pStyle w:val="21"/>
            </w:pPr>
            <w:r>
              <w:rPr>
                <w:rFonts w:hint="eastAsia"/>
              </w:rPr>
              <w:t>项目预算控制数</w:t>
            </w:r>
          </w:p>
        </w:tc>
        <w:tc>
          <w:tcPr>
            <w:tcW w:w="2835" w:type="dxa"/>
            <w:vAlign w:val="center"/>
          </w:tcPr>
          <w:p>
            <w:pPr>
              <w:pStyle w:val="21"/>
            </w:pPr>
            <w:r>
              <w:rPr>
                <w:rFonts w:hint="eastAsia"/>
              </w:rPr>
              <w:t>人员经费预算金额</w:t>
            </w:r>
          </w:p>
        </w:tc>
        <w:tc>
          <w:tcPr>
            <w:tcW w:w="2551" w:type="dxa"/>
            <w:vAlign w:val="center"/>
          </w:tcPr>
          <w:p>
            <w:pPr>
              <w:pStyle w:val="21"/>
            </w:pPr>
            <w:r>
              <w:rPr>
                <w:rFonts w:hint="eastAsia"/>
              </w:rPr>
              <w:t>保障人员经费足额发放</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保证单位正常运转</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保证工作正常进行</w:t>
            </w:r>
          </w:p>
        </w:tc>
        <w:tc>
          <w:tcPr>
            <w:tcW w:w="2835" w:type="dxa"/>
            <w:vAlign w:val="center"/>
          </w:tcPr>
          <w:p>
            <w:pPr>
              <w:pStyle w:val="21"/>
            </w:pPr>
            <w:r>
              <w:rPr>
                <w:rFonts w:hint="eastAsia"/>
              </w:rPr>
              <w:t>必要的人员经费支出，是保证环保单位运转</w:t>
            </w:r>
          </w:p>
        </w:tc>
        <w:tc>
          <w:tcPr>
            <w:tcW w:w="2551" w:type="dxa"/>
            <w:vAlign w:val="center"/>
          </w:tcPr>
          <w:p>
            <w:pPr>
              <w:pStyle w:val="21"/>
            </w:pPr>
            <w:r>
              <w:rPr>
                <w:rFonts w:hint="eastAsia"/>
              </w:rPr>
              <w:t>保证工作正常进行</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保持单位人员稳定</w:t>
            </w:r>
          </w:p>
        </w:tc>
        <w:tc>
          <w:tcPr>
            <w:tcW w:w="2835" w:type="dxa"/>
            <w:vAlign w:val="center"/>
          </w:tcPr>
          <w:p>
            <w:pPr>
              <w:pStyle w:val="21"/>
            </w:pPr>
            <w:r>
              <w:rPr>
                <w:rFonts w:hint="eastAsia"/>
              </w:rPr>
              <w:t>保障人员稳定，保持工作正常有序的进行</w:t>
            </w:r>
          </w:p>
        </w:tc>
        <w:tc>
          <w:tcPr>
            <w:tcW w:w="2551" w:type="dxa"/>
            <w:vAlign w:val="center"/>
          </w:tcPr>
          <w:p>
            <w:pPr>
              <w:pStyle w:val="21"/>
            </w:pPr>
            <w:r>
              <w:rPr>
                <w:rFonts w:hint="eastAsia"/>
              </w:rPr>
              <w:t>保障工作稳定开展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可持续影响指标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保障机关正常运转，服务热情</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使用人员满意度</w:t>
            </w:r>
          </w:p>
        </w:tc>
        <w:tc>
          <w:tcPr>
            <w:tcW w:w="2835" w:type="dxa"/>
            <w:vAlign w:val="center"/>
          </w:tcPr>
          <w:p>
            <w:pPr>
              <w:pStyle w:val="21"/>
            </w:pPr>
            <w:r>
              <w:rPr>
                <w:rFonts w:hint="eastAsia"/>
              </w:rPr>
              <w:t>使用人员满意度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根据人员满意度</w:t>
            </w:r>
          </w:p>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机关单位工作人员满意度</w:t>
            </w:r>
          </w:p>
        </w:tc>
        <w:tc>
          <w:tcPr>
            <w:tcW w:w="2835" w:type="dxa"/>
            <w:vAlign w:val="center"/>
          </w:tcPr>
          <w:p>
            <w:pPr>
              <w:pStyle w:val="21"/>
            </w:pPr>
            <w:r>
              <w:rPr>
                <w:rFonts w:hint="eastAsia"/>
              </w:rPr>
              <w:t>机关单位工作人员满意度</w:t>
            </w:r>
          </w:p>
        </w:tc>
        <w:tc>
          <w:tcPr>
            <w:tcW w:w="2551" w:type="dxa"/>
            <w:vAlign w:val="center"/>
          </w:tcPr>
          <w:p>
            <w:pPr>
              <w:pStyle w:val="21"/>
            </w:pPr>
            <w:r>
              <w:rPr>
                <w:rFonts w:hint="eastAsia"/>
              </w:rPr>
              <w:t>≥</w:t>
            </w:r>
            <w:r>
              <w:t>95%</w:t>
            </w:r>
          </w:p>
        </w:tc>
        <w:tc>
          <w:tcPr>
            <w:tcW w:w="2268" w:type="dxa"/>
            <w:vAlign w:val="center"/>
          </w:tcPr>
          <w:p>
            <w:pPr>
              <w:pStyle w:val="21"/>
            </w:pPr>
            <w:r>
              <w:rPr>
                <w:rFonts w:hint="eastAsia"/>
              </w:rPr>
              <w:t>根据人员满意度</w:t>
            </w:r>
          </w:p>
          <w:p>
            <w:pPr>
              <w:pStyle w:val="21"/>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年新闻采编播辅助人员经费绩效目标表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pPr>
            <w:r>
              <w:t>1. 2022</w:t>
            </w:r>
            <w:r>
              <w:rPr>
                <w:rFonts w:hint="eastAsia"/>
              </w:rPr>
              <w:t>年新闻采编播辅助人员经费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实际发放工资率</w:t>
            </w:r>
          </w:p>
        </w:tc>
        <w:tc>
          <w:tcPr>
            <w:tcW w:w="2835" w:type="dxa"/>
            <w:vAlign w:val="center"/>
          </w:tcPr>
          <w:p>
            <w:pPr>
              <w:pStyle w:val="21"/>
            </w:pPr>
            <w:r>
              <w:t>2022</w:t>
            </w:r>
            <w:r>
              <w:rPr>
                <w:rFonts w:hint="eastAsia"/>
              </w:rPr>
              <w:t>年实际发放工资人数占应发放工资人数的比例</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工资发放准确率</w:t>
            </w:r>
          </w:p>
        </w:tc>
        <w:tc>
          <w:tcPr>
            <w:tcW w:w="2835" w:type="dxa"/>
            <w:vAlign w:val="center"/>
          </w:tcPr>
          <w:p>
            <w:pPr>
              <w:pStyle w:val="21"/>
            </w:pPr>
            <w:r>
              <w:rPr>
                <w:rFonts w:hint="eastAsia"/>
              </w:rPr>
              <w:t>工资发放准确程度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成本指标</w:t>
            </w:r>
          </w:p>
        </w:tc>
        <w:tc>
          <w:tcPr>
            <w:tcW w:w="2835" w:type="dxa"/>
            <w:vAlign w:val="center"/>
          </w:tcPr>
          <w:p>
            <w:pPr>
              <w:pStyle w:val="21"/>
            </w:pPr>
            <w:r>
              <w:rPr>
                <w:rFonts w:hint="eastAsia"/>
              </w:rPr>
              <w:t>项目预算控制数</w:t>
            </w:r>
          </w:p>
        </w:tc>
        <w:tc>
          <w:tcPr>
            <w:tcW w:w="2835" w:type="dxa"/>
            <w:vAlign w:val="center"/>
          </w:tcPr>
          <w:p>
            <w:pPr>
              <w:pStyle w:val="21"/>
            </w:pPr>
            <w:r>
              <w:rPr>
                <w:rFonts w:hint="eastAsia"/>
              </w:rPr>
              <w:t>人员经费预算金额</w:t>
            </w:r>
          </w:p>
        </w:tc>
        <w:tc>
          <w:tcPr>
            <w:tcW w:w="2551" w:type="dxa"/>
            <w:vAlign w:val="center"/>
          </w:tcPr>
          <w:p>
            <w:pPr>
              <w:pStyle w:val="21"/>
            </w:pPr>
            <w:r>
              <w:rPr>
                <w:rFonts w:hint="eastAsia"/>
              </w:rPr>
              <w:t>保障人员经费足额发放</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保证单位正常运转</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保证工作正常进行</w:t>
            </w:r>
          </w:p>
        </w:tc>
        <w:tc>
          <w:tcPr>
            <w:tcW w:w="2835" w:type="dxa"/>
            <w:vAlign w:val="center"/>
          </w:tcPr>
          <w:p>
            <w:pPr>
              <w:pStyle w:val="21"/>
            </w:pPr>
            <w:r>
              <w:rPr>
                <w:rFonts w:hint="eastAsia"/>
              </w:rPr>
              <w:t>必要的人员经费支出，是保证环保单位运转</w:t>
            </w:r>
          </w:p>
        </w:tc>
        <w:tc>
          <w:tcPr>
            <w:tcW w:w="2551" w:type="dxa"/>
            <w:vAlign w:val="center"/>
          </w:tcPr>
          <w:p>
            <w:pPr>
              <w:pStyle w:val="21"/>
            </w:pPr>
            <w:r>
              <w:rPr>
                <w:rFonts w:hint="eastAsia"/>
              </w:rPr>
              <w:t>保证工作正常进行</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可持续影响指标</w:t>
            </w:r>
          </w:p>
        </w:tc>
        <w:tc>
          <w:tcPr>
            <w:tcW w:w="2835" w:type="dxa"/>
            <w:vAlign w:val="center"/>
          </w:tcPr>
          <w:p>
            <w:pPr>
              <w:pStyle w:val="21"/>
            </w:pPr>
            <w:r>
              <w:rPr>
                <w:rFonts w:hint="eastAsia"/>
              </w:rPr>
              <w:t>保持单位人员稳定</w:t>
            </w:r>
          </w:p>
        </w:tc>
        <w:tc>
          <w:tcPr>
            <w:tcW w:w="2835" w:type="dxa"/>
            <w:vAlign w:val="center"/>
          </w:tcPr>
          <w:p>
            <w:pPr>
              <w:pStyle w:val="21"/>
            </w:pPr>
            <w:r>
              <w:rPr>
                <w:rFonts w:hint="eastAsia"/>
              </w:rPr>
              <w:t>保障人员稳定，保持工作正常有序的进行</w:t>
            </w:r>
          </w:p>
        </w:tc>
        <w:tc>
          <w:tcPr>
            <w:tcW w:w="2551" w:type="dxa"/>
            <w:vAlign w:val="center"/>
          </w:tcPr>
          <w:p>
            <w:pPr>
              <w:pStyle w:val="21"/>
            </w:pPr>
            <w:r>
              <w:rPr>
                <w:rFonts w:hint="eastAsia"/>
              </w:rPr>
              <w:t>保障工作稳定开展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保障机关正常运转，服务热情</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发放工资人员对工资的满意度</w:t>
            </w:r>
          </w:p>
        </w:tc>
        <w:tc>
          <w:tcPr>
            <w:tcW w:w="2551" w:type="dxa"/>
            <w:vAlign w:val="center"/>
          </w:tcPr>
          <w:p>
            <w:pPr>
              <w:pStyle w:val="21"/>
            </w:pPr>
            <w:r>
              <w:t>100%</w:t>
            </w:r>
          </w:p>
        </w:tc>
        <w:tc>
          <w:tcPr>
            <w:tcW w:w="2268" w:type="dxa"/>
            <w:vAlign w:val="center"/>
          </w:tcPr>
          <w:p>
            <w:pPr>
              <w:pStyle w:val="21"/>
            </w:pPr>
            <w:r>
              <w:rPr>
                <w:rFonts w:hint="eastAsia"/>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职工满意度</w:t>
            </w:r>
          </w:p>
        </w:tc>
        <w:tc>
          <w:tcPr>
            <w:tcW w:w="2551" w:type="dxa"/>
            <w:vAlign w:val="center"/>
          </w:tcPr>
          <w:p>
            <w:pPr>
              <w:pStyle w:val="21"/>
            </w:pPr>
            <w:r>
              <w:t>100%</w:t>
            </w:r>
          </w:p>
        </w:tc>
        <w:tc>
          <w:tcPr>
            <w:tcW w:w="2268" w:type="dxa"/>
            <w:vAlign w:val="center"/>
          </w:tcPr>
          <w:p>
            <w:pPr>
              <w:pStyle w:val="21"/>
            </w:pPr>
            <w:r>
              <w:rPr>
                <w:rFonts w:hint="eastAsia"/>
              </w:rPr>
              <w:t>实际发放情况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、关于提前下达</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年中央补助地方公共文化服务体系建设专项资金的通知绩效目标表</w:t>
      </w:r>
    </w:p>
    <w:tbl>
      <w:tblPr>
        <w:tblStyle w:val="10"/>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top w:val="single" w:color="000000" w:sz="6" w:space="0"/>
              <w:bottom w:val="single" w:color="FFFFFF" w:sz="6" w:space="0"/>
            </w:tcBorders>
            <w:vAlign w:val="center"/>
          </w:tcPr>
          <w:p>
            <w:pPr>
              <w:pStyle w:val="19"/>
            </w:pPr>
            <w:r>
              <w:rPr>
                <w:rFonts w:hint="eastAsia"/>
              </w:rPr>
              <w:t>绩效目标</w:t>
            </w:r>
          </w:p>
        </w:tc>
        <w:tc>
          <w:tcPr>
            <w:tcW w:w="12756" w:type="dxa"/>
            <w:tcBorders>
              <w:top w:val="single" w:color="000000" w:sz="6" w:space="0"/>
              <w:bottom w:val="single" w:color="FFFFFF" w:sz="6" w:space="0"/>
            </w:tcBorders>
            <w:vAlign w:val="center"/>
          </w:tcPr>
          <w:p>
            <w:pPr>
              <w:pStyle w:val="21"/>
            </w:pPr>
            <w:r>
              <w:t>1.</w:t>
            </w:r>
            <w:r>
              <w:rPr>
                <w:rFonts w:hint="eastAsia"/>
              </w:rPr>
              <w:t>保障单位日常工作顺利开展</w:t>
            </w:r>
          </w:p>
          <w:p>
            <w:pPr>
              <w:pStyle w:val="21"/>
            </w:pPr>
            <w:r>
              <w:t>2.</w:t>
            </w:r>
            <w:r>
              <w:rPr>
                <w:rFonts w:hint="eastAsia"/>
              </w:rPr>
              <w:t>及时完成日常工作</w:t>
            </w:r>
          </w:p>
          <w:p>
            <w:pPr>
              <w:pStyle w:val="21"/>
            </w:pPr>
            <w:r>
              <w:t>3.</w:t>
            </w:r>
            <w:r>
              <w:rPr>
                <w:rFonts w:hint="eastAsia"/>
              </w:rPr>
              <w:t>保障职工满意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9"/>
            </w:pPr>
            <w:r>
              <w:rPr>
                <w:rFonts w:hint="eastAsia"/>
              </w:rPr>
              <w:t>一级指标</w:t>
            </w:r>
          </w:p>
        </w:tc>
        <w:tc>
          <w:tcPr>
            <w:tcW w:w="2268" w:type="dxa"/>
            <w:vAlign w:val="center"/>
          </w:tcPr>
          <w:p>
            <w:pPr>
              <w:pStyle w:val="19"/>
            </w:pPr>
            <w:r>
              <w:rPr>
                <w:rFonts w:hint="eastAsia"/>
              </w:rPr>
              <w:t>二级指标</w:t>
            </w:r>
          </w:p>
        </w:tc>
        <w:tc>
          <w:tcPr>
            <w:tcW w:w="2835" w:type="dxa"/>
            <w:vAlign w:val="center"/>
          </w:tcPr>
          <w:p>
            <w:pPr>
              <w:pStyle w:val="19"/>
            </w:pPr>
            <w:r>
              <w:rPr>
                <w:rFonts w:hint="eastAsia"/>
              </w:rPr>
              <w:t>三级指标</w:t>
            </w:r>
          </w:p>
        </w:tc>
        <w:tc>
          <w:tcPr>
            <w:tcW w:w="2835" w:type="dxa"/>
            <w:vAlign w:val="center"/>
          </w:tcPr>
          <w:p>
            <w:pPr>
              <w:pStyle w:val="19"/>
            </w:pPr>
            <w:r>
              <w:rPr>
                <w:rFonts w:hint="eastAsia"/>
              </w:rPr>
              <w:t>绩效指标描述</w:t>
            </w:r>
          </w:p>
        </w:tc>
        <w:tc>
          <w:tcPr>
            <w:tcW w:w="2551" w:type="dxa"/>
            <w:vAlign w:val="center"/>
          </w:tcPr>
          <w:p>
            <w:pPr>
              <w:pStyle w:val="19"/>
            </w:pPr>
            <w:r>
              <w:rPr>
                <w:rFonts w:hint="eastAsia"/>
              </w:rPr>
              <w:t>指标值</w:t>
            </w:r>
          </w:p>
        </w:tc>
        <w:tc>
          <w:tcPr>
            <w:tcW w:w="2268" w:type="dxa"/>
            <w:vAlign w:val="center"/>
          </w:tcPr>
          <w:p>
            <w:pPr>
              <w:pStyle w:val="1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产出指标</w:t>
            </w:r>
          </w:p>
        </w:tc>
        <w:tc>
          <w:tcPr>
            <w:tcW w:w="2268" w:type="dxa"/>
            <w:vAlign w:val="center"/>
          </w:tcPr>
          <w:p>
            <w:pPr>
              <w:pStyle w:val="21"/>
            </w:pPr>
            <w:r>
              <w:rPr>
                <w:rFonts w:hint="eastAsia"/>
              </w:rPr>
              <w:t>数量指标</w:t>
            </w:r>
          </w:p>
        </w:tc>
        <w:tc>
          <w:tcPr>
            <w:tcW w:w="2835" w:type="dxa"/>
            <w:vAlign w:val="center"/>
          </w:tcPr>
          <w:p>
            <w:pPr>
              <w:pStyle w:val="21"/>
            </w:pPr>
            <w:r>
              <w:rPr>
                <w:rFonts w:hint="eastAsia"/>
              </w:rPr>
              <w:t>按时支付水电暖等日常费用</w:t>
            </w:r>
          </w:p>
        </w:tc>
        <w:tc>
          <w:tcPr>
            <w:tcW w:w="2835" w:type="dxa"/>
            <w:vAlign w:val="center"/>
          </w:tcPr>
          <w:p>
            <w:pPr>
              <w:pStyle w:val="21"/>
            </w:pPr>
            <w:r>
              <w:rPr>
                <w:rFonts w:hint="eastAsia"/>
              </w:rPr>
              <w:t>按时支付水电暖等日常费用</w:t>
            </w:r>
          </w:p>
        </w:tc>
        <w:tc>
          <w:tcPr>
            <w:tcW w:w="2551" w:type="dxa"/>
            <w:vAlign w:val="center"/>
          </w:tcPr>
          <w:p>
            <w:pPr>
              <w:pStyle w:val="21"/>
            </w:pPr>
            <w:r>
              <w:rPr>
                <w:rFonts w:hint="eastAsia"/>
              </w:rPr>
              <w:t>按时支付水电暖等日常费用</w:t>
            </w:r>
          </w:p>
        </w:tc>
        <w:tc>
          <w:tcPr>
            <w:tcW w:w="2268" w:type="dxa"/>
            <w:vAlign w:val="center"/>
          </w:tcPr>
          <w:p>
            <w:pPr>
              <w:pStyle w:val="21"/>
            </w:pPr>
            <w:r>
              <w:rPr>
                <w:rFonts w:hint="eastAsia"/>
              </w:rPr>
              <w:t>按时支付水电暖等日常费用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质量指标</w:t>
            </w:r>
          </w:p>
        </w:tc>
        <w:tc>
          <w:tcPr>
            <w:tcW w:w="2835" w:type="dxa"/>
            <w:vAlign w:val="center"/>
          </w:tcPr>
          <w:p>
            <w:pPr>
              <w:pStyle w:val="21"/>
            </w:pPr>
            <w:r>
              <w:rPr>
                <w:rFonts w:hint="eastAsia"/>
              </w:rPr>
              <w:t>机关运行质量</w:t>
            </w:r>
          </w:p>
        </w:tc>
        <w:tc>
          <w:tcPr>
            <w:tcW w:w="2835" w:type="dxa"/>
            <w:vAlign w:val="center"/>
          </w:tcPr>
          <w:p>
            <w:pPr>
              <w:pStyle w:val="21"/>
            </w:pPr>
            <w:r>
              <w:rPr>
                <w:rFonts w:hint="eastAsia"/>
              </w:rPr>
              <w:t>机关运行质量</w:t>
            </w:r>
          </w:p>
        </w:tc>
        <w:tc>
          <w:tcPr>
            <w:tcW w:w="2551" w:type="dxa"/>
            <w:vAlign w:val="center"/>
          </w:tcPr>
          <w:p>
            <w:pPr>
              <w:pStyle w:val="21"/>
            </w:pPr>
            <w:r>
              <w:rPr>
                <w:rFonts w:hint="eastAsia"/>
              </w:rPr>
              <w:t>机关运行质量</w:t>
            </w:r>
          </w:p>
        </w:tc>
        <w:tc>
          <w:tcPr>
            <w:tcW w:w="2268" w:type="dxa"/>
            <w:vAlign w:val="center"/>
          </w:tcPr>
          <w:p>
            <w:pPr>
              <w:pStyle w:val="21"/>
            </w:pPr>
            <w:r>
              <w:rPr>
                <w:rFonts w:hint="eastAsia"/>
              </w:rPr>
              <w:t>机关运行质量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时效指标</w:t>
            </w:r>
          </w:p>
        </w:tc>
        <w:tc>
          <w:tcPr>
            <w:tcW w:w="2835" w:type="dxa"/>
            <w:vAlign w:val="center"/>
          </w:tcPr>
          <w:p>
            <w:pPr>
              <w:pStyle w:val="21"/>
            </w:pPr>
            <w:r>
              <w:rPr>
                <w:rFonts w:hint="eastAsia"/>
              </w:rPr>
              <w:t>资金支付及时率</w:t>
            </w:r>
          </w:p>
        </w:tc>
        <w:tc>
          <w:tcPr>
            <w:tcW w:w="2835" w:type="dxa"/>
            <w:vAlign w:val="center"/>
          </w:tcPr>
          <w:p>
            <w:pPr>
              <w:pStyle w:val="21"/>
            </w:pPr>
            <w:r>
              <w:rPr>
                <w:rFonts w:hint="eastAsia"/>
              </w:rPr>
              <w:t>资金支付及时率</w:t>
            </w:r>
          </w:p>
        </w:tc>
        <w:tc>
          <w:tcPr>
            <w:tcW w:w="2551" w:type="dxa"/>
            <w:vAlign w:val="center"/>
          </w:tcPr>
          <w:p>
            <w:pPr>
              <w:pStyle w:val="21"/>
            </w:pPr>
            <w:r>
              <w:t>100%</w:t>
            </w:r>
          </w:p>
        </w:tc>
        <w:tc>
          <w:tcPr>
            <w:tcW w:w="2268" w:type="dxa"/>
            <w:vAlign w:val="center"/>
          </w:tcPr>
          <w:p>
            <w:pPr>
              <w:pStyle w:val="21"/>
            </w:pPr>
            <w:r>
              <w:rPr>
                <w:rFonts w:hint="eastAsia"/>
              </w:rPr>
              <w:t>资金支付及时率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效益指标</w:t>
            </w:r>
          </w:p>
        </w:tc>
        <w:tc>
          <w:tcPr>
            <w:tcW w:w="2268" w:type="dxa"/>
            <w:vAlign w:val="center"/>
          </w:tcPr>
          <w:p>
            <w:pPr>
              <w:pStyle w:val="21"/>
            </w:pPr>
            <w:r>
              <w:rPr>
                <w:rFonts w:hint="eastAsia"/>
              </w:rPr>
              <w:t>经济效益指标</w:t>
            </w:r>
          </w:p>
        </w:tc>
        <w:tc>
          <w:tcPr>
            <w:tcW w:w="2835" w:type="dxa"/>
            <w:vAlign w:val="center"/>
          </w:tcPr>
          <w:p>
            <w:pPr>
              <w:pStyle w:val="21"/>
            </w:pPr>
            <w:r>
              <w:rPr>
                <w:rFonts w:hint="eastAsia"/>
              </w:rPr>
              <w:t>工作正常运转完成率</w:t>
            </w:r>
          </w:p>
        </w:tc>
        <w:tc>
          <w:tcPr>
            <w:tcW w:w="2835" w:type="dxa"/>
            <w:vAlign w:val="center"/>
          </w:tcPr>
          <w:p>
            <w:pPr>
              <w:pStyle w:val="21"/>
            </w:pPr>
            <w:r>
              <w:rPr>
                <w:rFonts w:hint="eastAsia"/>
              </w:rPr>
              <w:t>确保本单位的工作正常运转</w:t>
            </w:r>
          </w:p>
        </w:tc>
        <w:tc>
          <w:tcPr>
            <w:tcW w:w="2551" w:type="dxa"/>
            <w:vAlign w:val="center"/>
          </w:tcPr>
          <w:p>
            <w:pPr>
              <w:pStyle w:val="21"/>
            </w:pPr>
            <w:r>
              <w:rPr>
                <w:rFonts w:hint="eastAsia"/>
              </w:rPr>
              <w:t>确保本单位的工作正常运转</w:t>
            </w:r>
          </w:p>
        </w:tc>
        <w:tc>
          <w:tcPr>
            <w:tcW w:w="2268" w:type="dxa"/>
            <w:vAlign w:val="center"/>
          </w:tcPr>
          <w:p>
            <w:pPr>
              <w:pStyle w:val="21"/>
            </w:pPr>
            <w:r>
              <w:rPr>
                <w:rFonts w:hint="eastAsia"/>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社会效益指标</w:t>
            </w:r>
          </w:p>
        </w:tc>
        <w:tc>
          <w:tcPr>
            <w:tcW w:w="2835" w:type="dxa"/>
            <w:vAlign w:val="center"/>
          </w:tcPr>
          <w:p>
            <w:pPr>
              <w:pStyle w:val="21"/>
            </w:pPr>
            <w:r>
              <w:rPr>
                <w:rFonts w:hint="eastAsia"/>
              </w:rPr>
              <w:t>保障机关单位正常运转</w:t>
            </w:r>
          </w:p>
        </w:tc>
        <w:tc>
          <w:tcPr>
            <w:tcW w:w="2835" w:type="dxa"/>
            <w:vAlign w:val="center"/>
          </w:tcPr>
          <w:p>
            <w:pPr>
              <w:pStyle w:val="21"/>
            </w:pPr>
            <w:r>
              <w:rPr>
                <w:rFonts w:hint="eastAsia"/>
              </w:rPr>
              <w:t>通过开展维修、购置等工作</w:t>
            </w:r>
          </w:p>
        </w:tc>
        <w:tc>
          <w:tcPr>
            <w:tcW w:w="2551" w:type="dxa"/>
            <w:vAlign w:val="center"/>
          </w:tcPr>
          <w:p>
            <w:pPr>
              <w:pStyle w:val="21"/>
            </w:pPr>
            <w:r>
              <w:rPr>
                <w:rFonts w:hint="eastAsia"/>
              </w:rPr>
              <w:t>保障机关单位正常运转</w:t>
            </w:r>
          </w:p>
        </w:tc>
        <w:tc>
          <w:tcPr>
            <w:tcW w:w="2268" w:type="dxa"/>
            <w:vAlign w:val="center"/>
          </w:tcPr>
          <w:p>
            <w:pPr>
              <w:pStyle w:val="21"/>
            </w:pPr>
            <w:r>
              <w:rPr>
                <w:rFonts w:hint="eastAsia"/>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生态效益指标</w:t>
            </w:r>
          </w:p>
        </w:tc>
        <w:tc>
          <w:tcPr>
            <w:tcW w:w="2835" w:type="dxa"/>
            <w:vAlign w:val="center"/>
          </w:tcPr>
          <w:p>
            <w:pPr>
              <w:pStyle w:val="21"/>
            </w:pPr>
            <w:r>
              <w:rPr>
                <w:rFonts w:hint="eastAsia"/>
              </w:rPr>
              <w:t>社会发展保障力</w:t>
            </w:r>
          </w:p>
        </w:tc>
        <w:tc>
          <w:tcPr>
            <w:tcW w:w="2835" w:type="dxa"/>
            <w:vAlign w:val="center"/>
          </w:tcPr>
          <w:p>
            <w:pPr>
              <w:pStyle w:val="21"/>
            </w:pPr>
            <w:r>
              <w:rPr>
                <w:rFonts w:hint="eastAsia"/>
              </w:rPr>
              <w:t>社会发展保障力</w:t>
            </w:r>
          </w:p>
        </w:tc>
        <w:tc>
          <w:tcPr>
            <w:tcW w:w="2551" w:type="dxa"/>
            <w:vAlign w:val="center"/>
          </w:tcPr>
          <w:p>
            <w:pPr>
              <w:pStyle w:val="21"/>
            </w:pPr>
            <w:r>
              <w:rPr>
                <w:rFonts w:hint="eastAsia"/>
              </w:rPr>
              <w:t>保障社会发展</w:t>
            </w:r>
          </w:p>
        </w:tc>
        <w:tc>
          <w:tcPr>
            <w:tcW w:w="2268" w:type="dxa"/>
            <w:vAlign w:val="center"/>
          </w:tcPr>
          <w:p>
            <w:pPr>
              <w:pStyle w:val="21"/>
            </w:pPr>
            <w:r>
              <w:rPr>
                <w:rFonts w:hint="eastAsia"/>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2"/>
            </w:pPr>
            <w:r>
              <w:rPr>
                <w:rFonts w:hint="eastAsia"/>
              </w:rPr>
              <w:t>满意度指标</w:t>
            </w: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干部职工满意度指标</w:t>
            </w:r>
          </w:p>
        </w:tc>
        <w:tc>
          <w:tcPr>
            <w:tcW w:w="2835" w:type="dxa"/>
            <w:vAlign w:val="center"/>
          </w:tcPr>
          <w:p>
            <w:pPr>
              <w:pStyle w:val="21"/>
            </w:pPr>
            <w:r>
              <w:rPr>
                <w:rFonts w:hint="eastAsia"/>
              </w:rPr>
              <w:t>保障机关正常运转，服务热情</w:t>
            </w:r>
          </w:p>
        </w:tc>
        <w:tc>
          <w:tcPr>
            <w:tcW w:w="2551" w:type="dxa"/>
            <w:vAlign w:val="center"/>
          </w:tcPr>
          <w:p>
            <w:pPr>
              <w:pStyle w:val="21"/>
            </w:pPr>
            <w:r>
              <w:t>100%</w:t>
            </w:r>
          </w:p>
        </w:tc>
        <w:tc>
          <w:tcPr>
            <w:tcW w:w="2268" w:type="dxa"/>
            <w:vAlign w:val="center"/>
          </w:tcPr>
          <w:p>
            <w:pPr>
              <w:pStyle w:val="21"/>
            </w:pPr>
            <w:r>
              <w:rPr>
                <w:rFonts w:hint="eastAsia"/>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发放工资人员对工资的满意度</w:t>
            </w:r>
          </w:p>
        </w:tc>
        <w:tc>
          <w:tcPr>
            <w:tcW w:w="2551" w:type="dxa"/>
            <w:vAlign w:val="center"/>
          </w:tcPr>
          <w:p>
            <w:pPr>
              <w:pStyle w:val="21"/>
            </w:pPr>
            <w:r>
              <w:t>100%</w:t>
            </w:r>
          </w:p>
        </w:tc>
        <w:tc>
          <w:tcPr>
            <w:tcW w:w="2268" w:type="dxa"/>
            <w:vAlign w:val="center"/>
          </w:tcPr>
          <w:p>
            <w:pPr>
              <w:pStyle w:val="21"/>
            </w:pPr>
            <w:r>
              <w:rPr>
                <w:rFonts w:hint="eastAsia"/>
              </w:rP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1"/>
            </w:pPr>
            <w:r>
              <w:rPr>
                <w:rFonts w:hint="eastAsia"/>
              </w:rPr>
              <w:t>服务对象满意度指标</w:t>
            </w:r>
          </w:p>
        </w:tc>
        <w:tc>
          <w:tcPr>
            <w:tcW w:w="2835" w:type="dxa"/>
            <w:vAlign w:val="center"/>
          </w:tcPr>
          <w:p>
            <w:pPr>
              <w:pStyle w:val="21"/>
            </w:pPr>
            <w:r>
              <w:rPr>
                <w:rFonts w:hint="eastAsia"/>
              </w:rPr>
              <w:t>服务对象满意度</w:t>
            </w:r>
          </w:p>
        </w:tc>
        <w:tc>
          <w:tcPr>
            <w:tcW w:w="2835" w:type="dxa"/>
            <w:vAlign w:val="center"/>
          </w:tcPr>
          <w:p>
            <w:pPr>
              <w:pStyle w:val="21"/>
            </w:pPr>
            <w:r>
              <w:rPr>
                <w:rFonts w:hint="eastAsia"/>
              </w:rPr>
              <w:t>职工满意度</w:t>
            </w:r>
          </w:p>
        </w:tc>
        <w:tc>
          <w:tcPr>
            <w:tcW w:w="2551" w:type="dxa"/>
            <w:vAlign w:val="center"/>
          </w:tcPr>
          <w:p>
            <w:pPr>
              <w:pStyle w:val="21"/>
            </w:pPr>
            <w:r>
              <w:t>100%</w:t>
            </w:r>
          </w:p>
        </w:tc>
        <w:tc>
          <w:tcPr>
            <w:tcW w:w="2268" w:type="dxa"/>
            <w:vAlign w:val="center"/>
          </w:tcPr>
          <w:p>
            <w:pPr>
              <w:pStyle w:val="21"/>
            </w:pPr>
            <w:r>
              <w:rPr>
                <w:rFonts w:hint="eastAsia"/>
              </w:rPr>
              <w:t>根据工作情况</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年，无极县融媒体中心</w:t>
      </w:r>
      <w:r>
        <w:rPr>
          <w:rFonts w:eastAsia="方正仿宋_GBK"/>
          <w:color w:val="000000"/>
          <w:sz w:val="28"/>
        </w:rPr>
        <w:t>(</w:t>
      </w:r>
      <w:r>
        <w:rPr>
          <w:rFonts w:hint="eastAsia" w:eastAsia="方正仿宋_GBK"/>
          <w:color w:val="000000"/>
          <w:sz w:val="28"/>
        </w:rPr>
        <w:t>无极县广播电视台</w:t>
      </w:r>
      <w:r>
        <w:rPr>
          <w:rFonts w:eastAsia="方正仿宋_GBK"/>
          <w:color w:val="000000"/>
          <w:sz w:val="28"/>
        </w:rPr>
        <w:t>)</w:t>
      </w:r>
      <w:r>
        <w:rPr>
          <w:rFonts w:hint="eastAsia" w:eastAsia="方正仿宋_GBK"/>
          <w:color w:val="000000"/>
          <w:sz w:val="28"/>
        </w:rPr>
        <w:t>本级安排政府采购预算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8"/>
            </w:pPr>
            <w:r>
              <w:t>359001</w:t>
            </w:r>
            <w:r>
              <w:rPr>
                <w:rFonts w:hint="eastAsia"/>
              </w:rPr>
              <w:t>无极县融媒体中心</w:t>
            </w:r>
            <w:r>
              <w:t>(</w:t>
            </w:r>
            <w:r>
              <w:rPr>
                <w:rFonts w:hint="eastAsia"/>
              </w:rPr>
              <w:t>无极县广播电视台</w:t>
            </w:r>
            <w:r>
              <w:t>)</w:t>
            </w:r>
            <w:r>
              <w:rPr>
                <w:rFonts w:hint="eastAsia"/>
              </w:rPr>
              <w:t>本级</w:t>
            </w:r>
          </w:p>
        </w:tc>
        <w:tc>
          <w:tcPr>
            <w:tcW w:w="8674" w:type="dxa"/>
            <w:gridSpan w:val="9"/>
            <w:tcBorders>
              <w:top w:val="single" w:color="FFFFFF" w:sz="6" w:space="0"/>
              <w:left w:val="single" w:color="FFFFFF" w:sz="6" w:space="0"/>
              <w:right w:val="single" w:color="FFFFFF" w:sz="6" w:space="0"/>
            </w:tcBorders>
            <w:vAlign w:val="center"/>
          </w:tcPr>
          <w:p>
            <w:pPr>
              <w:pStyle w:val="3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9"/>
            </w:pPr>
            <w:r>
              <w:rPr>
                <w:rFonts w:hint="eastAsia"/>
              </w:rPr>
              <w:t>政府采购项目来源</w:t>
            </w:r>
          </w:p>
        </w:tc>
        <w:tc>
          <w:tcPr>
            <w:tcW w:w="1134" w:type="dxa"/>
            <w:vMerge w:val="restart"/>
            <w:vAlign w:val="center"/>
          </w:tcPr>
          <w:p>
            <w:pPr>
              <w:pStyle w:val="19"/>
            </w:pPr>
            <w:r>
              <w:rPr>
                <w:rFonts w:hint="eastAsia"/>
              </w:rPr>
              <w:t>采购物品名称</w:t>
            </w:r>
          </w:p>
        </w:tc>
        <w:tc>
          <w:tcPr>
            <w:tcW w:w="1134" w:type="dxa"/>
            <w:vMerge w:val="restart"/>
            <w:vAlign w:val="center"/>
          </w:tcPr>
          <w:p>
            <w:pPr>
              <w:pStyle w:val="19"/>
            </w:pPr>
            <w:r>
              <w:rPr>
                <w:rFonts w:hint="eastAsia"/>
              </w:rPr>
              <w:t>政府采购目录序号</w:t>
            </w:r>
          </w:p>
        </w:tc>
        <w:tc>
          <w:tcPr>
            <w:tcW w:w="709" w:type="dxa"/>
            <w:vMerge w:val="restart"/>
            <w:vAlign w:val="center"/>
          </w:tcPr>
          <w:p>
            <w:pPr>
              <w:pStyle w:val="19"/>
            </w:pPr>
            <w:r>
              <w:rPr>
                <w:rFonts w:hint="eastAsia"/>
              </w:rPr>
              <w:t>计量</w:t>
            </w:r>
            <w:r>
              <w:t xml:space="preserve">  </w:t>
            </w:r>
            <w:r>
              <w:rPr>
                <w:rFonts w:hint="eastAsia"/>
              </w:rPr>
              <w:t>单位</w:t>
            </w:r>
          </w:p>
        </w:tc>
        <w:tc>
          <w:tcPr>
            <w:tcW w:w="850" w:type="dxa"/>
            <w:vMerge w:val="restart"/>
            <w:vAlign w:val="center"/>
          </w:tcPr>
          <w:p>
            <w:pPr>
              <w:pStyle w:val="19"/>
            </w:pPr>
            <w:r>
              <w:rPr>
                <w:rFonts w:hint="eastAsia"/>
              </w:rPr>
              <w:t>数量</w:t>
            </w:r>
          </w:p>
        </w:tc>
        <w:tc>
          <w:tcPr>
            <w:tcW w:w="850" w:type="dxa"/>
            <w:vMerge w:val="restart"/>
            <w:vAlign w:val="center"/>
          </w:tcPr>
          <w:p>
            <w:pPr>
              <w:pStyle w:val="19"/>
            </w:pPr>
            <w:r>
              <w:rPr>
                <w:rFonts w:hint="eastAsia"/>
              </w:rPr>
              <w:t>单价</w:t>
            </w:r>
          </w:p>
        </w:tc>
        <w:tc>
          <w:tcPr>
            <w:tcW w:w="7710" w:type="dxa"/>
            <w:gridSpan w:val="8"/>
            <w:vAlign w:val="center"/>
          </w:tcPr>
          <w:p>
            <w:pPr>
              <w:pStyle w:val="19"/>
            </w:pPr>
            <w:r>
              <w:rPr>
                <w:rFonts w:hint="eastAsia"/>
              </w:rPr>
              <w:t>政府采购金额（当年部门预算安排资金）</w:t>
            </w:r>
          </w:p>
        </w:tc>
        <w:tc>
          <w:tcPr>
            <w:tcW w:w="964" w:type="dxa"/>
            <w:vMerge w:val="restart"/>
            <w:vAlign w:val="center"/>
          </w:tcPr>
          <w:p>
            <w:pPr>
              <w:pStyle w:val="19"/>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9"/>
            </w:pPr>
            <w:r>
              <w:rPr>
                <w:rFonts w:hint="eastAsia"/>
              </w:rPr>
              <w:t>项目名称</w:t>
            </w:r>
          </w:p>
        </w:tc>
        <w:tc>
          <w:tcPr>
            <w:tcW w:w="964" w:type="dxa"/>
            <w:vAlign w:val="center"/>
          </w:tcPr>
          <w:p>
            <w:pPr>
              <w:pStyle w:val="19"/>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9"/>
            </w:pPr>
            <w:r>
              <w:rPr>
                <w:rFonts w:hint="eastAsia"/>
              </w:rPr>
              <w:t>合计</w:t>
            </w:r>
          </w:p>
        </w:tc>
        <w:tc>
          <w:tcPr>
            <w:tcW w:w="964" w:type="dxa"/>
            <w:vAlign w:val="center"/>
          </w:tcPr>
          <w:p>
            <w:pPr>
              <w:pStyle w:val="19"/>
            </w:pPr>
            <w:r>
              <w:rPr>
                <w:rFonts w:hint="eastAsia"/>
              </w:rPr>
              <w:t>一般公共预算拨款</w:t>
            </w:r>
          </w:p>
        </w:tc>
        <w:tc>
          <w:tcPr>
            <w:tcW w:w="964" w:type="dxa"/>
            <w:vAlign w:val="center"/>
          </w:tcPr>
          <w:p>
            <w:pPr>
              <w:pStyle w:val="19"/>
            </w:pPr>
            <w:r>
              <w:rPr>
                <w:rFonts w:hint="eastAsia"/>
              </w:rPr>
              <w:t>基金预算拨款</w:t>
            </w:r>
          </w:p>
        </w:tc>
        <w:tc>
          <w:tcPr>
            <w:tcW w:w="964" w:type="dxa"/>
            <w:vAlign w:val="center"/>
          </w:tcPr>
          <w:p>
            <w:pPr>
              <w:pStyle w:val="19"/>
            </w:pPr>
            <w:r>
              <w:rPr>
                <w:rFonts w:hint="eastAsia"/>
              </w:rPr>
              <w:t>国有资本经营预算拨款</w:t>
            </w:r>
          </w:p>
        </w:tc>
        <w:tc>
          <w:tcPr>
            <w:tcW w:w="964" w:type="dxa"/>
            <w:vAlign w:val="center"/>
          </w:tcPr>
          <w:p>
            <w:pPr>
              <w:pStyle w:val="19"/>
            </w:pPr>
            <w:r>
              <w:rPr>
                <w:rFonts w:hint="eastAsia"/>
              </w:rPr>
              <w:t>财政专户核拨</w:t>
            </w:r>
          </w:p>
        </w:tc>
        <w:tc>
          <w:tcPr>
            <w:tcW w:w="964" w:type="dxa"/>
            <w:vAlign w:val="center"/>
          </w:tcPr>
          <w:p>
            <w:pPr>
              <w:pStyle w:val="19"/>
            </w:pPr>
            <w:r>
              <w:rPr>
                <w:rFonts w:hint="eastAsia"/>
              </w:rPr>
              <w:t>单位</w:t>
            </w:r>
            <w:r>
              <w:t xml:space="preserve">    </w:t>
            </w:r>
            <w:r>
              <w:rPr>
                <w:rFonts w:hint="eastAsia"/>
              </w:rPr>
              <w:t>资金</w:t>
            </w:r>
          </w:p>
        </w:tc>
        <w:tc>
          <w:tcPr>
            <w:tcW w:w="964" w:type="dxa"/>
            <w:vAlign w:val="center"/>
          </w:tcPr>
          <w:p>
            <w:pPr>
              <w:pStyle w:val="19"/>
            </w:pPr>
            <w:r>
              <w:rPr>
                <w:rFonts w:hint="eastAsia"/>
              </w:rPr>
              <w:t>财政拨</w:t>
            </w:r>
            <w:r>
              <w:t xml:space="preserve">    </w:t>
            </w:r>
            <w:r>
              <w:rPr>
                <w:rFonts w:hint="eastAsia"/>
              </w:rPr>
              <w:t>款结转</w:t>
            </w:r>
          </w:p>
        </w:tc>
        <w:tc>
          <w:tcPr>
            <w:tcW w:w="964" w:type="dxa"/>
            <w:vAlign w:val="center"/>
          </w:tcPr>
          <w:p>
            <w:pPr>
              <w:pStyle w:val="19"/>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21"/>
            </w:pP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22"/>
            </w:pPr>
          </w:p>
        </w:tc>
        <w:tc>
          <w:tcPr>
            <w:tcW w:w="850" w:type="dxa"/>
            <w:vAlign w:val="center"/>
          </w:tcPr>
          <w:p>
            <w:pPr>
              <w:pStyle w:val="20"/>
            </w:pPr>
          </w:p>
        </w:tc>
        <w:tc>
          <w:tcPr>
            <w:tcW w:w="850"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无极县融媒体中心</w:t>
      </w:r>
      <w:r>
        <w:rPr>
          <w:rFonts w:eastAsia="方正仿宋_GBK"/>
          <w:color w:val="000000"/>
          <w:sz w:val="28"/>
        </w:rPr>
        <w:t>(</w:t>
      </w:r>
      <w:r>
        <w:rPr>
          <w:rFonts w:hint="eastAsia" w:eastAsia="方正仿宋_GBK"/>
          <w:color w:val="000000"/>
          <w:sz w:val="28"/>
        </w:rPr>
        <w:t>无极县广播电视台</w:t>
      </w:r>
      <w:r>
        <w:rPr>
          <w:rFonts w:eastAsia="方正仿宋_GBK"/>
          <w:color w:val="000000"/>
          <w:sz w:val="28"/>
        </w:rPr>
        <w:t>)</w:t>
      </w:r>
      <w:r>
        <w:rPr>
          <w:rFonts w:hint="eastAsia" w:eastAsia="方正仿宋_GBK"/>
          <w:color w:val="000000"/>
          <w:sz w:val="28"/>
        </w:rPr>
        <w:t>本级上年末固定资产金额为</w:t>
      </w:r>
      <w:r>
        <w:rPr>
          <w:rFonts w:eastAsia="方正仿宋_GBK"/>
          <w:color w:val="000000"/>
          <w:sz w:val="28"/>
        </w:rPr>
        <w:t>2076.17</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8"/>
            </w:pPr>
            <w:r>
              <w:t>359001</w:t>
            </w:r>
            <w:r>
              <w:rPr>
                <w:rFonts w:hint="eastAsia"/>
              </w:rPr>
              <w:t>无极县融媒体中心</w:t>
            </w:r>
            <w:r>
              <w:t>(</w:t>
            </w:r>
            <w:r>
              <w:rPr>
                <w:rFonts w:hint="eastAsia"/>
              </w:rPr>
              <w:t>无极县广播电视台</w:t>
            </w:r>
            <w:r>
              <w:t>)</w:t>
            </w:r>
            <w:r>
              <w:rPr>
                <w:rFonts w:hint="eastAsia"/>
              </w:rPr>
              <w:t>本级</w:t>
            </w:r>
          </w:p>
        </w:tc>
        <w:tc>
          <w:tcPr>
            <w:tcW w:w="5669" w:type="dxa"/>
            <w:gridSpan w:val="2"/>
            <w:tcBorders>
              <w:top w:val="single" w:color="FFFFFF" w:sz="6" w:space="0"/>
              <w:left w:val="single" w:color="FFFFFF" w:sz="6" w:space="0"/>
              <w:right w:val="single" w:color="FFFFFF" w:sz="6" w:space="0"/>
            </w:tcBorders>
            <w:vAlign w:val="center"/>
          </w:tcPr>
          <w:p>
            <w:pPr>
              <w:pStyle w:val="16"/>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9"/>
            </w:pPr>
            <w:r>
              <w:rPr>
                <w:rFonts w:hint="eastAsia"/>
              </w:rPr>
              <w:t>项</w:t>
            </w:r>
            <w:r>
              <w:t xml:space="preserve">   </w:t>
            </w:r>
            <w:r>
              <w:rPr>
                <w:rFonts w:hint="eastAsia"/>
              </w:rPr>
              <w:t>目</w:t>
            </w:r>
          </w:p>
        </w:tc>
        <w:tc>
          <w:tcPr>
            <w:tcW w:w="2835" w:type="dxa"/>
            <w:vAlign w:val="center"/>
          </w:tcPr>
          <w:p>
            <w:pPr>
              <w:pStyle w:val="19"/>
            </w:pPr>
            <w:r>
              <w:rPr>
                <w:rFonts w:hint="eastAsia"/>
              </w:rPr>
              <w:t>数量</w:t>
            </w:r>
          </w:p>
        </w:tc>
        <w:tc>
          <w:tcPr>
            <w:tcW w:w="2835" w:type="dxa"/>
            <w:vAlign w:val="center"/>
          </w:tcPr>
          <w:p>
            <w:pPr>
              <w:pStyle w:val="19"/>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rPr>
                <w:rFonts w:hint="eastAsia"/>
              </w:rPr>
              <w:t>资产总额</w:t>
            </w:r>
          </w:p>
        </w:tc>
        <w:tc>
          <w:tcPr>
            <w:tcW w:w="2835" w:type="dxa"/>
            <w:vAlign w:val="center"/>
          </w:tcPr>
          <w:p>
            <w:pPr>
              <w:pStyle w:val="22"/>
            </w:pPr>
          </w:p>
        </w:tc>
        <w:tc>
          <w:tcPr>
            <w:tcW w:w="2835" w:type="dxa"/>
            <w:vAlign w:val="center"/>
          </w:tcPr>
          <w:p>
            <w:pPr>
              <w:pStyle w:val="20"/>
            </w:pPr>
            <w:r>
              <w:t>2076.17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t>1</w:t>
            </w:r>
            <w:r>
              <w:rPr>
                <w:rFonts w:hint="eastAsia"/>
              </w:rPr>
              <w:t>、房屋（平方米）</w:t>
            </w:r>
          </w:p>
        </w:tc>
        <w:tc>
          <w:tcPr>
            <w:tcW w:w="2835" w:type="dxa"/>
            <w:vAlign w:val="center"/>
          </w:tcPr>
          <w:p>
            <w:pPr>
              <w:pStyle w:val="22"/>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rPr>
                <w:rFonts w:hint="eastAsia"/>
              </w:rPr>
              <w:t>　　其中：办公用房（平方米）</w:t>
            </w:r>
          </w:p>
        </w:tc>
        <w:tc>
          <w:tcPr>
            <w:tcW w:w="2835" w:type="dxa"/>
            <w:vAlign w:val="center"/>
          </w:tcPr>
          <w:p>
            <w:pPr>
              <w:pStyle w:val="22"/>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t>2</w:t>
            </w:r>
            <w:r>
              <w:rPr>
                <w:rFonts w:hint="eastAsia"/>
              </w:rPr>
              <w:t>、车辆（台、辆）</w:t>
            </w:r>
          </w:p>
        </w:tc>
        <w:tc>
          <w:tcPr>
            <w:tcW w:w="2835" w:type="dxa"/>
            <w:vAlign w:val="center"/>
          </w:tcPr>
          <w:p>
            <w:pPr>
              <w:pStyle w:val="22"/>
            </w:pPr>
          </w:p>
        </w:tc>
        <w:tc>
          <w:tcPr>
            <w:tcW w:w="2835" w:type="dxa"/>
            <w:vAlign w:val="center"/>
          </w:tcPr>
          <w:p>
            <w:pPr>
              <w:pStyle w:val="20"/>
            </w:pPr>
            <w:r>
              <w:t>26.27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t>3</w:t>
            </w:r>
            <w:r>
              <w:rPr>
                <w:rFonts w:hint="eastAsia"/>
              </w:rPr>
              <w:t>、单价在</w:t>
            </w:r>
            <w:r>
              <w:t>20</w:t>
            </w:r>
            <w:r>
              <w:rPr>
                <w:rFonts w:hint="eastAsia"/>
              </w:rPr>
              <w:t>万元以上的设备</w:t>
            </w:r>
          </w:p>
        </w:tc>
        <w:tc>
          <w:tcPr>
            <w:tcW w:w="2835" w:type="dxa"/>
            <w:vAlign w:val="center"/>
          </w:tcPr>
          <w:p>
            <w:pPr>
              <w:pStyle w:val="22"/>
            </w:pPr>
          </w:p>
        </w:tc>
        <w:tc>
          <w:tcPr>
            <w:tcW w:w="283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1"/>
            </w:pPr>
            <w:r>
              <w:t>4</w:t>
            </w:r>
            <w:r>
              <w:rPr>
                <w:rFonts w:hint="eastAsia"/>
              </w:rPr>
              <w:t>、其他固定资产</w:t>
            </w:r>
          </w:p>
        </w:tc>
        <w:tc>
          <w:tcPr>
            <w:tcW w:w="2835" w:type="dxa"/>
            <w:vAlign w:val="center"/>
          </w:tcPr>
          <w:p>
            <w:pPr>
              <w:pStyle w:val="22"/>
            </w:pPr>
          </w:p>
        </w:tc>
        <w:tc>
          <w:tcPr>
            <w:tcW w:w="2835" w:type="dxa"/>
            <w:vAlign w:val="center"/>
          </w:tcPr>
          <w:p>
            <w:pPr>
              <w:pStyle w:val="20"/>
            </w:pPr>
            <w:r>
              <w:t>2049.90</w:t>
            </w:r>
          </w:p>
        </w:tc>
      </w:tr>
    </w:tbl>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指县级财政当年拨付的资金。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纳入县级财政预算管理的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w:t>
      </w:r>
      <w:r>
        <w:rPr>
          <w:rFonts w:hint="eastAsia" w:eastAsia="方正仿宋_GBK"/>
          <w:color w:val="000000"/>
          <w:sz w:val="28"/>
          <w:lang w:val="en-US" w:eastAsia="zh-CN"/>
        </w:rPr>
        <w:t>单位</w:t>
      </w:r>
      <w:r>
        <w:rPr>
          <w:rFonts w:hint="eastAsia"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1A0FA3"/>
    <w:multiLevelType w:val="singleLevel"/>
    <w:tmpl w:val="541A0FA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0002C"/>
    <w:rsid w:val="00012820"/>
    <w:rsid w:val="003E6455"/>
    <w:rsid w:val="004326C5"/>
    <w:rsid w:val="0050002C"/>
    <w:rsid w:val="005224DF"/>
    <w:rsid w:val="005249E2"/>
    <w:rsid w:val="00533A6D"/>
    <w:rsid w:val="00536F97"/>
    <w:rsid w:val="00774CC0"/>
    <w:rsid w:val="008D3521"/>
    <w:rsid w:val="00921AC7"/>
    <w:rsid w:val="009D0CBC"/>
    <w:rsid w:val="009F31C6"/>
    <w:rsid w:val="00AA0E11"/>
    <w:rsid w:val="00B76121"/>
    <w:rsid w:val="00C3494A"/>
    <w:rsid w:val="00CC2010"/>
    <w:rsid w:val="00D55617"/>
    <w:rsid w:val="00DE6699"/>
    <w:rsid w:val="00E244B1"/>
    <w:rsid w:val="00EE5E67"/>
    <w:rsid w:val="00EF5FBE"/>
    <w:rsid w:val="00F010B7"/>
    <w:rsid w:val="00F9489B"/>
    <w:rsid w:val="00FB562B"/>
    <w:rsid w:val="06C137B6"/>
    <w:rsid w:val="11260C0F"/>
    <w:rsid w:val="13346B73"/>
    <w:rsid w:val="165F479F"/>
    <w:rsid w:val="2B7D3FC8"/>
    <w:rsid w:val="343B0481"/>
    <w:rsid w:val="3B8101CF"/>
    <w:rsid w:val="3C3256CD"/>
    <w:rsid w:val="52391322"/>
    <w:rsid w:val="5B3C04C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2">
    <w:name w:val="Default Paragraph Font"/>
    <w:semiHidden/>
    <w:uiPriority w:val="99"/>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41"/>
    <w:semiHidden/>
    <w:qFormat/>
    <w:uiPriority w:val="99"/>
  </w:style>
  <w:style w:type="paragraph" w:styleId="3">
    <w:name w:val="toc 3"/>
    <w:basedOn w:val="1"/>
    <w:next w:val="1"/>
    <w:qFormat/>
    <w:uiPriority w:val="99"/>
    <w:pPr>
      <w:ind w:left="480"/>
    </w:pPr>
  </w:style>
  <w:style w:type="paragraph" w:styleId="4">
    <w:name w:val="Balloon Text"/>
    <w:basedOn w:val="1"/>
    <w:link w:val="42"/>
    <w:semiHidden/>
    <w:qFormat/>
    <w:uiPriority w:val="99"/>
    <w:rPr>
      <w:sz w:val="18"/>
      <w:szCs w:val="18"/>
    </w:rPr>
  </w:style>
  <w:style w:type="paragraph" w:styleId="5">
    <w:name w:val="footer"/>
    <w:basedOn w:val="1"/>
    <w:link w:val="39"/>
    <w:qFormat/>
    <w:uiPriority w:val="99"/>
    <w:pPr>
      <w:tabs>
        <w:tab w:val="center" w:pos="4153"/>
        <w:tab w:val="right" w:pos="8306"/>
      </w:tabs>
      <w:snapToGrid w:val="0"/>
    </w:pPr>
    <w:rPr>
      <w:sz w:val="18"/>
      <w:szCs w:val="18"/>
    </w:rPr>
  </w:style>
  <w:style w:type="paragraph" w:styleId="6">
    <w:name w:val="header"/>
    <w:basedOn w:val="1"/>
    <w:link w:val="38"/>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99"/>
    <w:pPr>
      <w:spacing w:before="120"/>
      <w:ind w:firstLine="560"/>
    </w:pPr>
    <w:rPr>
      <w:rFonts w:eastAsia="方正仿宋_GBK"/>
      <w:color w:val="000000"/>
      <w:sz w:val="28"/>
    </w:rPr>
  </w:style>
  <w:style w:type="paragraph" w:styleId="8">
    <w:name w:val="toc 4"/>
    <w:basedOn w:val="1"/>
    <w:next w:val="1"/>
    <w:qFormat/>
    <w:uiPriority w:val="99"/>
    <w:pPr>
      <w:ind w:left="720"/>
    </w:pPr>
  </w:style>
  <w:style w:type="paragraph" w:styleId="9">
    <w:name w:val="toc 2"/>
    <w:basedOn w:val="1"/>
    <w:next w:val="1"/>
    <w:qFormat/>
    <w:uiPriority w:val="99"/>
    <w:pPr>
      <w:ind w:left="240"/>
    </w:pPr>
  </w:style>
  <w:style w:type="table" w:styleId="11">
    <w:name w:val="Table Grid"/>
    <w:basedOn w:val="10"/>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3">
    <w:name w:val="page number"/>
    <w:basedOn w:val="12"/>
    <w:qFormat/>
    <w:uiPriority w:val="99"/>
    <w:rPr>
      <w:rFonts w:cs="Times New Roman"/>
    </w:rPr>
  </w:style>
  <w:style w:type="character" w:styleId="14">
    <w:name w:val="Hyperlink"/>
    <w:basedOn w:val="12"/>
    <w:qFormat/>
    <w:uiPriority w:val="99"/>
    <w:rPr>
      <w:rFonts w:cs="Times New Roman"/>
      <w:color w:val="0000FF"/>
      <w:u w:val="single"/>
    </w:rPr>
  </w:style>
  <w:style w:type="character" w:styleId="15">
    <w:name w:val="annotation reference"/>
    <w:basedOn w:val="12"/>
    <w:semiHidden/>
    <w:qFormat/>
    <w:uiPriority w:val="99"/>
    <w:rPr>
      <w:rFonts w:cs="Times New Roman"/>
      <w:sz w:val="21"/>
      <w:szCs w:val="21"/>
    </w:rPr>
  </w:style>
  <w:style w:type="paragraph" w:customStyle="1" w:styleId="16">
    <w:name w:val="单元格样式22"/>
    <w:basedOn w:val="1"/>
    <w:qFormat/>
    <w:uiPriority w:val="99"/>
    <w:pPr>
      <w:jc w:val="right"/>
    </w:pPr>
    <w:rPr>
      <w:rFonts w:ascii="方正小标宋_GBK" w:hAnsi="方正小标宋_GBK" w:eastAsia="方正小标宋_GBK" w:cs="方正小标宋_GBK"/>
    </w:rPr>
  </w:style>
  <w:style w:type="paragraph" w:customStyle="1" w:styleId="17">
    <w:name w:val="单元格样式21"/>
    <w:basedOn w:val="1"/>
    <w:qFormat/>
    <w:uiPriority w:val="99"/>
    <w:pPr>
      <w:jc w:val="center"/>
    </w:pPr>
    <w:rPr>
      <w:rFonts w:ascii="方正小标宋_GBK" w:hAnsi="方正小标宋_GBK" w:eastAsia="方正小标宋_GBK" w:cs="方正小标宋_GBK"/>
    </w:rPr>
  </w:style>
  <w:style w:type="paragraph" w:customStyle="1" w:styleId="18">
    <w:name w:val="单元格样式20"/>
    <w:basedOn w:val="1"/>
    <w:qFormat/>
    <w:uiPriority w:val="99"/>
    <w:rPr>
      <w:rFonts w:ascii="方正小标宋_GBK" w:hAnsi="方正小标宋_GBK" w:eastAsia="方正小标宋_GBK" w:cs="方正小标宋_GBK"/>
    </w:rPr>
  </w:style>
  <w:style w:type="paragraph" w:customStyle="1" w:styleId="19">
    <w:name w:val="单元格样式1"/>
    <w:basedOn w:val="1"/>
    <w:qFormat/>
    <w:uiPriority w:val="99"/>
    <w:pPr>
      <w:jc w:val="center"/>
    </w:pPr>
    <w:rPr>
      <w:rFonts w:ascii="方正书宋_GBK" w:hAnsi="方正书宋_GBK" w:eastAsia="方正书宋_GBK" w:cs="方正书宋_GBK"/>
      <w:b/>
      <w:sz w:val="21"/>
    </w:rPr>
  </w:style>
  <w:style w:type="paragraph" w:customStyle="1" w:styleId="20">
    <w:name w:val="单元格样式4"/>
    <w:basedOn w:val="1"/>
    <w:qFormat/>
    <w:uiPriority w:val="99"/>
    <w:pPr>
      <w:jc w:val="right"/>
    </w:pPr>
    <w:rPr>
      <w:rFonts w:ascii="方正书宋_GBK" w:hAnsi="方正书宋_GBK" w:eastAsia="方正书宋_GBK" w:cs="方正书宋_GBK"/>
      <w:sz w:val="21"/>
    </w:rPr>
  </w:style>
  <w:style w:type="paragraph" w:customStyle="1" w:styleId="21">
    <w:name w:val="单元格样式2"/>
    <w:basedOn w:val="1"/>
    <w:qFormat/>
    <w:uiPriority w:val="99"/>
    <w:rPr>
      <w:rFonts w:ascii="方正书宋_GBK" w:hAnsi="方正书宋_GBK" w:eastAsia="方正书宋_GBK" w:cs="方正书宋_GBK"/>
      <w:sz w:val="21"/>
    </w:rPr>
  </w:style>
  <w:style w:type="paragraph" w:customStyle="1" w:styleId="22">
    <w:name w:val="单元格样式3"/>
    <w:basedOn w:val="1"/>
    <w:qFormat/>
    <w:uiPriority w:val="99"/>
    <w:pPr>
      <w:jc w:val="center"/>
    </w:pPr>
    <w:rPr>
      <w:rFonts w:ascii="方正书宋_GBK" w:hAnsi="方正书宋_GBK" w:eastAsia="方正书宋_GBK" w:cs="方正书宋_GBK"/>
      <w:sz w:val="21"/>
    </w:rPr>
  </w:style>
  <w:style w:type="paragraph" w:customStyle="1" w:styleId="23">
    <w:name w:val="单元格样式6"/>
    <w:basedOn w:val="1"/>
    <w:qFormat/>
    <w:uiPriority w:val="99"/>
    <w:pPr>
      <w:jc w:val="center"/>
    </w:pPr>
    <w:rPr>
      <w:rFonts w:ascii="方正书宋_GBK" w:hAnsi="方正书宋_GBK" w:eastAsia="方正书宋_GBK" w:cs="方正书宋_GBK"/>
      <w:b/>
      <w:sz w:val="21"/>
    </w:rPr>
  </w:style>
  <w:style w:type="paragraph" w:customStyle="1" w:styleId="24">
    <w:name w:val="单元格样式7"/>
    <w:basedOn w:val="1"/>
    <w:qFormat/>
    <w:uiPriority w:val="99"/>
    <w:pPr>
      <w:jc w:val="right"/>
    </w:pPr>
    <w:rPr>
      <w:rFonts w:ascii="方正书宋_GBK" w:hAnsi="方正书宋_GBK" w:eastAsia="方正书宋_GBK" w:cs="方正书宋_GBK"/>
      <w:b/>
      <w:sz w:val="21"/>
    </w:rPr>
  </w:style>
  <w:style w:type="paragraph" w:customStyle="1" w:styleId="25">
    <w:name w:val="单元格样式5"/>
    <w:basedOn w:val="1"/>
    <w:qFormat/>
    <w:uiPriority w:val="99"/>
    <w:rPr>
      <w:rFonts w:ascii="方正书宋_GBK" w:hAnsi="方正书宋_GBK" w:eastAsia="方正书宋_GBK" w:cs="方正书宋_GBK"/>
      <w:b/>
      <w:sz w:val="21"/>
    </w:rPr>
  </w:style>
  <w:style w:type="paragraph" w:customStyle="1" w:styleId="26">
    <w:name w:val="插入文本样式-插入部门职责文件"/>
    <w:basedOn w:val="1"/>
    <w:qFormat/>
    <w:uiPriority w:val="99"/>
    <w:pPr>
      <w:spacing w:line="500" w:lineRule="exact"/>
      <w:ind w:firstLine="560"/>
    </w:pPr>
    <w:rPr>
      <w:rFonts w:eastAsia="方正仿宋_GBK"/>
      <w:sz w:val="28"/>
    </w:rPr>
  </w:style>
  <w:style w:type="paragraph" w:customStyle="1" w:styleId="27">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8">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9">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30">
    <w:name w:val="插入文本样式-插入总体目标文件"/>
    <w:basedOn w:val="1"/>
    <w:qFormat/>
    <w:uiPriority w:val="99"/>
    <w:pPr>
      <w:spacing w:line="500" w:lineRule="exact"/>
      <w:ind w:firstLine="560"/>
    </w:pPr>
    <w:rPr>
      <w:rFonts w:eastAsia="方正仿宋_GBK"/>
      <w:sz w:val="28"/>
    </w:rPr>
  </w:style>
  <w:style w:type="paragraph" w:customStyle="1" w:styleId="31">
    <w:name w:val="插入文本样式-插入职责分类绩效目标文件"/>
    <w:basedOn w:val="1"/>
    <w:qFormat/>
    <w:uiPriority w:val="99"/>
    <w:pPr>
      <w:spacing w:line="500" w:lineRule="exact"/>
      <w:ind w:firstLine="560"/>
    </w:pPr>
    <w:rPr>
      <w:rFonts w:eastAsia="方正仿宋_GBK"/>
      <w:sz w:val="28"/>
    </w:rPr>
  </w:style>
  <w:style w:type="paragraph" w:customStyle="1" w:styleId="32">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33">
    <w:name w:val="单元格样式23"/>
    <w:basedOn w:val="1"/>
    <w:qFormat/>
    <w:uiPriority w:val="99"/>
    <w:pPr>
      <w:jc w:val="right"/>
    </w:pPr>
    <w:rPr>
      <w:rFonts w:ascii="方正书宋_GBK" w:hAnsi="方正书宋_GBK" w:eastAsia="方正书宋_GBK" w:cs="方正书宋_GBK"/>
    </w:rPr>
  </w:style>
  <w:style w:type="paragraph" w:customStyle="1" w:styleId="34">
    <w:name w:val="插入文本样式-插入单位职责文件"/>
    <w:basedOn w:val="1"/>
    <w:qFormat/>
    <w:uiPriority w:val="99"/>
    <w:pPr>
      <w:spacing w:line="500" w:lineRule="exact"/>
      <w:ind w:firstLine="560"/>
    </w:pPr>
    <w:rPr>
      <w:rFonts w:eastAsia="方正仿宋_GBK"/>
      <w:sz w:val="28"/>
    </w:rPr>
  </w:style>
  <w:style w:type="paragraph" w:customStyle="1" w:styleId="35">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6">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7">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8">
    <w:name w:val="Header Char"/>
    <w:basedOn w:val="12"/>
    <w:link w:val="6"/>
    <w:semiHidden/>
    <w:qFormat/>
    <w:locked/>
    <w:uiPriority w:val="99"/>
    <w:rPr>
      <w:rFonts w:cs="Times New Roman"/>
      <w:kern w:val="0"/>
      <w:sz w:val="18"/>
      <w:szCs w:val="18"/>
      <w:lang w:eastAsia="uk-UA"/>
    </w:rPr>
  </w:style>
  <w:style w:type="character" w:customStyle="1" w:styleId="39">
    <w:name w:val="Footer Char"/>
    <w:basedOn w:val="12"/>
    <w:link w:val="5"/>
    <w:semiHidden/>
    <w:qFormat/>
    <w:locked/>
    <w:uiPriority w:val="99"/>
    <w:rPr>
      <w:rFonts w:cs="Times New Roman"/>
      <w:kern w:val="0"/>
      <w:sz w:val="18"/>
      <w:szCs w:val="18"/>
      <w:lang w:eastAsia="uk-UA"/>
    </w:rPr>
  </w:style>
  <w:style w:type="paragraph" w:styleId="40">
    <w:name w:val="List Paragraph"/>
    <w:basedOn w:val="1"/>
    <w:qFormat/>
    <w:uiPriority w:val="99"/>
    <w:pPr>
      <w:widowControl w:val="0"/>
      <w:ind w:firstLine="420" w:firstLineChars="200"/>
      <w:jc w:val="both"/>
    </w:pPr>
    <w:rPr>
      <w:rFonts w:ascii="Calibri" w:hAnsi="Calibri"/>
      <w:kern w:val="2"/>
      <w:sz w:val="21"/>
      <w:szCs w:val="22"/>
      <w:lang w:eastAsia="zh-CN"/>
    </w:rPr>
  </w:style>
  <w:style w:type="character" w:customStyle="1" w:styleId="41">
    <w:name w:val="Comment Text Char"/>
    <w:basedOn w:val="12"/>
    <w:link w:val="2"/>
    <w:semiHidden/>
    <w:qFormat/>
    <w:locked/>
    <w:uiPriority w:val="99"/>
    <w:rPr>
      <w:rFonts w:eastAsia="宋体" w:cs="Times New Roman"/>
      <w:sz w:val="24"/>
      <w:szCs w:val="24"/>
      <w:lang w:val="en-US" w:eastAsia="uk-UA" w:bidi="ar-SA"/>
    </w:rPr>
  </w:style>
  <w:style w:type="character" w:customStyle="1" w:styleId="42">
    <w:name w:val="Balloon Text Char"/>
    <w:basedOn w:val="12"/>
    <w:link w:val="4"/>
    <w:semiHidden/>
    <w:qFormat/>
    <w:locked/>
    <w:uiPriority w:val="99"/>
    <w:rPr>
      <w:rFonts w:cs="Times New Roman"/>
      <w:kern w:val="0"/>
      <w:sz w:val="2"/>
      <w:lang w:eastAsia="uk-U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53</Pages>
  <Words>3778</Words>
  <Characters>21541</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2022-06-22T08:59:00Z</dcterms:created>
  <dc:creator>微软用户</dc:creator>
  <cp:lastModifiedBy>Administrator</cp:lastModifiedBy>
  <dcterms:modified xsi:type="dcterms:W3CDTF">2024-01-16T06:28:26Z</dcterms:modified>
  <dc:title>2022年部门预算信息公开目录</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D0F810A651984CB99AA5CE09A743613A</vt:lpwstr>
  </property>
</Properties>
</file>