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宋体" w:hAnsi="宋体" w:cs="Times New Roman"/>
          <w:b/>
          <w:bCs/>
          <w:sz w:val="44"/>
          <w:szCs w:val="44"/>
        </w:rPr>
      </w:pPr>
      <w:bookmarkStart w:id="28" w:name="_GoBack"/>
      <w:bookmarkEnd w:id="28"/>
      <w:r>
        <w:rPr>
          <w:rFonts w:hint="eastAsia" w:ascii="宋体" w:hAnsi="宋体" w:cs="Times New Roman"/>
          <w:b/>
          <w:bCs/>
          <w:sz w:val="44"/>
          <w:szCs w:val="44"/>
        </w:rPr>
        <w:t>无极县文化广电体育和旅游局</w:t>
      </w:r>
    </w:p>
    <w:p>
      <w:pPr>
        <w:adjustRightInd w:val="0"/>
        <w:snapToGrid w:val="0"/>
        <w:jc w:val="center"/>
        <w:rPr>
          <w:rFonts w:ascii="宋体" w:hAnsi="宋体" w:cs="Times New Roman"/>
          <w:b/>
          <w:bCs/>
          <w:sz w:val="44"/>
          <w:szCs w:val="44"/>
        </w:rPr>
      </w:pPr>
      <w:r>
        <w:rPr>
          <w:rFonts w:hint="eastAsia" w:ascii="宋体" w:hAnsi="宋体" w:cs="Times New Roman"/>
          <w:b/>
          <w:bCs/>
          <w:sz w:val="44"/>
          <w:szCs w:val="44"/>
        </w:rPr>
        <w:t>2020年部门预算信息公开情况说明</w:t>
      </w:r>
    </w:p>
    <w:p>
      <w:pPr>
        <w:ind w:firstLine="640"/>
        <w:rPr>
          <w:rFonts w:ascii="仿宋_GB2312" w:hAnsi="Times New Roman" w:eastAsia="仿宋_GB2312" w:cs="Times New Roman"/>
          <w:sz w:val="32"/>
          <w:szCs w:val="32"/>
        </w:rPr>
      </w:pP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按照</w:t>
      </w:r>
      <w:r>
        <w:rPr>
          <w:rFonts w:hint="eastAsia" w:ascii="仿宋_GB2312" w:hAnsi="Times New Roman" w:eastAsia="仿宋_GB2312" w:cs="Times New Roman"/>
          <w:sz w:val="32"/>
          <w:szCs w:val="32"/>
          <w:lang w:eastAsia="zh-CN"/>
        </w:rPr>
        <w:t>《中华人民共和国预算法》</w:t>
      </w:r>
      <w:r>
        <w:rPr>
          <w:rFonts w:hint="eastAsia" w:ascii="仿宋_GB2312" w:hAnsi="Times New Roman" w:eastAsia="仿宋_GB2312" w:cs="Times New Roman"/>
          <w:sz w:val="32"/>
          <w:szCs w:val="32"/>
        </w:rPr>
        <w:t>、《地方预决算公开操作规程》和《河北省省级预算公开办法》规定，现将无极县文化广电体育和旅游局2020年部门预算公开如下：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_GB2312" w:hAnsi="仿宋" w:eastAsia="仿宋_GB2312" w:cs="Times New Roman"/>
          <w:sz w:val="32"/>
          <w:szCs w:val="32"/>
        </w:rPr>
      </w:pPr>
      <w:r>
        <w:rPr>
          <w:rFonts w:hint="eastAsia" w:ascii="仿宋_GB2312" w:hAnsi="仿宋" w:eastAsia="仿宋_GB2312" w:cs="Times New Roman"/>
          <w:b/>
          <w:sz w:val="32"/>
          <w:szCs w:val="32"/>
        </w:rPr>
        <w:t>部门职责：</w:t>
      </w:r>
      <w:r>
        <w:rPr>
          <w:rFonts w:ascii="仿宋_GB2312" w:hAnsi="仿宋" w:eastAsia="仿宋_GB2312" w:cs="Times New Roman"/>
          <w:sz w:val="32"/>
          <w:szCs w:val="32"/>
        </w:rPr>
        <w:t>无极县文化广电体育和旅游局是行政机关单位，共有下列七项职责：推进公共文化服务、文化遗产保护和传承、艺术创作生产、文化产业发展、文化市场监管、全域旅游发展和全民健身活动等。</w:t>
      </w:r>
    </w:p>
    <w:p>
      <w:pPr>
        <w:ind w:firstLine="640"/>
        <w:rPr>
          <w:rFonts w:ascii="仿宋_GB2312" w:hAnsi="仿宋" w:eastAsia="仿宋_GB2312" w:cs="Times New Roman"/>
          <w:sz w:val="32"/>
          <w:szCs w:val="32"/>
        </w:rPr>
      </w:pPr>
      <w:r>
        <w:rPr>
          <w:rFonts w:ascii="仿宋_GB2312" w:hAnsi="仿宋" w:eastAsia="仿宋_GB2312" w:cs="Times New Roman"/>
          <w:sz w:val="32"/>
          <w:szCs w:val="32"/>
        </w:rPr>
        <w:t>根据年度财政专项资金部门绩效自评价及财政重点绩效评价工作通知，我单位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我市文化和旅游产业品牌。扶持创作优秀文艺作品，唱响当代主旋律。加强文化市场监管，不断优化文化市场营商环境。建设体育场地、安装健身路径，举办各项赛事和展演等，推动我市全民体育健身事业蓬勃发展。</w:t>
      </w:r>
    </w:p>
    <w:p>
      <w:pPr>
        <w:ind w:firstLine="643" w:firstLineChars="200"/>
        <w:rPr>
          <w:rFonts w:ascii="仿宋_GB2312" w:hAnsi="仿宋" w:eastAsia="仿宋_GB2312" w:cs="Times New Roman"/>
          <w:b/>
          <w:sz w:val="32"/>
          <w:szCs w:val="32"/>
        </w:rPr>
      </w:pPr>
      <w:r>
        <w:rPr>
          <w:rFonts w:hint="eastAsia" w:ascii="仿宋_GB2312" w:hAnsi="仿宋" w:eastAsia="仿宋_GB2312" w:cs="Times New Roman"/>
          <w:b/>
          <w:sz w:val="32"/>
          <w:szCs w:val="32"/>
        </w:rPr>
        <w:t>机构设置：</w:t>
      </w:r>
    </w:p>
    <w:p>
      <w:pPr>
        <w:jc w:val="center"/>
        <w:outlineLvl w:val="0"/>
        <w:rPr>
          <w:rFonts w:ascii="仿宋_GB2312" w:hAnsi="Times New Roman" w:eastAsia="仿宋_GB2312" w:cs="Times New Roman"/>
          <w:sz w:val="32"/>
          <w:szCs w:val="24"/>
        </w:rPr>
      </w:pPr>
      <w:r>
        <w:rPr>
          <w:rFonts w:hint="eastAsia" w:ascii="仿宋_GB2312" w:hAnsi="Times New Roman" w:eastAsia="仿宋_GB2312"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tblHeader/>
          <w:jc w:val="center"/>
        </w:trPr>
        <w:tc>
          <w:tcPr>
            <w:tcW w:w="4417" w:type="dxa"/>
            <w:vMerge w:val="restart"/>
            <w:vAlign w:val="center"/>
          </w:tcPr>
          <w:p>
            <w:pPr>
              <w:spacing w:line="300" w:lineRule="exact"/>
              <w:jc w:val="center"/>
              <w:rPr>
                <w:rFonts w:ascii="仿宋_GB2312" w:hAnsi="Times New Roman" w:eastAsia="仿宋_GB2312" w:cs="Times New Roman"/>
                <w:b/>
                <w:szCs w:val="24"/>
              </w:rPr>
            </w:pPr>
            <w:r>
              <w:rPr>
                <w:rFonts w:hint="eastAsia" w:ascii="仿宋_GB2312" w:hAnsi="Times New Roman" w:eastAsia="仿宋_GB2312" w:cs="Times New Roman"/>
                <w:b/>
                <w:szCs w:val="24"/>
              </w:rPr>
              <w:t>单位名称</w:t>
            </w:r>
          </w:p>
        </w:tc>
        <w:tc>
          <w:tcPr>
            <w:tcW w:w="1134" w:type="dxa"/>
            <w:vMerge w:val="restart"/>
            <w:vAlign w:val="center"/>
          </w:tcPr>
          <w:p>
            <w:pPr>
              <w:spacing w:line="300" w:lineRule="exact"/>
              <w:jc w:val="center"/>
              <w:rPr>
                <w:rFonts w:ascii="仿宋_GB2312" w:hAnsi="Times New Roman" w:eastAsia="仿宋_GB2312" w:cs="Times New Roman"/>
                <w:b/>
                <w:szCs w:val="24"/>
              </w:rPr>
            </w:pPr>
            <w:r>
              <w:rPr>
                <w:rFonts w:hint="eastAsia" w:ascii="仿宋_GB2312" w:hAnsi="Times New Roman" w:eastAsia="仿宋_GB2312" w:cs="Times New Roman"/>
                <w:b/>
                <w:szCs w:val="24"/>
              </w:rPr>
              <w:t>单位性质</w:t>
            </w:r>
          </w:p>
        </w:tc>
        <w:tc>
          <w:tcPr>
            <w:tcW w:w="1276" w:type="dxa"/>
            <w:vMerge w:val="restart"/>
            <w:vAlign w:val="center"/>
          </w:tcPr>
          <w:p>
            <w:pPr>
              <w:spacing w:line="300" w:lineRule="exact"/>
              <w:jc w:val="center"/>
              <w:rPr>
                <w:rFonts w:ascii="仿宋_GB2312" w:hAnsi="Times New Roman" w:eastAsia="仿宋_GB2312" w:cs="Times New Roman"/>
                <w:b/>
                <w:szCs w:val="24"/>
              </w:rPr>
            </w:pPr>
            <w:r>
              <w:rPr>
                <w:rFonts w:hint="eastAsia" w:ascii="仿宋_GB2312" w:hAnsi="Times New Roman" w:eastAsia="仿宋_GB2312" w:cs="Times New Roman"/>
                <w:b/>
                <w:szCs w:val="24"/>
              </w:rPr>
              <w:t>单位规格</w:t>
            </w:r>
          </w:p>
        </w:tc>
        <w:tc>
          <w:tcPr>
            <w:tcW w:w="2902" w:type="dxa"/>
            <w:vMerge w:val="restart"/>
            <w:vAlign w:val="center"/>
          </w:tcPr>
          <w:p>
            <w:pPr>
              <w:spacing w:line="300" w:lineRule="exact"/>
              <w:jc w:val="center"/>
              <w:rPr>
                <w:rFonts w:ascii="仿宋_GB2312" w:hAnsi="Times New Roman" w:eastAsia="仿宋_GB2312" w:cs="Times New Roman"/>
                <w:b/>
                <w:szCs w:val="24"/>
              </w:rPr>
            </w:pPr>
            <w:r>
              <w:rPr>
                <w:rFonts w:hint="eastAsia" w:ascii="仿宋_GB2312" w:hAnsi="Times New Roman" w:eastAsia="仿宋_GB2312"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tblHeader/>
          <w:jc w:val="center"/>
        </w:trPr>
        <w:tc>
          <w:tcPr>
            <w:tcW w:w="4417" w:type="dxa"/>
            <w:vMerge w:val="continue"/>
            <w:vAlign w:val="center"/>
          </w:tcPr>
          <w:p>
            <w:pPr>
              <w:spacing w:line="300" w:lineRule="exact"/>
              <w:jc w:val="left"/>
              <w:outlineLvl w:val="0"/>
              <w:rPr>
                <w:rFonts w:ascii="仿宋_GB2312" w:hAnsi="Times New Roman" w:eastAsia="仿宋_GB2312" w:cs="Times New Roman"/>
                <w:szCs w:val="24"/>
              </w:rPr>
            </w:pPr>
          </w:p>
        </w:tc>
        <w:tc>
          <w:tcPr>
            <w:tcW w:w="1134" w:type="dxa"/>
            <w:vMerge w:val="continue"/>
            <w:vAlign w:val="center"/>
          </w:tcPr>
          <w:p>
            <w:pPr>
              <w:spacing w:line="300" w:lineRule="exact"/>
              <w:jc w:val="left"/>
              <w:outlineLvl w:val="0"/>
              <w:rPr>
                <w:rFonts w:ascii="仿宋_GB2312" w:hAnsi="Times New Roman" w:eastAsia="仿宋_GB2312" w:cs="Times New Roman"/>
                <w:szCs w:val="24"/>
              </w:rPr>
            </w:pPr>
          </w:p>
        </w:tc>
        <w:tc>
          <w:tcPr>
            <w:tcW w:w="1276" w:type="dxa"/>
            <w:vMerge w:val="continue"/>
            <w:vAlign w:val="center"/>
          </w:tcPr>
          <w:p>
            <w:pPr>
              <w:spacing w:line="300" w:lineRule="exact"/>
              <w:jc w:val="left"/>
              <w:outlineLvl w:val="0"/>
              <w:rPr>
                <w:rFonts w:ascii="仿宋_GB2312" w:hAnsi="Times New Roman" w:eastAsia="仿宋_GB2312" w:cs="Times New Roman"/>
                <w:szCs w:val="24"/>
              </w:rPr>
            </w:pPr>
          </w:p>
        </w:tc>
        <w:tc>
          <w:tcPr>
            <w:tcW w:w="2902" w:type="dxa"/>
            <w:vMerge w:val="continue"/>
            <w:vAlign w:val="center"/>
          </w:tcPr>
          <w:p>
            <w:pPr>
              <w:spacing w:line="300" w:lineRule="exact"/>
              <w:jc w:val="left"/>
              <w:outlineLvl w:val="0"/>
              <w:rPr>
                <w:rFonts w:ascii="仿宋_GB2312" w:hAnsi="Times New Roman" w:eastAsia="仿宋_GB2312"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4417" w:type="dxa"/>
            <w:vAlign w:val="center"/>
          </w:tcPr>
          <w:p>
            <w:pPr>
              <w:spacing w:line="300" w:lineRule="exact"/>
              <w:jc w:val="center"/>
              <w:rPr>
                <w:rFonts w:ascii="仿宋_GB2312" w:eastAsia="仿宋_GB2312"/>
                <w:b/>
              </w:rPr>
            </w:pPr>
            <w:r>
              <w:rPr>
                <w:rFonts w:hint="eastAsia" w:ascii="仿宋_GB2312" w:eastAsia="仿宋_GB2312"/>
                <w:b/>
              </w:rPr>
              <w:t>合    计</w:t>
            </w:r>
          </w:p>
        </w:tc>
        <w:tc>
          <w:tcPr>
            <w:tcW w:w="1134" w:type="dxa"/>
            <w:vAlign w:val="center"/>
          </w:tcPr>
          <w:p>
            <w:pPr>
              <w:spacing w:line="300" w:lineRule="exact"/>
              <w:jc w:val="center"/>
              <w:rPr>
                <w:rFonts w:ascii="仿宋_GB2312" w:hAnsi="Times New Roman" w:eastAsia="仿宋_GB2312" w:cs="Times New Roman"/>
                <w:szCs w:val="24"/>
              </w:rPr>
            </w:pPr>
            <w:r>
              <w:rPr>
                <w:rFonts w:hint="eastAsia" w:ascii="仿宋_GB2312" w:eastAsia="仿宋_GB2312"/>
              </w:rPr>
              <w:t>行政</w:t>
            </w:r>
          </w:p>
        </w:tc>
        <w:tc>
          <w:tcPr>
            <w:tcW w:w="1276" w:type="dxa"/>
            <w:vAlign w:val="center"/>
          </w:tcPr>
          <w:p>
            <w:pPr>
              <w:spacing w:line="300" w:lineRule="exact"/>
              <w:jc w:val="center"/>
              <w:rPr>
                <w:rFonts w:ascii="仿宋_GB2312" w:eastAsia="仿宋_GB2312"/>
              </w:rPr>
            </w:pPr>
            <w:r>
              <w:rPr>
                <w:rFonts w:hint="eastAsia" w:ascii="仿宋_GB2312" w:eastAsia="仿宋_GB2312"/>
              </w:rPr>
              <w:t>正科级</w:t>
            </w:r>
          </w:p>
        </w:tc>
        <w:tc>
          <w:tcPr>
            <w:tcW w:w="2902" w:type="dxa"/>
            <w:vAlign w:val="center"/>
          </w:tcPr>
          <w:p>
            <w:pPr>
              <w:spacing w:line="300" w:lineRule="exact"/>
              <w:jc w:val="center"/>
              <w:rPr>
                <w:rFonts w:ascii="仿宋_GB2312" w:hAnsi="Times New Roman" w:eastAsia="仿宋_GB2312" w:cs="Times New Roman"/>
                <w:szCs w:val="24"/>
              </w:rPr>
            </w:pPr>
            <w:r>
              <w:rPr>
                <w:rFonts w:hint="eastAsia" w:ascii="仿宋_GB2312" w:eastAsia="仿宋_GB231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4417" w:type="dxa"/>
            <w:vAlign w:val="center"/>
          </w:tcPr>
          <w:p>
            <w:pPr>
              <w:spacing w:line="300" w:lineRule="exact"/>
              <w:jc w:val="left"/>
              <w:rPr>
                <w:rFonts w:ascii="仿宋_GB2312" w:eastAsia="仿宋_GB2312"/>
              </w:rPr>
            </w:pPr>
            <w:r>
              <w:rPr>
                <w:rFonts w:hint="eastAsia" w:ascii="仿宋_GB2312" w:eastAsia="仿宋_GB2312"/>
              </w:rPr>
              <w:t>无极县文化广电体育和旅游局</w:t>
            </w:r>
          </w:p>
        </w:tc>
        <w:tc>
          <w:tcPr>
            <w:tcW w:w="1134" w:type="dxa"/>
            <w:vAlign w:val="center"/>
          </w:tcPr>
          <w:p>
            <w:pPr>
              <w:spacing w:line="300" w:lineRule="exact"/>
              <w:jc w:val="center"/>
              <w:rPr>
                <w:rFonts w:ascii="仿宋_GB2312" w:hAnsi="Times New Roman" w:eastAsia="仿宋_GB2312" w:cs="Times New Roman"/>
                <w:szCs w:val="24"/>
              </w:rPr>
            </w:pPr>
            <w:r>
              <w:rPr>
                <w:rFonts w:hint="eastAsia" w:ascii="仿宋_GB2312" w:eastAsia="仿宋_GB2312"/>
              </w:rPr>
              <w:t>事业</w:t>
            </w:r>
          </w:p>
        </w:tc>
        <w:tc>
          <w:tcPr>
            <w:tcW w:w="1276" w:type="dxa"/>
            <w:vAlign w:val="center"/>
          </w:tcPr>
          <w:p>
            <w:pPr>
              <w:spacing w:line="300" w:lineRule="exact"/>
              <w:jc w:val="center"/>
              <w:rPr>
                <w:rFonts w:ascii="仿宋_GB2312" w:eastAsia="仿宋_GB2312"/>
              </w:rPr>
            </w:pPr>
            <w:r>
              <w:rPr>
                <w:rFonts w:hint="eastAsia" w:ascii="仿宋_GB2312" w:eastAsia="仿宋_GB2312"/>
              </w:rPr>
              <w:t>正股级</w:t>
            </w:r>
          </w:p>
        </w:tc>
        <w:tc>
          <w:tcPr>
            <w:tcW w:w="2902" w:type="dxa"/>
            <w:vAlign w:val="center"/>
          </w:tcPr>
          <w:p>
            <w:pPr>
              <w:spacing w:line="300" w:lineRule="exact"/>
              <w:jc w:val="center"/>
              <w:rPr>
                <w:rFonts w:ascii="仿宋_GB2312" w:eastAsia="仿宋_GB2312"/>
              </w:rPr>
            </w:pPr>
            <w:r>
              <w:rPr>
                <w:rFonts w:hint="eastAsia" w:ascii="仿宋_GB2312" w:eastAsia="仿宋_GB231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4417" w:type="dxa"/>
            <w:vAlign w:val="center"/>
          </w:tcPr>
          <w:p>
            <w:pPr>
              <w:spacing w:line="300" w:lineRule="exact"/>
              <w:jc w:val="left"/>
              <w:rPr>
                <w:rFonts w:ascii="仿宋_GB2312" w:eastAsia="仿宋_GB2312"/>
              </w:rPr>
            </w:pPr>
            <w:r>
              <w:rPr>
                <w:rFonts w:hint="eastAsia" w:ascii="仿宋_GB2312" w:eastAsia="仿宋_GB2312"/>
              </w:rPr>
              <w:t>无极县图书馆</w:t>
            </w:r>
          </w:p>
        </w:tc>
        <w:tc>
          <w:tcPr>
            <w:tcW w:w="1134" w:type="dxa"/>
            <w:vAlign w:val="center"/>
          </w:tcPr>
          <w:p>
            <w:pPr>
              <w:spacing w:line="300" w:lineRule="exact"/>
              <w:jc w:val="center"/>
              <w:rPr>
                <w:rFonts w:ascii="仿宋_GB2312" w:hAnsi="Times New Roman" w:eastAsia="仿宋_GB2312" w:cs="Times New Roman"/>
                <w:szCs w:val="24"/>
              </w:rPr>
            </w:pPr>
            <w:r>
              <w:rPr>
                <w:rFonts w:hint="eastAsia" w:ascii="仿宋_GB2312" w:eastAsia="仿宋_GB2312"/>
              </w:rPr>
              <w:t>事业</w:t>
            </w:r>
          </w:p>
        </w:tc>
        <w:tc>
          <w:tcPr>
            <w:tcW w:w="1276" w:type="dxa"/>
            <w:vAlign w:val="center"/>
          </w:tcPr>
          <w:p>
            <w:pPr>
              <w:spacing w:line="300" w:lineRule="exact"/>
              <w:jc w:val="center"/>
              <w:rPr>
                <w:rFonts w:ascii="仿宋_GB2312" w:eastAsia="仿宋_GB2312"/>
              </w:rPr>
            </w:pPr>
            <w:r>
              <w:rPr>
                <w:rFonts w:hint="eastAsia" w:ascii="仿宋_GB2312" w:eastAsia="仿宋_GB2312"/>
              </w:rPr>
              <w:t>其他</w:t>
            </w:r>
          </w:p>
        </w:tc>
        <w:tc>
          <w:tcPr>
            <w:tcW w:w="2902" w:type="dxa"/>
            <w:vAlign w:val="center"/>
          </w:tcPr>
          <w:p>
            <w:pPr>
              <w:spacing w:line="300" w:lineRule="exact"/>
              <w:jc w:val="center"/>
              <w:rPr>
                <w:rFonts w:ascii="仿宋_GB2312" w:eastAsia="仿宋_GB2312"/>
              </w:rPr>
            </w:pPr>
            <w:r>
              <w:rPr>
                <w:rFonts w:hint="eastAsia" w:ascii="仿宋_GB2312" w:eastAsia="仿宋_GB231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jc w:val="center"/>
        </w:trPr>
        <w:tc>
          <w:tcPr>
            <w:tcW w:w="4417" w:type="dxa"/>
            <w:vAlign w:val="center"/>
          </w:tcPr>
          <w:p>
            <w:pPr>
              <w:spacing w:line="300" w:lineRule="exact"/>
              <w:jc w:val="left"/>
              <w:rPr>
                <w:rFonts w:ascii="仿宋_GB2312" w:eastAsia="仿宋_GB2312"/>
              </w:rPr>
            </w:pPr>
            <w:r>
              <w:rPr>
                <w:rFonts w:hint="eastAsia" w:ascii="仿宋_GB2312" w:eastAsia="仿宋_GB2312"/>
              </w:rPr>
              <w:t>无极县文化馆</w:t>
            </w:r>
          </w:p>
        </w:tc>
        <w:tc>
          <w:tcPr>
            <w:tcW w:w="1134" w:type="dxa"/>
            <w:vAlign w:val="center"/>
          </w:tcPr>
          <w:p>
            <w:pPr>
              <w:spacing w:line="300" w:lineRule="exact"/>
              <w:jc w:val="center"/>
              <w:rPr>
                <w:rFonts w:ascii="仿宋_GB2312" w:hAnsi="Times New Roman" w:eastAsia="仿宋_GB2312" w:cs="Times New Roman"/>
                <w:szCs w:val="24"/>
              </w:rPr>
            </w:pPr>
            <w:r>
              <w:rPr>
                <w:rFonts w:hint="eastAsia" w:ascii="仿宋_GB2312" w:eastAsia="仿宋_GB2312"/>
              </w:rPr>
              <w:t>事业</w:t>
            </w:r>
          </w:p>
        </w:tc>
        <w:tc>
          <w:tcPr>
            <w:tcW w:w="1276" w:type="dxa"/>
            <w:vAlign w:val="center"/>
          </w:tcPr>
          <w:p>
            <w:pPr>
              <w:spacing w:line="300" w:lineRule="exact"/>
              <w:jc w:val="center"/>
              <w:rPr>
                <w:rFonts w:ascii="仿宋_GB2312" w:eastAsia="仿宋_GB2312"/>
              </w:rPr>
            </w:pPr>
            <w:r>
              <w:rPr>
                <w:rFonts w:hint="eastAsia" w:ascii="仿宋_GB2312" w:eastAsia="仿宋_GB2312"/>
              </w:rPr>
              <w:t>副科级</w:t>
            </w:r>
          </w:p>
        </w:tc>
        <w:tc>
          <w:tcPr>
            <w:tcW w:w="2902" w:type="dxa"/>
            <w:vAlign w:val="center"/>
          </w:tcPr>
          <w:p>
            <w:pPr>
              <w:spacing w:line="300" w:lineRule="exact"/>
              <w:jc w:val="center"/>
              <w:rPr>
                <w:rFonts w:ascii="仿宋_GB2312" w:eastAsia="仿宋_GB2312"/>
              </w:rPr>
            </w:pPr>
            <w:r>
              <w:rPr>
                <w:rFonts w:hint="eastAsia" w:ascii="仿宋_GB2312" w:eastAsia="仿宋_GB231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4417" w:type="dxa"/>
            <w:vAlign w:val="center"/>
          </w:tcPr>
          <w:p>
            <w:pPr>
              <w:spacing w:line="300" w:lineRule="exact"/>
              <w:jc w:val="left"/>
              <w:rPr>
                <w:rFonts w:ascii="仿宋_GB2312" w:eastAsia="仿宋_GB2312"/>
              </w:rPr>
            </w:pPr>
            <w:r>
              <w:rPr>
                <w:rFonts w:hint="eastAsia" w:ascii="仿宋_GB2312" w:eastAsia="仿宋_GB2312"/>
              </w:rPr>
              <w:t>无极县文化市场行政执法队</w:t>
            </w:r>
          </w:p>
        </w:tc>
        <w:tc>
          <w:tcPr>
            <w:tcW w:w="1134" w:type="dxa"/>
            <w:vAlign w:val="center"/>
          </w:tcPr>
          <w:p>
            <w:pPr>
              <w:spacing w:line="300" w:lineRule="exact"/>
              <w:jc w:val="center"/>
              <w:rPr>
                <w:rFonts w:ascii="仿宋_GB2312" w:hAnsi="Times New Roman" w:eastAsia="仿宋_GB2312" w:cs="Times New Roman"/>
                <w:szCs w:val="24"/>
              </w:rPr>
            </w:pPr>
            <w:r>
              <w:rPr>
                <w:rFonts w:hint="eastAsia" w:ascii="仿宋_GB2312" w:hAnsi="Times New Roman" w:eastAsia="仿宋_GB2312" w:cs="Times New Roman"/>
                <w:szCs w:val="24"/>
              </w:rPr>
              <w:t>事业</w:t>
            </w:r>
          </w:p>
        </w:tc>
        <w:tc>
          <w:tcPr>
            <w:tcW w:w="1276" w:type="dxa"/>
            <w:vAlign w:val="center"/>
          </w:tcPr>
          <w:p>
            <w:pPr>
              <w:spacing w:line="300" w:lineRule="exact"/>
              <w:jc w:val="center"/>
              <w:rPr>
                <w:rFonts w:ascii="仿宋_GB2312" w:eastAsia="仿宋_GB2312"/>
              </w:rPr>
            </w:pPr>
            <w:r>
              <w:rPr>
                <w:rFonts w:hint="eastAsia" w:ascii="仿宋_GB2312" w:eastAsia="仿宋_GB2312"/>
              </w:rPr>
              <w:t>其他</w:t>
            </w:r>
          </w:p>
        </w:tc>
        <w:tc>
          <w:tcPr>
            <w:tcW w:w="2902" w:type="dxa"/>
            <w:vAlign w:val="center"/>
          </w:tcPr>
          <w:p>
            <w:pPr>
              <w:spacing w:line="300" w:lineRule="exact"/>
              <w:jc w:val="center"/>
              <w:rPr>
                <w:rFonts w:ascii="仿宋_GB2312" w:eastAsia="仿宋_GB2312"/>
              </w:rPr>
            </w:pPr>
            <w:r>
              <w:rPr>
                <w:rFonts w:hint="eastAsia" w:ascii="仿宋_GB2312" w:eastAsia="仿宋_GB231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4417" w:type="dxa"/>
            <w:vAlign w:val="center"/>
          </w:tcPr>
          <w:p>
            <w:pPr>
              <w:spacing w:line="300" w:lineRule="exact"/>
              <w:jc w:val="left"/>
              <w:rPr>
                <w:rFonts w:ascii="仿宋_GB2312" w:eastAsia="仿宋_GB2312"/>
              </w:rPr>
            </w:pPr>
            <w:r>
              <w:rPr>
                <w:rFonts w:hint="eastAsia" w:ascii="仿宋_GB2312" w:eastAsia="仿宋_GB2312"/>
              </w:rPr>
              <w:t>无极县美术馆</w:t>
            </w:r>
          </w:p>
        </w:tc>
        <w:tc>
          <w:tcPr>
            <w:tcW w:w="1134" w:type="dxa"/>
            <w:vAlign w:val="center"/>
          </w:tcPr>
          <w:p>
            <w:pPr>
              <w:spacing w:line="300" w:lineRule="exact"/>
              <w:jc w:val="center"/>
              <w:rPr>
                <w:rFonts w:ascii="仿宋_GB2312" w:hAnsi="Times New Roman" w:eastAsia="仿宋_GB2312" w:cs="Times New Roman"/>
                <w:szCs w:val="24"/>
              </w:rPr>
            </w:pPr>
            <w:r>
              <w:rPr>
                <w:rFonts w:hint="eastAsia" w:ascii="仿宋_GB2312" w:eastAsia="仿宋_GB2312"/>
              </w:rPr>
              <w:t>事业</w:t>
            </w:r>
          </w:p>
        </w:tc>
        <w:tc>
          <w:tcPr>
            <w:tcW w:w="1276" w:type="dxa"/>
            <w:vAlign w:val="center"/>
          </w:tcPr>
          <w:p>
            <w:pPr>
              <w:spacing w:line="300" w:lineRule="exact"/>
              <w:jc w:val="center"/>
              <w:rPr>
                <w:rFonts w:ascii="仿宋_GB2312" w:eastAsia="仿宋_GB2312"/>
              </w:rPr>
            </w:pPr>
            <w:r>
              <w:rPr>
                <w:rFonts w:hint="eastAsia" w:ascii="仿宋_GB2312" w:eastAsia="仿宋_GB2312"/>
              </w:rPr>
              <w:t>正科级</w:t>
            </w:r>
          </w:p>
        </w:tc>
        <w:tc>
          <w:tcPr>
            <w:tcW w:w="2902" w:type="dxa"/>
            <w:vAlign w:val="center"/>
          </w:tcPr>
          <w:p>
            <w:pPr>
              <w:spacing w:line="300" w:lineRule="exact"/>
              <w:jc w:val="center"/>
              <w:rPr>
                <w:rFonts w:ascii="仿宋_GB2312" w:eastAsia="仿宋_GB2312"/>
              </w:rPr>
            </w:pPr>
            <w:r>
              <w:rPr>
                <w:rFonts w:hint="eastAsia" w:ascii="仿宋_GB2312" w:eastAsia="仿宋_GB2312"/>
              </w:rPr>
              <w:t>财政拨款</w:t>
            </w:r>
          </w:p>
        </w:tc>
      </w:tr>
    </w:tbl>
    <w:p>
      <w:pPr>
        <w:rPr>
          <w:rFonts w:ascii="仿宋_GB2312" w:eastAsia="仿宋_GB231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按照预算管理有关规定，目前我县部门预算的编制实行综合预算管理，即全部收入和支出都反映的预算中。</w:t>
      </w:r>
      <w:r>
        <w:rPr>
          <w:rFonts w:ascii="仿宋_GB2312" w:hAnsi="仿宋" w:eastAsia="仿宋_GB2312" w:cs="Times New Roman"/>
          <w:sz w:val="32"/>
          <w:szCs w:val="32"/>
        </w:rPr>
        <w:t>无极县文化广电体育和旅游局</w:t>
      </w:r>
      <w:r>
        <w:rPr>
          <w:rFonts w:hint="eastAsia" w:ascii="仿宋_GB2312" w:hAnsi="Times New Roman" w:eastAsia="仿宋_GB2312" w:cs="Times New Roman"/>
          <w:sz w:val="32"/>
          <w:szCs w:val="32"/>
        </w:rPr>
        <w:t>及所属事业单位的收支包含在部门预算中。</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1、收入说明</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反映本部门当年全部收入。2020年预算收入1074.81万元，其中：一般公共预算收入1054.81万元，基金预算收入20万元，财政专户核拨收入0万元，其他来源收入0万元。</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2、支出说明</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收支预算总表支出栏、基本支出表、项目支出表按经济分类和支出功能分类科目编制，反映</w:t>
      </w:r>
      <w:r>
        <w:rPr>
          <w:rFonts w:ascii="仿宋_GB2312" w:hAnsi="Times New Roman" w:eastAsia="仿宋_GB2312" w:cs="Times New Roman"/>
          <w:sz w:val="32"/>
          <w:szCs w:val="32"/>
        </w:rPr>
        <w:t>无极县文化广电体育和旅游局</w:t>
      </w:r>
      <w:r>
        <w:rPr>
          <w:rFonts w:hint="eastAsia" w:ascii="仿宋_GB2312" w:hAnsi="Times New Roman" w:eastAsia="仿宋_GB2312" w:cs="Times New Roman"/>
          <w:sz w:val="32"/>
          <w:szCs w:val="32"/>
        </w:rPr>
        <w:t>年度部门预算中支出预算的总体情况。2020年部门支出预算为1074.81万元，其中基本支出611.76万元，包括人员经费571.96万元和日常公用经费39.8万元；项目支出4</w:t>
      </w:r>
      <w:r>
        <w:rPr>
          <w:rFonts w:hint="eastAsia" w:ascii="仿宋_GB2312" w:hAnsi="Times New Roman" w:eastAsia="仿宋_GB2312" w:cs="Times New Roman"/>
          <w:sz w:val="32"/>
          <w:szCs w:val="32"/>
          <w:lang w:val="en-US" w:eastAsia="zh-CN"/>
        </w:rPr>
        <w:t>4</w:t>
      </w:r>
      <w:r>
        <w:rPr>
          <w:rFonts w:hint="eastAsia" w:ascii="仿宋_GB2312" w:hAnsi="Times New Roman" w:eastAsia="仿宋_GB2312" w:cs="Times New Roman"/>
          <w:sz w:val="32"/>
          <w:szCs w:val="32"/>
        </w:rPr>
        <w:t>3.05万元，主要为2020年市运会经费10万元，《旅游规划》编制专项资金17.91万元，仿真冰滑冰场建设资金140万元，</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年省级</w:t>
      </w:r>
      <w:r>
        <w:rPr>
          <w:rFonts w:hint="cs" w:ascii="仿宋_GB2312" w:hAnsi="Times New Roman" w:eastAsia="仿宋_GB2312" w:cs="Times New Roman"/>
          <w:sz w:val="32"/>
          <w:szCs w:val="32"/>
        </w:rPr>
        <w:t>“</w:t>
      </w:r>
      <w:r>
        <w:rPr>
          <w:rFonts w:hint="eastAsia" w:ascii="仿宋_GB2312" w:hAnsi="Times New Roman" w:eastAsia="仿宋_GB2312" w:cs="Times New Roman"/>
          <w:sz w:val="32"/>
          <w:szCs w:val="32"/>
        </w:rPr>
        <w:t>三馆一站</w:t>
      </w:r>
      <w:r>
        <w:rPr>
          <w:rFonts w:hint="cs" w:ascii="仿宋_GB2312" w:hAnsi="Times New Roman" w:eastAsia="仿宋_GB2312" w:cs="Times New Roman"/>
          <w:sz w:val="32"/>
          <w:szCs w:val="32"/>
        </w:rPr>
        <w:t>”</w:t>
      </w:r>
      <w:r>
        <w:rPr>
          <w:rFonts w:hint="eastAsia" w:ascii="仿宋_GB2312" w:hAnsi="Times New Roman" w:eastAsia="仿宋_GB2312" w:cs="Times New Roman"/>
          <w:sz w:val="32"/>
          <w:szCs w:val="32"/>
        </w:rPr>
        <w:t>免费开放补助资金16.5万元，</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年中央补助地方美术馆公共图书馆及文化馆（站）免费开放补助资金27.5万元，</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年省级体育彩票公益金专项资金20万元，</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中央补助地方公共文化服务体系建设专项资金107.44万元，老年体协公用经费7万元，中央补助地方公共文化服务体系建设专项资金（公共数字文化建设）10万元，中央补助地方公共文化服务体系建设专项资金（绩效奖励）30万元，文保所专项公用经费1万元，甄氏墓地安防资金6.1万元，图书馆</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年省级</w:t>
      </w:r>
      <w:r>
        <w:rPr>
          <w:rFonts w:hint="cs" w:ascii="仿宋_GB2312" w:hAnsi="Times New Roman" w:eastAsia="仿宋_GB2312" w:cs="Times New Roman"/>
          <w:sz w:val="32"/>
          <w:szCs w:val="32"/>
        </w:rPr>
        <w:t>“</w:t>
      </w:r>
      <w:r>
        <w:rPr>
          <w:rFonts w:hint="eastAsia" w:ascii="仿宋_GB2312" w:hAnsi="Times New Roman" w:eastAsia="仿宋_GB2312" w:cs="Times New Roman"/>
          <w:sz w:val="32"/>
          <w:szCs w:val="32"/>
        </w:rPr>
        <w:t>三馆一站</w:t>
      </w:r>
      <w:r>
        <w:rPr>
          <w:rFonts w:hint="cs" w:ascii="仿宋_GB2312" w:hAnsi="Times New Roman" w:eastAsia="仿宋_GB2312" w:cs="Times New Roman"/>
          <w:sz w:val="32"/>
          <w:szCs w:val="32"/>
        </w:rPr>
        <w:t>”</w:t>
      </w:r>
      <w:r>
        <w:rPr>
          <w:rFonts w:hint="eastAsia" w:ascii="仿宋_GB2312" w:hAnsi="Times New Roman" w:eastAsia="仿宋_GB2312" w:cs="Times New Roman"/>
          <w:sz w:val="32"/>
          <w:szCs w:val="32"/>
        </w:rPr>
        <w:t>免费开放补助资金6万元，图书馆</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年中央补助地方美术馆公共图书馆、文化馆（站）免费开放补助资金10万元，县级图书馆配套免费开放经费4万元，文化馆</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年省级</w:t>
      </w:r>
      <w:r>
        <w:rPr>
          <w:rFonts w:hint="cs" w:ascii="仿宋_GB2312" w:hAnsi="Times New Roman" w:eastAsia="仿宋_GB2312" w:cs="Times New Roman"/>
          <w:sz w:val="32"/>
          <w:szCs w:val="32"/>
        </w:rPr>
        <w:t>“</w:t>
      </w:r>
      <w:r>
        <w:rPr>
          <w:rFonts w:hint="eastAsia" w:ascii="仿宋_GB2312" w:hAnsi="Times New Roman" w:eastAsia="仿宋_GB2312" w:cs="Times New Roman"/>
          <w:sz w:val="32"/>
          <w:szCs w:val="32"/>
        </w:rPr>
        <w:t>三馆一站</w:t>
      </w:r>
      <w:r>
        <w:rPr>
          <w:rFonts w:hint="cs" w:ascii="仿宋_GB2312" w:hAnsi="Times New Roman" w:eastAsia="仿宋_GB2312" w:cs="Times New Roman"/>
          <w:sz w:val="32"/>
          <w:szCs w:val="32"/>
        </w:rPr>
        <w:t>”</w:t>
      </w:r>
      <w:r>
        <w:rPr>
          <w:rFonts w:hint="eastAsia" w:ascii="仿宋_GB2312" w:hAnsi="Times New Roman" w:eastAsia="仿宋_GB2312" w:cs="Times New Roman"/>
          <w:sz w:val="32"/>
          <w:szCs w:val="32"/>
        </w:rPr>
        <w:t>免费开放补助资金6万元，文化馆</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年省级非物质文化遗产保护资金3万元，文化馆</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年中央补助地方美术馆公共图书馆</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文化馆（站）免费开放补助资金10万元，文化馆公用经费6.6万元，县级文化馆配套免费开放经费4万元，美术馆</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年省级</w:t>
      </w:r>
      <w:r>
        <w:rPr>
          <w:rFonts w:hint="cs" w:ascii="仿宋_GB2312" w:hAnsi="Times New Roman" w:eastAsia="仿宋_GB2312" w:cs="Times New Roman"/>
          <w:sz w:val="32"/>
          <w:szCs w:val="32"/>
        </w:rPr>
        <w:t>“</w:t>
      </w:r>
      <w:r>
        <w:rPr>
          <w:rFonts w:hint="eastAsia" w:ascii="仿宋_GB2312" w:hAnsi="Times New Roman" w:eastAsia="仿宋_GB2312" w:cs="Times New Roman"/>
          <w:sz w:val="32"/>
          <w:szCs w:val="32"/>
        </w:rPr>
        <w:t>三馆一站</w:t>
      </w:r>
      <w:r>
        <w:rPr>
          <w:rFonts w:hint="cs" w:ascii="仿宋_GB2312" w:hAnsi="Times New Roman" w:eastAsia="仿宋_GB2312" w:cs="Times New Roman"/>
          <w:sz w:val="32"/>
          <w:szCs w:val="32"/>
        </w:rPr>
        <w:t>”</w:t>
      </w:r>
      <w:r>
        <w:rPr>
          <w:rFonts w:hint="eastAsia" w:ascii="仿宋_GB2312" w:hAnsi="Times New Roman" w:eastAsia="仿宋_GB2312" w:cs="Times New Roman"/>
          <w:sz w:val="32"/>
          <w:szCs w:val="32"/>
        </w:rPr>
        <w:t>免费开放补助资金6万元，美术馆</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年中央补助地方美术馆公共图书馆</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文化馆（站）免费开放补助资金10万元，县级美术馆配套免费开放经费4万元。</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3、比上年增减情况</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color w:val="000000"/>
          <w:sz w:val="32"/>
          <w:szCs w:val="32"/>
        </w:rPr>
        <w:t>2020年部门预算收支安排</w:t>
      </w:r>
      <w:r>
        <w:rPr>
          <w:rFonts w:hint="eastAsia" w:ascii="仿宋_GB2312" w:hAnsi="Times New Roman" w:eastAsia="仿宋_GB2312" w:cs="Times New Roman"/>
          <w:sz w:val="32"/>
          <w:szCs w:val="32"/>
        </w:rPr>
        <w:t>1074.81</w:t>
      </w:r>
      <w:r>
        <w:rPr>
          <w:rFonts w:hint="eastAsia" w:ascii="仿宋_GB2312" w:hAnsi="Times New Roman" w:eastAsia="仿宋_GB2312" w:cs="Times New Roman"/>
          <w:color w:val="000000"/>
          <w:sz w:val="32"/>
          <w:szCs w:val="32"/>
        </w:rPr>
        <w:t>万元，</w:t>
      </w:r>
      <w:r>
        <w:rPr>
          <w:rFonts w:hint="eastAsia" w:ascii="仿宋_GB2312" w:hAnsi="Times New Roman" w:eastAsia="仿宋_GB2312" w:cs="Times New Roman"/>
          <w:sz w:val="32"/>
          <w:szCs w:val="32"/>
        </w:rPr>
        <w:t>较2019年增加314.97万元，其中：基本支出增加111.44万元，主要是工资福利和退休人员生活补助经费增加；项目支出增加203.53万元，主要是增加仿真冰滑冰场建设资金，2020年市运会经费，《旅游规划》编制专项资金，</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年中央补助地方公共文化服务体系建设专项资金，甄氏墓地安防资金增加。</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2020年，我部门机关运行经费共计安排39.8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2020年，我部门财政拨款“三公”经费预算安排6万元，其中：因公出国（境）费0万元；公务用车购置及运维费6万元（其中：公务用车购置费0万元，公务用车运行维护费6万元)；公务接待费0万元。“三公”经费与上年增加3万元，主要是今年新增公务用车一辆。。</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仿宋_GB2312" w:hAnsi="Times New Roman" w:eastAsia="仿宋_GB2312" w:cs="Times New Roman"/>
          <w:sz w:val="32"/>
          <w:szCs w:val="32"/>
        </w:rPr>
      </w:pPr>
      <w:bookmarkStart w:id="0" w:name="_Toc471398463"/>
      <w:r>
        <w:rPr>
          <w:rFonts w:hint="eastAsia" w:ascii="仿宋_GB2312" w:hAnsi="Times New Roman" w:eastAsia="仿宋_GB2312" w:cs="Times New Roman"/>
          <w:b/>
          <w:sz w:val="32"/>
          <w:szCs w:val="32"/>
        </w:rPr>
        <w:t>第一部分  部门整体绩效目标</w:t>
      </w:r>
    </w:p>
    <w:p>
      <w:pPr>
        <w:autoSpaceDE w:val="0"/>
        <w:autoSpaceDN w:val="0"/>
        <w:adjustRightInd w:val="0"/>
        <w:ind w:left="198"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（一）总体绩效目标</w:t>
      </w:r>
      <w:r>
        <w:rPr>
          <w:rFonts w:hint="eastAsia" w:ascii="仿宋_GB2312" w:hAnsi="Times New Roman" w:eastAsia="仿宋_GB2312" w:cs="Times New Roman"/>
          <w:b/>
          <w:sz w:val="32"/>
          <w:szCs w:val="32"/>
        </w:rPr>
        <w:fldChar w:fldCharType="begin"/>
      </w:r>
      <w:r>
        <w:rPr>
          <w:rFonts w:hint="eastAsia" w:ascii="仿宋_GB2312" w:hAnsi="Times New Roman" w:eastAsia="仿宋_GB2312" w:cs="Times New Roman"/>
          <w:b/>
          <w:sz w:val="32"/>
          <w:szCs w:val="32"/>
        </w:rPr>
        <w:instrText xml:space="preserve"> TC </w:instrText>
      </w:r>
      <w:bookmarkStart w:id="1" w:name="_Toc29484628"/>
      <w:r>
        <w:rPr>
          <w:rFonts w:hint="eastAsia" w:ascii="仿宋_GB2312" w:hAnsi="Times New Roman" w:eastAsia="仿宋_GB2312" w:cs="Times New Roman"/>
          <w:b/>
          <w:sz w:val="32"/>
          <w:szCs w:val="32"/>
        </w:rPr>
        <w:instrText xml:space="preserve">总体绩效目标</w:instrText>
      </w:r>
      <w:bookmarkEnd w:id="1"/>
      <w:r>
        <w:rPr>
          <w:rFonts w:hint="eastAsia" w:ascii="仿宋_GB2312" w:hAnsi="Times New Roman" w:eastAsia="仿宋_GB2312" w:cs="Times New Roman"/>
          <w:b/>
          <w:sz w:val="32"/>
          <w:szCs w:val="32"/>
        </w:rPr>
        <w:instrText xml:space="preserve"> \f A \l 1 </w:instrText>
      </w:r>
      <w:r>
        <w:rPr>
          <w:rFonts w:hint="eastAsia" w:ascii="仿宋_GB2312" w:hAnsi="Times New Roman" w:eastAsia="仿宋_GB2312" w:cs="Times New Roman"/>
          <w:b/>
          <w:sz w:val="32"/>
          <w:szCs w:val="32"/>
        </w:rPr>
        <w:fldChar w:fldCharType="end"/>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无极县文化广电体育和旅游局是行政机关单位，共有下列七项职责：推进公共文化服务、文化遗产保护和传承、艺术创作生产、文化产业发展、文化市场监管、全域旅游发展和全民健身活动等。</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根据年度财政专项资金部门绩效自评价及财政重点绩效评价工作通知，我单位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我县文化和旅游产业品牌。扶持创作优秀文艺作品，唱响当代主旋律。加强文化市场监管，不断优化文化市场营商环境。建设体育场地、安装健身路径，举办各项赛事和展演等，推动我县全民体育健身事业蓬勃发展。</w:t>
      </w:r>
    </w:p>
    <w:p>
      <w:pPr>
        <w:autoSpaceDE w:val="0"/>
        <w:autoSpaceDN w:val="0"/>
        <w:adjustRightInd w:val="0"/>
        <w:ind w:left="198"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（二）分项绩效目标</w:t>
      </w:r>
      <w:r>
        <w:rPr>
          <w:rFonts w:hint="eastAsia" w:ascii="仿宋_GB2312" w:hAnsi="Times New Roman" w:eastAsia="仿宋_GB2312" w:cs="Times New Roman"/>
          <w:b/>
          <w:sz w:val="32"/>
          <w:szCs w:val="32"/>
        </w:rPr>
        <w:fldChar w:fldCharType="begin"/>
      </w:r>
      <w:r>
        <w:rPr>
          <w:rFonts w:hint="eastAsia" w:ascii="仿宋_GB2312" w:hAnsi="Times New Roman" w:eastAsia="仿宋_GB2312" w:cs="Times New Roman"/>
          <w:b/>
          <w:sz w:val="32"/>
          <w:szCs w:val="32"/>
        </w:rPr>
        <w:instrText xml:space="preserve"> TC </w:instrText>
      </w:r>
      <w:bookmarkStart w:id="2" w:name="_Toc29484629"/>
      <w:r>
        <w:rPr>
          <w:rFonts w:hint="eastAsia" w:ascii="仿宋_GB2312" w:hAnsi="Times New Roman" w:eastAsia="仿宋_GB2312" w:cs="Times New Roman"/>
          <w:b/>
          <w:sz w:val="32"/>
          <w:szCs w:val="32"/>
        </w:rPr>
        <w:instrText xml:space="preserve">分项绩效目标</w:instrText>
      </w:r>
      <w:bookmarkEnd w:id="2"/>
      <w:r>
        <w:rPr>
          <w:rFonts w:hint="eastAsia" w:ascii="仿宋_GB2312" w:hAnsi="Times New Roman" w:eastAsia="仿宋_GB2312" w:cs="Times New Roman"/>
          <w:b/>
          <w:sz w:val="32"/>
          <w:szCs w:val="32"/>
        </w:rPr>
        <w:instrText xml:space="preserve"> \f A \l 1 </w:instrText>
      </w:r>
      <w:r>
        <w:rPr>
          <w:rFonts w:hint="eastAsia" w:ascii="仿宋_GB2312" w:hAnsi="Times New Roman" w:eastAsia="仿宋_GB2312" w:cs="Times New Roman"/>
          <w:b/>
          <w:sz w:val="32"/>
          <w:szCs w:val="32"/>
        </w:rPr>
        <w:fldChar w:fldCharType="end"/>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1、</w:t>
      </w:r>
      <w:r>
        <w:rPr>
          <w:rFonts w:ascii="仿宋_GB2312" w:hAnsi="Times New Roman" w:eastAsia="仿宋_GB2312" w:cs="Times New Roman"/>
          <w:sz w:val="32"/>
          <w:szCs w:val="32"/>
        </w:rPr>
        <w:t>精心筹办2020年“双节”期间文体活动。1-2月举办迎新春晚会、新春激情广场戏曲专场演出、民间花会展演等大型文化活动。</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绩效目标：文艺活动展演不少于20场次，为节日增添喜庆氛围。</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绩效指标：举办文体活动完成率≥95%以上。</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2、</w:t>
      </w:r>
      <w:r>
        <w:rPr>
          <w:rFonts w:ascii="仿宋_GB2312" w:hAnsi="Times New Roman" w:eastAsia="仿宋_GB2312" w:cs="Times New Roman"/>
          <w:sz w:val="32"/>
          <w:szCs w:val="32"/>
        </w:rPr>
        <w:t>大力实施文化惠民工程。开展“彩色周末”“送戏下乡”等文艺演出活动，丰富群众精神文化生活。</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绩效目标：组织举办文艺演出不少于80场次。</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绩效指标：举办</w:t>
      </w:r>
      <w:r>
        <w:rPr>
          <w:rFonts w:hint="eastAsia" w:ascii="仿宋_GB2312" w:hAnsi="Times New Roman" w:eastAsia="仿宋_GB2312" w:cs="Times New Roman"/>
          <w:sz w:val="32"/>
          <w:szCs w:val="32"/>
        </w:rPr>
        <w:t>文艺</w:t>
      </w:r>
      <w:r>
        <w:rPr>
          <w:rFonts w:ascii="仿宋_GB2312" w:hAnsi="Times New Roman" w:eastAsia="仿宋_GB2312" w:cs="Times New Roman"/>
          <w:sz w:val="32"/>
          <w:szCs w:val="32"/>
        </w:rPr>
        <w:t>活动完成率≥95%以上</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3、</w:t>
      </w:r>
      <w:r>
        <w:rPr>
          <w:rFonts w:ascii="仿宋_GB2312" w:hAnsi="Times New Roman" w:eastAsia="仿宋_GB2312" w:cs="Times New Roman"/>
          <w:sz w:val="32"/>
          <w:szCs w:val="32"/>
        </w:rPr>
        <w:t>扎实开展全民健身活动。全年策划举办无极县篮球联赛、羽毛球联赛、乒乓球邀请赛、象棋公开赛等;组织举办好8月8日全民健身日展演活动。同时，积极参加省市举办的各类体育赛事和健身展演，掀起全民健身活动新高潮。</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绩效目标：全年举办系列体育赛事、展演不少于80场次，促进全民健身事业蓬勃发展。</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绩效指标：举办各项体育赛事完成率≥95%以上。</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4、</w:t>
      </w:r>
      <w:r>
        <w:rPr>
          <w:rFonts w:ascii="仿宋_GB2312" w:hAnsi="Times New Roman" w:eastAsia="仿宋_GB2312" w:cs="Times New Roman"/>
          <w:sz w:val="32"/>
          <w:szCs w:val="32"/>
        </w:rPr>
        <w:t>加强非遗挖掘及传承申报工作。</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绩效目标：2020年12月底，力争完成5个县级、2个石家庄市级、1个省级非遗保护项目的晋级申报工作。</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绩效指标：非遗挖掘及传承申报完成率≥90%以上。</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5、</w:t>
      </w:r>
      <w:r>
        <w:rPr>
          <w:rFonts w:ascii="仿宋_GB2312" w:hAnsi="Times New Roman" w:eastAsia="仿宋_GB2312" w:cs="Times New Roman"/>
          <w:sz w:val="32"/>
          <w:szCs w:val="32"/>
        </w:rPr>
        <w:t>切实加强文化市场管理。贯穿全年开展“清源2020”、“净网2020”、“秋风2020”、“护苗2020”等系列专项整治行动，为未成年人健康成长创造良好的文化环境。同时，在元旦、春节、“两会”等重点时期，提高对重点区域抽查频次。严厉打击无证经营行为，持续深入开展扫黑除恶专项斗争，维护市场正常经营秩序。</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绩效目标：坚持正常工作日每周巡查文化市场不少于3天。</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绩效指标：深入开展文化市场行政执法，实现我市文化市场净化与繁荣并举。</w:t>
      </w:r>
    </w:p>
    <w:p>
      <w:pPr>
        <w:autoSpaceDE w:val="0"/>
        <w:autoSpaceDN w:val="0"/>
        <w:adjustRightInd w:val="0"/>
        <w:ind w:left="198"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（三）工作保障措施</w:t>
      </w:r>
      <w:r>
        <w:rPr>
          <w:rFonts w:hint="eastAsia" w:ascii="仿宋_GB2312" w:hAnsi="Times New Roman" w:eastAsia="仿宋_GB2312" w:cs="Times New Roman"/>
          <w:b/>
          <w:sz w:val="32"/>
          <w:szCs w:val="32"/>
        </w:rPr>
        <w:fldChar w:fldCharType="begin"/>
      </w:r>
      <w:r>
        <w:rPr>
          <w:rFonts w:hint="eastAsia" w:ascii="仿宋_GB2312" w:hAnsi="Times New Roman" w:eastAsia="仿宋_GB2312" w:cs="Times New Roman"/>
          <w:b/>
          <w:sz w:val="32"/>
          <w:szCs w:val="32"/>
        </w:rPr>
        <w:instrText xml:space="preserve"> TC </w:instrText>
      </w:r>
      <w:bookmarkStart w:id="3" w:name="_Toc29484630"/>
      <w:r>
        <w:rPr>
          <w:rFonts w:hint="eastAsia" w:ascii="仿宋_GB2312" w:hAnsi="Times New Roman" w:eastAsia="仿宋_GB2312" w:cs="Times New Roman"/>
          <w:b/>
          <w:sz w:val="32"/>
          <w:szCs w:val="32"/>
        </w:rPr>
        <w:instrText xml:space="preserve">工作保障措施</w:instrText>
      </w:r>
      <w:bookmarkEnd w:id="3"/>
      <w:r>
        <w:rPr>
          <w:rFonts w:hint="eastAsia" w:ascii="仿宋_GB2312" w:hAnsi="Times New Roman" w:eastAsia="仿宋_GB2312" w:cs="Times New Roman"/>
          <w:b/>
          <w:sz w:val="32"/>
          <w:szCs w:val="32"/>
        </w:rPr>
        <w:instrText xml:space="preserve"> \f A \l 1 </w:instrText>
      </w:r>
      <w:r>
        <w:rPr>
          <w:rFonts w:hint="eastAsia" w:ascii="仿宋_GB2312" w:hAnsi="Times New Roman" w:eastAsia="仿宋_GB2312" w:cs="Times New Roman"/>
          <w:b/>
          <w:sz w:val="32"/>
          <w:szCs w:val="32"/>
        </w:rPr>
        <w:fldChar w:fldCharType="end"/>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为使全年发展规划目标的顺利完成，我局进一步加强领导，严格落实领导责任制，做到任务明确、目标明确、责任明确，确保各项任务的顺利完成；对工作目标详细分解，落实到人，按照“首问负责制”要求，对每个人进行分解考核，防止推诿扯皮；强化法制理念，严格依法办事，严厉查处人情案和私案，确保执法办案公开透明；加强机关管理，落实各项规章制度，文明办事，和蔼待人，不断提高服务质量。</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 xml:space="preserve"> 完善制度建设。继续完善机关管理制度建设，积极推动“送戏下乡”等惠民工程，推进乡镇文化站建设，提高人民群众幸福感。</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加强绩效运行监控。按照要求，开展绩效运行监控，发现问题及时采取措施，确保绩效目标如期保质实现。</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做好绩效自评。按要求，开展上年度部门预算绩效自评和重点评价工作，对评价中发现的问题及时整改，调整优化支出结构，提高财政资金使用效益。</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规范财务资产管理。完善财务管理制度，严格审批程序，加强固定资产登记、使用和报废处置管理，做到支出合理，物尽其用。</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autoSpaceDE w:val="0"/>
        <w:autoSpaceDN w:val="0"/>
        <w:adjustRightInd w:val="0"/>
        <w:ind w:left="198" w:firstLine="643" w:firstLineChars="200"/>
        <w:jc w:val="left"/>
        <w:rPr>
          <w:rFonts w:ascii="仿宋_GB2312" w:hAnsi="Times New Roman" w:eastAsia="仿宋_GB2312" w:cs="Times New Roman"/>
          <w:b/>
          <w:sz w:val="32"/>
          <w:szCs w:val="32"/>
        </w:rPr>
      </w:pPr>
    </w:p>
    <w:p>
      <w:pPr>
        <w:autoSpaceDE w:val="0"/>
        <w:autoSpaceDN w:val="0"/>
        <w:adjustRightInd w:val="0"/>
        <w:ind w:left="198" w:firstLine="643" w:firstLineChars="200"/>
        <w:jc w:val="left"/>
        <w:rPr>
          <w:rFonts w:ascii="仿宋_GB2312" w:hAnsi="Times New Roman" w:eastAsia="仿宋_GB2312" w:cs="Times New Roman"/>
          <w:b/>
          <w:sz w:val="32"/>
          <w:szCs w:val="32"/>
        </w:rPr>
      </w:pPr>
    </w:p>
    <w:p>
      <w:pPr>
        <w:autoSpaceDE w:val="0"/>
        <w:autoSpaceDN w:val="0"/>
        <w:adjustRightInd w:val="0"/>
        <w:ind w:left="198" w:firstLine="643" w:firstLineChars="200"/>
        <w:jc w:val="left"/>
        <w:rPr>
          <w:rFonts w:ascii="仿宋_GB2312" w:hAnsi="Times New Roman" w:eastAsia="仿宋_GB2312" w:cs="Times New Roman"/>
          <w:b/>
          <w:sz w:val="32"/>
          <w:szCs w:val="32"/>
        </w:rPr>
      </w:pPr>
    </w:p>
    <w:p>
      <w:pPr>
        <w:autoSpaceDE w:val="0"/>
        <w:autoSpaceDN w:val="0"/>
        <w:adjustRightInd w:val="0"/>
        <w:ind w:left="198"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第二部分  预算项目绩效目标</w:t>
      </w:r>
    </w:p>
    <w:p>
      <w:pPr>
        <w:ind w:firstLine="562" w:firstLineChars="200"/>
        <w:jc w:val="left"/>
        <w:outlineLvl w:val="1"/>
        <w:rPr>
          <w:rFonts w:ascii="Times New Roman" w:hAnsi="宋体" w:cs="Times New Roman"/>
          <w:b/>
          <w:sz w:val="28"/>
          <w:szCs w:val="24"/>
        </w:rPr>
      </w:pPr>
      <w:r>
        <w:rPr>
          <w:rFonts w:hint="eastAsia" w:ascii="仿宋_GB2312" w:eastAsia="仿宋_GB2312"/>
          <w:b/>
          <w:sz w:val="28"/>
        </w:rPr>
        <w:t xml:space="preserve"> </w:t>
      </w:r>
      <w:r>
        <w:rPr>
          <w:rFonts w:hint="eastAsia" w:ascii="方正仿宋_GBK" w:hAnsi="Times New Roman" w:eastAsia="方正仿宋_GBK" w:cs="Times New Roman"/>
          <w:b/>
          <w:sz w:val="28"/>
          <w:szCs w:val="24"/>
        </w:rPr>
        <w:t>1、2020年市运会经费绩效目标表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4" w:name="_Toc34955237"/>
      <w:r>
        <w:rPr>
          <w:rFonts w:hint="eastAsia" w:ascii="方正仿宋_GBK" w:hAnsi="Times New Roman" w:eastAsia="方正仿宋_GBK" w:cs="Times New Roman"/>
          <w:b/>
          <w:sz w:val="28"/>
          <w:szCs w:val="24"/>
        </w:rPr>
        <w:instrText xml:space="preserve">1、2020年市运会经费绩效目标表</w:instrText>
      </w:r>
      <w:bookmarkEnd w:id="4"/>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357-0501-YQN-Q1G0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年市运会经费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年市运会经费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、市运会经费</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、保证活动正常开展</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保质保量完成</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产生的社会影响力</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社会效益良好</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2、《旅游规划》编制专项资金绩效目标表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5" w:name="_Toc34955238"/>
      <w:r>
        <w:rPr>
          <w:rFonts w:hint="eastAsia" w:ascii="方正仿宋_GBK" w:hAnsi="Times New Roman" w:eastAsia="方正仿宋_GBK" w:cs="Times New Roman"/>
          <w:b/>
          <w:sz w:val="28"/>
          <w:szCs w:val="24"/>
        </w:rPr>
        <w:instrText xml:space="preserve">2、《旅游规划》编制专项资金绩效目标表</w:instrText>
      </w:r>
      <w:bookmarkEnd w:id="5"/>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357-0202-YQN-U2L0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《旅游规划》编制专项资金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17.91</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17.91</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委托专业机构编制《无极县全域旅游发展总体规划》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、宣传我县旅游资源，使得充分挖掘我县旅游资源，发展旅游产业，带动县域经济发展</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、让群众了解我县旅游资源，从而发展旅游。</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完成专著数量（项）</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当年完成的数量</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当年完成的数量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可持续影响指标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委托编制总体规划</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当年完成的数量</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当年完成的数量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调查中满意和较满意的人数占调查总人数的比率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让群众满意。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3、仿真冰滑冰场建设资金绩效目标表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6" w:name="_Toc34955239"/>
      <w:r>
        <w:rPr>
          <w:rFonts w:hint="eastAsia" w:ascii="方正仿宋_GBK" w:hAnsi="Times New Roman" w:eastAsia="方正仿宋_GBK" w:cs="Times New Roman"/>
          <w:b/>
          <w:sz w:val="28"/>
          <w:szCs w:val="24"/>
        </w:rPr>
        <w:instrText xml:space="preserve">3、仿真冰滑冰场建设资金绩效目标表</w:instrText>
      </w:r>
      <w:bookmarkEnd w:id="6"/>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357-0502-YQN-7F3C</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仿真冰滑冰场建设资金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140.00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140.00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用于仿真冰滑冰场建设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、仿真冰滑冰场建设</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、让群众满意</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个</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建设一个滑冰场</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建设一个高标准的滑冰场</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群众参与</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社会效益良好</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让群众满意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群众对滑冰场的整体满意度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85</w:t>
            </w:r>
            <w:r>
              <w:rPr>
                <w:rFonts w:hint="eastAsia" w:ascii="方正书宋_GBK" w:hAnsi="Times New Roman" w:eastAsia="方正书宋_GBK" w:cs="Times New Roman"/>
                <w:szCs w:val="24"/>
              </w:rPr>
              <w:t>让群众满意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4、关于提前下达2020年省级“三馆一站”免费开放补助资金的通知绩效目标表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7" w:name="_Toc34955240"/>
      <w:r>
        <w:rPr>
          <w:rFonts w:hint="eastAsia" w:ascii="方正仿宋_GBK" w:hAnsi="Times New Roman" w:eastAsia="方正仿宋_GBK" w:cs="Times New Roman"/>
          <w:b/>
          <w:sz w:val="28"/>
          <w:szCs w:val="24"/>
        </w:rPr>
        <w:instrText xml:space="preserve">4、关于提前下达2020年省级\“三馆一站\”免费开放补助资金的通知绩效目标表</w:instrText>
      </w:r>
      <w:bookmarkEnd w:id="7"/>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357-0202-JSN-D2GZ</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年省级</w:t>
            </w:r>
            <w:r>
              <w:rPr>
                <w:rFonts w:hint="cs" w:ascii="方正书宋_GBK" w:hAnsi="Times New Roman" w:eastAsia="方正书宋_GBK" w:cs="Times New Roman"/>
                <w:szCs w:val="24"/>
              </w:rPr>
              <w:t>“</w:t>
            </w:r>
            <w:r>
              <w:rPr>
                <w:rFonts w:hint="eastAsia" w:ascii="方正书宋_GBK" w:hAnsi="Times New Roman" w:eastAsia="方正书宋_GBK" w:cs="Times New Roman"/>
                <w:szCs w:val="24"/>
              </w:rPr>
              <w:t>三馆一站</w:t>
            </w:r>
            <w:r>
              <w:rPr>
                <w:rFonts w:hint="cs" w:ascii="方正书宋_GBK" w:hAnsi="Times New Roman" w:eastAsia="方正书宋_GBK" w:cs="Times New Roman"/>
                <w:szCs w:val="24"/>
              </w:rPr>
              <w:t>”</w:t>
            </w:r>
            <w:r>
              <w:rPr>
                <w:rFonts w:hint="eastAsia" w:ascii="方正书宋_GBK" w:hAnsi="Times New Roman" w:eastAsia="方正书宋_GBK" w:cs="Times New Roman"/>
                <w:szCs w:val="24"/>
              </w:rPr>
              <w:t>免费开放补助资金的通知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16.50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16.50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年省级文化站免费开放经费，用于</w:t>
            </w:r>
            <w:r>
              <w:rPr>
                <w:rFonts w:ascii="方正书宋_GBK" w:hAnsi="Times New Roman" w:eastAsia="方正书宋_GBK" w:cs="Times New Roman"/>
                <w:szCs w:val="24"/>
              </w:rPr>
              <w:t>11</w:t>
            </w:r>
            <w:r>
              <w:rPr>
                <w:rFonts w:hint="eastAsia" w:ascii="方正书宋_GBK" w:hAnsi="Times New Roman" w:eastAsia="方正书宋_GBK" w:cs="Times New Roman"/>
                <w:szCs w:val="24"/>
              </w:rPr>
              <w:t>个文化站免费开放保障资金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、省级文化站免费开放经费，用于群众文化活动的开展，文艺培训，小型修缮等，从而丰富我县人民群众业余文化生活。</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、使得我县人民群众业余文化生活得到极大改善。</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送公益流动文化服务进基层完成率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年度内送公益文艺展览、演出的实际场次数占计划场次数的比例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达到社会效益程度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得到良好的社会效益</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达到社会效益程度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得到良好的社会效益</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w:t>
            </w:r>
            <w:r>
              <w:rPr>
                <w:rFonts w:ascii="方正书宋_GBK" w:hAnsi="Times New Roman" w:eastAsia="方正书宋_GBK" w:cs="Times New Roman"/>
                <w:szCs w:val="24"/>
              </w:rPr>
              <w:t>%</w:t>
            </w:r>
            <w:r>
              <w:rPr>
                <w:rFonts w:hint="eastAsia" w:ascii="方正书宋_GBK" w:hAnsi="Times New Roman" w:eastAsia="方正书宋_GBK" w:cs="Times New Roman"/>
                <w:szCs w:val="24"/>
              </w:rPr>
              <w:t>）</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调查中满意和较满意的人数占调查总人数的比率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5、关于提前下达2020年中央补助地方美术馆公共图书馆 文化馆（站）免费开放补助资金预算的通知绩效目标表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8" w:name="_Toc34955241"/>
      <w:r>
        <w:rPr>
          <w:rFonts w:hint="eastAsia" w:ascii="方正仿宋_GBK" w:hAnsi="Times New Roman" w:eastAsia="方正仿宋_GBK" w:cs="Times New Roman"/>
          <w:b/>
          <w:sz w:val="28"/>
          <w:szCs w:val="24"/>
        </w:rPr>
        <w:instrText xml:space="preserve">5、关于提前下达2020年中央补助地方美术馆公共图书馆</w:instrText>
      </w:r>
      <w:bookmarkEnd w:id="8"/>
      <w:r>
        <w:rPr>
          <w:rFonts w:hint="eastAsia" w:ascii="方正仿宋_GBK" w:hAnsi="Times New Roman" w:eastAsia="方正仿宋_GBK" w:cs="Times New Roman"/>
          <w:b/>
          <w:sz w:val="28"/>
          <w:szCs w:val="24"/>
        </w:rPr>
        <w:instrText xml:space="preserve"> 文化馆（站）免费开放补助资金预算的通知绩效目标表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357-0202-JZN-W7V8</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年中央补助地方美术馆公共图书馆</w:t>
            </w:r>
            <w:r>
              <w:rPr>
                <w:rFonts w:ascii="方正书宋_GBK" w:hAnsi="Times New Roman" w:eastAsia="方正书宋_GBK" w:cs="Times New Roman"/>
                <w:szCs w:val="24"/>
              </w:rPr>
              <w:t xml:space="preserve"> </w:t>
            </w:r>
            <w:r>
              <w:rPr>
                <w:rFonts w:hint="eastAsia" w:ascii="方正书宋_GBK" w:hAnsi="Times New Roman" w:eastAsia="方正书宋_GBK" w:cs="Times New Roman"/>
                <w:szCs w:val="24"/>
              </w:rPr>
              <w:t>文化馆（站）免费开放补助资金预算的通知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27.50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27.50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中央补助文化站免费开放经费，用于群众文化活动，文艺培训、文化站小型的维修，文化宣传等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30.00</w:t>
            </w: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、文化站免费开放经费</w:t>
            </w:r>
            <w:r>
              <w:rPr>
                <w:rFonts w:ascii="方正书宋_GBK" w:hAnsi="Times New Roman" w:eastAsia="方正书宋_GBK" w:cs="Times New Roman"/>
                <w:szCs w:val="24"/>
              </w:rPr>
              <w:t>27.5</w:t>
            </w:r>
            <w:r>
              <w:rPr>
                <w:rFonts w:hint="eastAsia" w:ascii="方正书宋_GBK" w:hAnsi="Times New Roman" w:eastAsia="方正书宋_GBK" w:cs="Times New Roman"/>
                <w:szCs w:val="24"/>
              </w:rPr>
              <w:t>万</w:t>
            </w:r>
            <w:r>
              <w:rPr>
                <w:rFonts w:ascii="方正书宋_GBK" w:hAnsi="Times New Roman" w:eastAsia="方正书宋_GBK" w:cs="Times New Roman"/>
                <w:szCs w:val="24"/>
              </w:rPr>
              <w:t>,</w:t>
            </w:r>
            <w:r>
              <w:rPr>
                <w:rFonts w:hint="eastAsia" w:ascii="方正书宋_GBK" w:hAnsi="Times New Roman" w:eastAsia="方正书宋_GBK" w:cs="Times New Roman"/>
                <w:szCs w:val="24"/>
              </w:rPr>
              <w:t>用于群众文化活动的开展，文艺培训，小型修缮等</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、丰富我县人民群众业余文化生活</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及时保质保量完成</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社会效益影响程度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收到良好的社会效益</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让群众满意</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6、河北省财政厅关于提前下达2020年省级体育彩票公益金专项资金的通知绩效目标表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9" w:name="_Toc34955242"/>
      <w:r>
        <w:rPr>
          <w:rFonts w:hint="eastAsia" w:ascii="方正仿宋_GBK" w:hAnsi="Times New Roman" w:eastAsia="方正仿宋_GBK" w:cs="Times New Roman"/>
          <w:b/>
          <w:sz w:val="28"/>
          <w:szCs w:val="24"/>
        </w:rPr>
        <w:instrText xml:space="preserve">6、河北省财政厅关于提前下达2020年省级体育彩票公益金专项资金的通知绩效目标表</w:instrText>
      </w:r>
      <w:bookmarkEnd w:id="9"/>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357-0501-JSN-DQ5H</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河北省财政厅关于提前下达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年省级体育彩票公益金专项资金的通知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20.00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20.00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年省级体育彩票公益金专项资金，用于体育发展发面。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、使其体育得到很好的发展</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、让群众满意。</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当年完成情况</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在社会上产生良好的效益</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7、河北省财政厅关于提前下达2020年中央补助地方公共文化服务体系建设专项资金预算的通知（农村文化建设）绩效目标表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0" w:name="_Toc34955243"/>
      <w:r>
        <w:rPr>
          <w:rFonts w:hint="eastAsia" w:ascii="方正仿宋_GBK" w:hAnsi="Times New Roman" w:eastAsia="方正仿宋_GBK" w:cs="Times New Roman"/>
          <w:b/>
          <w:sz w:val="28"/>
          <w:szCs w:val="24"/>
        </w:rPr>
        <w:instrText xml:space="preserve">7、河北省财政厅关于提前下达2020年中央补助地方公共文化服务体系建设专项资金预算的通知（农村文化建设）绩效目标表</w:instrText>
      </w:r>
      <w:bookmarkEnd w:id="10"/>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357-0202-JZN-V0YX</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河北省财政厅关于提前下达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年中央补助地方公共文化服务体系建设专项资金预算的通知（农村文化建设）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107.44</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107.44</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计划进行设备购置、活动演出，广场建设</w:t>
            </w:r>
            <w:r>
              <w:rPr>
                <w:rFonts w:hint="eastAsia" w:ascii="方正书宋_GBK" w:hAnsi="Times New Roman" w:eastAsia="方正书宋_GBK" w:cs="Times New Roman"/>
                <w:szCs w:val="24"/>
                <w:lang w:eastAsia="zh-CN"/>
              </w:rPr>
              <w:t>以及</w:t>
            </w:r>
            <w:r>
              <w:rPr>
                <w:rFonts w:hint="eastAsia" w:ascii="方正书宋_GBK" w:hAnsi="Times New Roman" w:eastAsia="方正书宋_GBK" w:cs="Times New Roman"/>
                <w:szCs w:val="24"/>
              </w:rPr>
              <w:t>器材的维修等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20.00</w:t>
            </w: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、保质保量完成</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、让群众满意</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具体实施情况</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规划推动全县各级文化服务机构、设施和队伍建设；创新公共文化服务模式，建立公共文化资源共享机制，健全公共文化服务网络。组织指导公共文化产品生产，提高文化服务。</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活动保质保量完成</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社会影响力</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产生良好效益</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85</w:t>
            </w:r>
            <w:r>
              <w:rPr>
                <w:rFonts w:hint="eastAsia" w:ascii="方正书宋_GBK" w:hAnsi="Times New Roman" w:eastAsia="方正书宋_GBK" w:cs="Times New Roman"/>
                <w:szCs w:val="24"/>
              </w:rPr>
              <w:t>让群众满意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调查中满意和较满意的人数占调查总人数的比率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让群众满意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8、老年体协公用经费绩效目标表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1" w:name="_Toc34955244"/>
      <w:r>
        <w:rPr>
          <w:rFonts w:hint="eastAsia" w:ascii="方正仿宋_GBK" w:hAnsi="Times New Roman" w:eastAsia="方正仿宋_GBK" w:cs="Times New Roman"/>
          <w:b/>
          <w:sz w:val="28"/>
          <w:szCs w:val="24"/>
        </w:rPr>
        <w:instrText xml:space="preserve">8、老年体协公用经费绩效目标表</w:instrText>
      </w:r>
      <w:bookmarkEnd w:id="11"/>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357-0602-JQN-7PHW</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老年体协公用经费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7.00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7.00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用于老年体协活动的开展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、活动保质保量完成</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、得到群众的认可</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保证优质完成</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各项老年体协活动保质保量完成。</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优质完成活动的开展</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社会影响力</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全县群众产生的重要影响，得到广大受众的充分认可。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85</w:t>
            </w:r>
            <w:r>
              <w:rPr>
                <w:rFonts w:hint="eastAsia" w:ascii="方正书宋_GBK" w:hAnsi="Times New Roman" w:eastAsia="方正书宋_GBK" w:cs="Times New Roman"/>
                <w:szCs w:val="24"/>
              </w:rPr>
              <w:t>得到广大人民群众的认可</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85</w:t>
            </w:r>
            <w:r>
              <w:rPr>
                <w:rFonts w:hint="eastAsia" w:ascii="方正书宋_GBK" w:hAnsi="Times New Roman" w:eastAsia="方正书宋_GBK" w:cs="Times New Roman"/>
                <w:szCs w:val="24"/>
              </w:rPr>
              <w:t>得到广大群众的认可</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9、提前下达2020年中央补助地方公共文化服务体系建设专项资金（公共数字文化建设）（农村文化建设）绩效目标表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2" w:name="_Toc34955245"/>
      <w:r>
        <w:rPr>
          <w:rFonts w:hint="eastAsia" w:ascii="方正仿宋_GBK" w:hAnsi="Times New Roman" w:eastAsia="方正仿宋_GBK" w:cs="Times New Roman"/>
          <w:b/>
          <w:sz w:val="28"/>
          <w:szCs w:val="24"/>
        </w:rPr>
        <w:instrText xml:space="preserve">9、提前下达2020年中央补助地方公共文化服务体系建设专项资金（公共数字文化建设）（农村文化建设）绩效目标表</w:instrText>
      </w:r>
      <w:bookmarkEnd w:id="12"/>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357-0202-JZN-EMLZ</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年中央补助地方公共文化服务体系建设专项资金（公共数字文化建设）（农村文化建设）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年中央补助地方公共文化服务体系建设专项资金公共数字文化建设资金</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、公共数字文化建设</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、让群众满意</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保证时效</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及时完成</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及时保质保量完成</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产生的社会效益</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产生良好的社会效益</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让群众满意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85</w:t>
            </w:r>
            <w:r>
              <w:rPr>
                <w:rFonts w:hint="eastAsia" w:ascii="方正书宋_GBK" w:hAnsi="Times New Roman" w:eastAsia="方正书宋_GBK" w:cs="Times New Roman"/>
                <w:szCs w:val="24"/>
              </w:rPr>
              <w:t>然群众满意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10、提前下达2020年中央补助地方公共文化服务体系建设专项资金（绩效奖励）（农村文化建设）绩效目标表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3" w:name="_Toc34955246"/>
      <w:r>
        <w:rPr>
          <w:rFonts w:hint="eastAsia" w:ascii="方正仿宋_GBK" w:hAnsi="Times New Roman" w:eastAsia="方正仿宋_GBK" w:cs="Times New Roman"/>
          <w:b/>
          <w:sz w:val="28"/>
          <w:szCs w:val="24"/>
        </w:rPr>
        <w:instrText xml:space="preserve">10、提前下达2020年中央补助地方公共文化服务体系建设专项资金（绩效奖励）（农村文化建设）绩效目标表</w:instrText>
      </w:r>
      <w:bookmarkEnd w:id="13"/>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357-0202-JZN-GS4V</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年中央补助地方公共文化服务体系建设专项资金（绩效奖励）（农村文化建设）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30.00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30.00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主要用于设备购置等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、保质保量完成</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、让群众满意</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保质保量完成</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在社会上产生的影响</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要有良好的社会效益</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85</w:t>
            </w:r>
            <w:r>
              <w:rPr>
                <w:rFonts w:hint="eastAsia" w:ascii="方正书宋_GBK" w:hAnsi="Times New Roman" w:eastAsia="方正书宋_GBK" w:cs="Times New Roman"/>
                <w:szCs w:val="24"/>
              </w:rPr>
              <w:t>产生良好社会效益</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群众整体满意度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85</w:t>
            </w:r>
            <w:r>
              <w:rPr>
                <w:rFonts w:hint="eastAsia" w:ascii="方正书宋_GBK" w:hAnsi="Times New Roman" w:eastAsia="方正书宋_GBK" w:cs="Times New Roman"/>
                <w:szCs w:val="24"/>
              </w:rPr>
              <w:t>让群众满意。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11、文保所专项公用经费绩效目标表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4" w:name="_Toc34955247"/>
      <w:r>
        <w:rPr>
          <w:rFonts w:hint="eastAsia" w:ascii="方正仿宋_GBK" w:hAnsi="Times New Roman" w:eastAsia="方正仿宋_GBK" w:cs="Times New Roman"/>
          <w:b/>
          <w:sz w:val="28"/>
          <w:szCs w:val="24"/>
        </w:rPr>
        <w:instrText xml:space="preserve">11、文保所专项公用经费绩效目标表</w:instrText>
      </w:r>
      <w:bookmarkEnd w:id="14"/>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357-0602-JQN-DWG6</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文保所专项公用经费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文保所专项公用经费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、保证日常工作</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、正常开展</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质量保证</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保质保量</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保证工作正常开展</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让大家满意</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整体满意度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12、甄氏墓地安防资金绩效目标表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5" w:name="_Toc34955248"/>
      <w:r>
        <w:rPr>
          <w:rFonts w:hint="eastAsia" w:ascii="方正仿宋_GBK" w:hAnsi="Times New Roman" w:eastAsia="方正仿宋_GBK" w:cs="Times New Roman"/>
          <w:b/>
          <w:sz w:val="28"/>
          <w:szCs w:val="24"/>
        </w:rPr>
        <w:instrText xml:space="preserve">12、甄氏墓地安防资金绩效目标表</w:instrText>
      </w:r>
      <w:bookmarkEnd w:id="15"/>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357002</w:t>
            </w:r>
            <w:r>
              <w:rPr>
                <w:rFonts w:hint="eastAsia" w:ascii="方正书宋_GBK" w:hAnsi="Times New Roman" w:eastAsia="方正书宋_GBK" w:cs="Times New Roman"/>
                <w:b/>
                <w:szCs w:val="24"/>
              </w:rPr>
              <w:t>无极县文化广电体育和旅游局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357-0301-JQN-104Z</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甄氏墓地安防资金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6.10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6.10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用于甄氏墓群安防工程维修维护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、使其国家文物得到有效保护</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、使其国家文物得到有效保护</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成本指标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濒危和重点项目有效保护覆盖率（</w:t>
            </w:r>
            <w:r>
              <w:rPr>
                <w:rFonts w:ascii="方正书宋_GBK" w:hAnsi="Times New Roman" w:eastAsia="方正书宋_GBK" w:cs="Times New Roman"/>
                <w:szCs w:val="24"/>
              </w:rPr>
              <w:t>%</w:t>
            </w:r>
            <w:r>
              <w:rPr>
                <w:rFonts w:hint="eastAsia" w:ascii="方正书宋_GBK" w:hAnsi="Times New Roman" w:eastAsia="方正书宋_GBK" w:cs="Times New Roman"/>
                <w:szCs w:val="24"/>
              </w:rPr>
              <w:t>）</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有效保护的濒危和重点项目数量占项目总数量的比率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80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隐患消除情况</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通过维护改造，消除安全隐患的项数或情况</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年度预算管理要求，资金支付中期规划。</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13、关于提前下达2020年省级“三馆一站”免费开放补助资金的通知绩效目标表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6" w:name="_Toc34955249"/>
      <w:r>
        <w:rPr>
          <w:rFonts w:hint="eastAsia" w:ascii="方正仿宋_GBK" w:hAnsi="Times New Roman" w:eastAsia="方正仿宋_GBK" w:cs="Times New Roman"/>
          <w:b/>
          <w:sz w:val="28"/>
          <w:szCs w:val="24"/>
        </w:rPr>
        <w:instrText xml:space="preserve">13、关于提前下达2020年省级\“三馆一站\”免费开放补助资金的通知绩效目标表</w:instrText>
      </w:r>
      <w:bookmarkEnd w:id="16"/>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357003</w:t>
            </w:r>
            <w:r>
              <w:rPr>
                <w:rFonts w:hint="eastAsia" w:ascii="方正书宋_GBK" w:hAnsi="Times New Roman" w:eastAsia="方正书宋_GBK" w:cs="Times New Roman"/>
                <w:b/>
                <w:szCs w:val="24"/>
              </w:rPr>
              <w:t>无极县图书馆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357-0202-JSN-F5C9</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年省级</w:t>
            </w:r>
            <w:r>
              <w:rPr>
                <w:rFonts w:hint="cs" w:ascii="方正书宋_GBK" w:hAnsi="Times New Roman" w:eastAsia="方正书宋_GBK" w:cs="Times New Roman"/>
                <w:szCs w:val="24"/>
              </w:rPr>
              <w:t>“</w:t>
            </w:r>
            <w:r>
              <w:rPr>
                <w:rFonts w:hint="eastAsia" w:ascii="方正书宋_GBK" w:hAnsi="Times New Roman" w:eastAsia="方正书宋_GBK" w:cs="Times New Roman"/>
                <w:szCs w:val="24"/>
              </w:rPr>
              <w:t>三馆一站</w:t>
            </w:r>
            <w:r>
              <w:rPr>
                <w:rFonts w:hint="cs" w:ascii="方正书宋_GBK" w:hAnsi="Times New Roman" w:eastAsia="方正书宋_GBK" w:cs="Times New Roman"/>
                <w:szCs w:val="24"/>
              </w:rPr>
              <w:t>”</w:t>
            </w:r>
            <w:r>
              <w:rPr>
                <w:rFonts w:hint="eastAsia" w:ascii="方正书宋_GBK" w:hAnsi="Times New Roman" w:eastAsia="方正书宋_GBK" w:cs="Times New Roman"/>
                <w:szCs w:val="24"/>
              </w:rPr>
              <w:t>免费开放补助资金的通知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用于图书及设备更新，举办图书推荐活动及讲座，更好推动馆内各项工作开展。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、全方位推介图书馆收集、整理、保存、传播文献的社会职能，提升交流水平和档次。</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、围绕优化服务、拓展图书教育和信息的功能，开展社会教育，提高我县文化影响力。</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公共文化服务活动数量</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各类公共文化服务活动组织开展</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6</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全面保障图书馆免费开放</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群众满意度指标比例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保障各项读书推广活动顺利开展</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群众满意度指标比例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14、关于提前下达2020年中央补助地方美术馆公共图书馆 文化馆（站）免费开放补助资金预算的通知绩效目标表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7" w:name="_Toc34955250"/>
      <w:r>
        <w:rPr>
          <w:rFonts w:hint="eastAsia" w:ascii="方正仿宋_GBK" w:hAnsi="Times New Roman" w:eastAsia="方正仿宋_GBK" w:cs="Times New Roman"/>
          <w:b/>
          <w:sz w:val="28"/>
          <w:szCs w:val="24"/>
        </w:rPr>
        <w:instrText xml:space="preserve">14、关于提前下达2020年中央补助地方美术馆公共图书馆</w:instrText>
      </w:r>
      <w:bookmarkEnd w:id="17"/>
      <w:r>
        <w:rPr>
          <w:rFonts w:hint="eastAsia" w:ascii="方正仿宋_GBK" w:hAnsi="Times New Roman" w:eastAsia="方正仿宋_GBK" w:cs="Times New Roman"/>
          <w:b/>
          <w:sz w:val="28"/>
          <w:szCs w:val="24"/>
        </w:rPr>
        <w:instrText xml:space="preserve"> 文化馆（站）免费开放补助资金预算的通知绩效目标表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357003</w:t>
            </w:r>
            <w:r>
              <w:rPr>
                <w:rFonts w:hint="eastAsia" w:ascii="方正书宋_GBK" w:hAnsi="Times New Roman" w:eastAsia="方正书宋_GBK" w:cs="Times New Roman"/>
                <w:b/>
                <w:szCs w:val="24"/>
              </w:rPr>
              <w:t>无极县图书馆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357-0202-JZN-IEVD</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年中央补助地方美术馆公共图书馆</w:t>
            </w:r>
            <w:r>
              <w:rPr>
                <w:rFonts w:ascii="方正书宋_GBK" w:hAnsi="Times New Roman" w:eastAsia="方正书宋_GBK" w:cs="Times New Roman"/>
                <w:szCs w:val="24"/>
              </w:rPr>
              <w:t xml:space="preserve"> </w:t>
            </w:r>
            <w:r>
              <w:rPr>
                <w:rFonts w:hint="eastAsia" w:ascii="方正书宋_GBK" w:hAnsi="Times New Roman" w:eastAsia="方正书宋_GBK" w:cs="Times New Roman"/>
                <w:szCs w:val="24"/>
              </w:rPr>
              <w:t>文化馆（站）免费开放补助资金预算的通知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用于图书及设备更新，举办图书推荐活动及讲座，推动馆内各项工作更好地开展。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、全方位宣传推介图书馆收集、整理、保存、传播文献的社会职能，提升交流水平和档次。</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、围绕优化服务、拓展图书馆教育和信息的功能，开展社会教育，提升我县文化影响力。</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公共文化服务活动数量</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各类公共文化服务活动组织开展</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12</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全面保障图书馆免费开放</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全面保障图书馆免费开放</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保障各项读书推广活动顺利开展</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群众满意度指标比例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15、县级图书馆配套免费开放经费绩效目标表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8" w:name="_Toc34955251"/>
      <w:r>
        <w:rPr>
          <w:rFonts w:hint="eastAsia" w:ascii="方正仿宋_GBK" w:hAnsi="Times New Roman" w:eastAsia="方正仿宋_GBK" w:cs="Times New Roman"/>
          <w:b/>
          <w:sz w:val="28"/>
          <w:szCs w:val="24"/>
        </w:rPr>
        <w:instrText xml:space="preserve">15、县级图书馆配套免费开放经费绩效目标表</w:instrText>
      </w:r>
      <w:bookmarkEnd w:id="18"/>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357003</w:t>
            </w:r>
            <w:r>
              <w:rPr>
                <w:rFonts w:hint="eastAsia" w:ascii="方正书宋_GBK" w:hAnsi="Times New Roman" w:eastAsia="方正书宋_GBK" w:cs="Times New Roman"/>
                <w:b/>
                <w:szCs w:val="24"/>
              </w:rPr>
              <w:t>无极县图书馆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357-0202-JQN-QVIB</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县级图书馆配套免费开放经费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组织开展读书阅读推广活动，组织业务培训，图书更新等。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、为全面保障图书馆的免费开放，提高人民群众的读书热情。</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、组织开展各种活动及培训，让更多的人走进图书馆，感受书香魅力。</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成本指标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图书更新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更新图书内容，提高读者阅读质量</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开展业务培训</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工作人员业务能力的提升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提高公共服务水平</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提高公共服务水平</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按年度预算管理要求</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16、关于提前下达2020年省级“三馆一站”免费开放补助资金的通知绩效目标表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19" w:name="_Toc34955252"/>
      <w:r>
        <w:rPr>
          <w:rFonts w:hint="eastAsia" w:ascii="方正仿宋_GBK" w:hAnsi="Times New Roman" w:eastAsia="方正仿宋_GBK" w:cs="Times New Roman"/>
          <w:b/>
          <w:sz w:val="28"/>
          <w:szCs w:val="24"/>
        </w:rPr>
        <w:instrText xml:space="preserve">16、关于提前下达2020年省级\“三馆一站\”免费开放补助资金的通知绩效目标表</w:instrText>
      </w:r>
      <w:bookmarkEnd w:id="19"/>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357004</w:t>
            </w:r>
            <w:r>
              <w:rPr>
                <w:rFonts w:hint="eastAsia" w:ascii="方正书宋_GBK" w:hAnsi="Times New Roman" w:eastAsia="方正书宋_GBK" w:cs="Times New Roman"/>
                <w:b/>
                <w:szCs w:val="24"/>
              </w:rPr>
              <w:t>无极县文化馆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357-0202-JQN-8RW3</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年省级</w:t>
            </w:r>
            <w:r>
              <w:rPr>
                <w:rFonts w:hint="cs" w:ascii="方正书宋_GBK" w:hAnsi="Times New Roman" w:eastAsia="方正书宋_GBK" w:cs="Times New Roman"/>
                <w:szCs w:val="24"/>
              </w:rPr>
              <w:t>“</w:t>
            </w:r>
            <w:r>
              <w:rPr>
                <w:rFonts w:hint="eastAsia" w:ascii="方正书宋_GBK" w:hAnsi="Times New Roman" w:eastAsia="方正书宋_GBK" w:cs="Times New Roman"/>
                <w:szCs w:val="24"/>
              </w:rPr>
              <w:t>三馆一站</w:t>
            </w:r>
            <w:r>
              <w:rPr>
                <w:rFonts w:hint="cs" w:ascii="方正书宋_GBK" w:hAnsi="Times New Roman" w:eastAsia="方正书宋_GBK" w:cs="Times New Roman"/>
                <w:szCs w:val="24"/>
              </w:rPr>
              <w:t>”</w:t>
            </w:r>
            <w:r>
              <w:rPr>
                <w:rFonts w:hint="eastAsia" w:ascii="方正书宋_GBK" w:hAnsi="Times New Roman" w:eastAsia="方正书宋_GBK" w:cs="Times New Roman"/>
                <w:szCs w:val="24"/>
              </w:rPr>
              <w:t>免费开放补助资金的通知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一月份道德模范颁奖暨文艺演出。二月份春节文艺汇演。四至八月文艺骨干培训。五至十月彩色周末。十至十二月迎新春文艺汇演。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35.00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、全面为百姓做好服务，认真组织文化活动，邀请名师莅临指导，免费提供各种培训。</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、工作人员认真工作，认真接待，让群众满意。活动新颖、健康、积极。</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开展宣传方式的品种或数量（次或种）</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反映开展对外宣传形式的多样性</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利用节假日开展群众文化活动</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优良率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结项鉴定优秀等级项目数量占结项总数量的比例（百分比）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丰富群众节庆文化生活</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高品质高品位</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社会影响力</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在全国或全省产生的重要影响，得到广大受众的充分认可。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98</w:t>
            </w:r>
            <w:r>
              <w:rPr>
                <w:rFonts w:hint="eastAsia" w:ascii="方正书宋_GBK" w:hAnsi="Times New Roman" w:eastAsia="方正书宋_GBK" w:cs="Times New Roman"/>
                <w:szCs w:val="24"/>
              </w:rPr>
              <w:t>利用文化活动宣传党的政策</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让群众满意，为人民服务</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17、关于提前下达2020年省级非物质文化遗产保护资金的通知绩效目标表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20" w:name="_Toc34955253"/>
      <w:r>
        <w:rPr>
          <w:rFonts w:hint="eastAsia" w:ascii="方正仿宋_GBK" w:hAnsi="Times New Roman" w:eastAsia="方正仿宋_GBK" w:cs="Times New Roman"/>
          <w:b/>
          <w:sz w:val="28"/>
          <w:szCs w:val="24"/>
        </w:rPr>
        <w:instrText xml:space="preserve">17、关于提前下达2020年省级非物质文化遗产保护资金的通知绩效目标表</w:instrText>
      </w:r>
      <w:bookmarkEnd w:id="20"/>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357004</w:t>
            </w:r>
            <w:r>
              <w:rPr>
                <w:rFonts w:hint="eastAsia" w:ascii="方正书宋_GBK" w:hAnsi="Times New Roman" w:eastAsia="方正书宋_GBK" w:cs="Times New Roman"/>
                <w:b/>
                <w:szCs w:val="24"/>
              </w:rPr>
              <w:t>无极县文化馆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357-0201-JQN-UV0E</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年省级非物质文化遗产保护资金的通知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全年收徒、授艺、挖掘整理艺术创新、交流等。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35.00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、加强资金管理，提高资金使用效益。</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、做好绩效监控，确保年度绩效目标如期实现。</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开展宣传方式的品种或数量（次或种）</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反映开展对外宣传形式的多样性</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30</w:t>
            </w:r>
            <w:r>
              <w:rPr>
                <w:rFonts w:hint="eastAsia" w:ascii="方正书宋_GBK" w:hAnsi="Times New Roman" w:eastAsia="方正书宋_GBK" w:cs="Times New Roman"/>
                <w:szCs w:val="24"/>
              </w:rPr>
              <w:t>传承人积极参加各种宣传展示活动</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积极参与、认真完成</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文化产业对坚定河北文化自信、推动社会主义核心价值观建设、打造河北文化软实力、满足人民群众过上美好生活的新期待、提供丰富的精神文化食粮等方面产生的效果</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反映文化产业在增强文化软实力，推动经济社会发展中的积极作用</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挖掘、传承传统文化</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系列文化活动参与者满意度情况</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系列文化活动参与者满意人数占参与人数的比例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98</w:t>
            </w:r>
            <w:r>
              <w:rPr>
                <w:rFonts w:hint="eastAsia" w:ascii="方正书宋_GBK" w:hAnsi="Times New Roman" w:eastAsia="方正书宋_GBK" w:cs="Times New Roman"/>
                <w:szCs w:val="24"/>
              </w:rPr>
              <w:t>让更多的人认识和了解传统文化</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18、关于提前下达2020年中央补助地方美术馆公共图书馆 文化馆（站）免费开放补助资金预算的通知绩效目标表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21" w:name="_Toc34955254"/>
      <w:r>
        <w:rPr>
          <w:rFonts w:hint="eastAsia" w:ascii="方正仿宋_GBK" w:hAnsi="Times New Roman" w:eastAsia="方正仿宋_GBK" w:cs="Times New Roman"/>
          <w:b/>
          <w:sz w:val="28"/>
          <w:szCs w:val="24"/>
        </w:rPr>
        <w:instrText xml:space="preserve">18、关于提前下达2020年中央补助地方美术馆公共图书馆</w:instrText>
      </w:r>
      <w:bookmarkEnd w:id="21"/>
      <w:r>
        <w:rPr>
          <w:rFonts w:hint="eastAsia" w:ascii="方正仿宋_GBK" w:hAnsi="Times New Roman" w:eastAsia="方正仿宋_GBK" w:cs="Times New Roman"/>
          <w:b/>
          <w:sz w:val="28"/>
          <w:szCs w:val="24"/>
        </w:rPr>
        <w:instrText xml:space="preserve"> 文化馆（站）免费开放补助资金预算的通知绩效目标表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357004</w:t>
            </w:r>
            <w:r>
              <w:rPr>
                <w:rFonts w:hint="eastAsia" w:ascii="方正书宋_GBK" w:hAnsi="Times New Roman" w:eastAsia="方正书宋_GBK" w:cs="Times New Roman"/>
                <w:b/>
                <w:szCs w:val="24"/>
              </w:rPr>
              <w:t>无极县文化馆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357-0201-JQN-9VVW</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年中央补助地方美术馆公共图书馆</w:t>
            </w:r>
            <w:r>
              <w:rPr>
                <w:rFonts w:ascii="方正书宋_GBK" w:hAnsi="Times New Roman" w:eastAsia="方正书宋_GBK" w:cs="Times New Roman"/>
                <w:szCs w:val="24"/>
              </w:rPr>
              <w:t xml:space="preserve"> </w:t>
            </w:r>
            <w:r>
              <w:rPr>
                <w:rFonts w:hint="eastAsia" w:ascii="方正书宋_GBK" w:hAnsi="Times New Roman" w:eastAsia="方正书宋_GBK" w:cs="Times New Roman"/>
                <w:szCs w:val="24"/>
              </w:rPr>
              <w:t>文化馆（站）免费开放补助资金预算的通知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一月份道德模范颁奖及文艺演出。二月份春节文艺汇演。四至八月文艺骨干培训。五至十月彩色周末。十月至十二月迎新春文艺汇演。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30.00</w:t>
            </w: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30.00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、全面为群众做好服务，认真组织文化活动，邀请名师莅临指导，免费提供各种培训，工作人员认真工作、认真接待，让群众满意。</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、活动新颖、健康、积极。</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开展宣传方式的品种或数量（次或种）</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反映开展对外宣传形式的多样性</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利用节假日开展群众文化活动</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优良率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结项鉴定优秀等级项目数量占结项总数量的比例（百分比）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96</w:t>
            </w:r>
            <w:r>
              <w:rPr>
                <w:rFonts w:hint="eastAsia" w:ascii="方正书宋_GBK" w:hAnsi="Times New Roman" w:eastAsia="方正书宋_GBK" w:cs="Times New Roman"/>
                <w:szCs w:val="24"/>
              </w:rPr>
              <w:t>丰富群众业余文化生活</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高品质高品位</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社会影响力</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在全国或全省产生的重要影响，得到广大受众的充分认可。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利用文化活动宣传党的政策</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为人民服务，让群众满意</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19、文化馆公用经费绩效目标表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22" w:name="_Toc34955255"/>
      <w:r>
        <w:rPr>
          <w:rFonts w:hint="eastAsia" w:ascii="方正仿宋_GBK" w:hAnsi="Times New Roman" w:eastAsia="方正仿宋_GBK" w:cs="Times New Roman"/>
          <w:b/>
          <w:sz w:val="28"/>
          <w:szCs w:val="24"/>
        </w:rPr>
        <w:instrText xml:space="preserve">19、文化馆公用经费绩效目标表</w:instrText>
      </w:r>
      <w:bookmarkEnd w:id="22"/>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357004</w:t>
            </w:r>
            <w:r>
              <w:rPr>
                <w:rFonts w:hint="eastAsia" w:ascii="方正书宋_GBK" w:hAnsi="Times New Roman" w:eastAsia="方正书宋_GBK" w:cs="Times New Roman"/>
                <w:b/>
                <w:szCs w:val="24"/>
              </w:rPr>
              <w:t>无极县文化馆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357-0201-YQN-SOT8</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文化馆公用经费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6.60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6.60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正常维护文化工作，保证日常文化工作正常开展，为百姓百姓提供各种文化服务。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、日常文化工作正常开展</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、保障为群众提供优质服务</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优良率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结项鉴定优秀等级项目数量占结项总数量的比例（百分比）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保障群众文化活动</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保障完成各项文化工作正常进行</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社会影响力</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在全国或全省产生的重要影响，得到广大受众的充分认可。</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98</w:t>
            </w:r>
            <w:r>
              <w:rPr>
                <w:rFonts w:hint="eastAsia" w:ascii="方正书宋_GBK" w:hAnsi="Times New Roman" w:eastAsia="方正书宋_GBK" w:cs="Times New Roman"/>
                <w:szCs w:val="24"/>
              </w:rPr>
              <w:t>宣传党的政策，让百姓业余文化生活丰富多彩</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群众满意数量占总数的比例。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100</w:t>
            </w:r>
            <w:r>
              <w:rPr>
                <w:rFonts w:hint="eastAsia" w:ascii="方正书宋_GBK" w:hAnsi="Times New Roman" w:eastAsia="方正书宋_GBK" w:cs="Times New Roman"/>
                <w:szCs w:val="24"/>
              </w:rPr>
              <w:t>高品质高品位</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20、县级文化馆配套免费开放经费绩效目标表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23" w:name="_Toc34955256"/>
      <w:r>
        <w:rPr>
          <w:rFonts w:hint="eastAsia" w:ascii="方正仿宋_GBK" w:hAnsi="Times New Roman" w:eastAsia="方正仿宋_GBK" w:cs="Times New Roman"/>
          <w:b/>
          <w:sz w:val="28"/>
          <w:szCs w:val="24"/>
        </w:rPr>
        <w:instrText xml:space="preserve">20、县级文化馆配套免费开放经费绩效目标表</w:instrText>
      </w:r>
      <w:bookmarkEnd w:id="23"/>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357004</w:t>
            </w:r>
            <w:r>
              <w:rPr>
                <w:rFonts w:hint="eastAsia" w:ascii="方正书宋_GBK" w:hAnsi="Times New Roman" w:eastAsia="方正书宋_GBK" w:cs="Times New Roman"/>
                <w:b/>
                <w:szCs w:val="24"/>
              </w:rPr>
              <w:t>无极县文化馆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357-0201-YQN-4YEW</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县级文化馆配套免费开放经费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一月份道德模范颁奖暨文艺汇演。二月份春节文艺汇演。四至八月文艺骨干培训。五月至十月彩色周末。十至十二月迎新年群众文艺汇演。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25.00</w:t>
            </w: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、全面为群众做好服务，认真组织文化活动，邀请名师莅临指导，免费提供各种培训，工作人员认真负责，热情接待，让群众满意。</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、接受群众意见，提高服务质量，让百姓业余文化生活丰富多彩。</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开展外宣活动数量</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反映开展外宣活动情况</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20</w:t>
            </w:r>
            <w:r>
              <w:rPr>
                <w:rFonts w:hint="eastAsia" w:ascii="方正书宋_GBK" w:hAnsi="Times New Roman" w:eastAsia="方正书宋_GBK" w:cs="Times New Roman"/>
                <w:szCs w:val="24"/>
              </w:rPr>
              <w:t>传统文化进校园、送文化下乡</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质量指标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优良率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结项鉴定优秀等级项目数量占结项总数量的比例（百分比）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文化下乡不低于</w:t>
            </w:r>
            <w:r>
              <w:rPr>
                <w:rFonts w:ascii="方正书宋_GBK" w:hAnsi="Times New Roman" w:eastAsia="方正书宋_GBK" w:cs="Times New Roman"/>
                <w:szCs w:val="24"/>
              </w:rPr>
              <w:t>11</w:t>
            </w:r>
            <w:r>
              <w:rPr>
                <w:rFonts w:hint="eastAsia" w:ascii="方正书宋_GBK" w:hAnsi="Times New Roman" w:eastAsia="方正书宋_GBK" w:cs="Times New Roman"/>
                <w:szCs w:val="24"/>
              </w:rPr>
              <w:t>次</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Times New Roman" w:eastAsia="方正书宋_GBK" w:cs="Times New Roman"/>
                <w:szCs w:val="24"/>
              </w:rPr>
            </w:pP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时效指标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完成率</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r>
              <w:rPr>
                <w:rFonts w:hint="eastAsia" w:ascii="方正书宋_GBK" w:hAnsi="Times New Roman" w:eastAsia="方正书宋_GBK" w:cs="Times New Roman"/>
                <w:szCs w:val="24"/>
              </w:rPr>
              <w:t>全年文化活动不低于</w:t>
            </w:r>
            <w:r>
              <w:rPr>
                <w:rFonts w:ascii="方正书宋_GBK" w:hAnsi="Times New Roman" w:eastAsia="方正书宋_GBK" w:cs="Times New Roman"/>
                <w:szCs w:val="24"/>
              </w:rPr>
              <w:t>20</w:t>
            </w:r>
            <w:r>
              <w:rPr>
                <w:rFonts w:hint="eastAsia" w:ascii="方正书宋_GBK" w:hAnsi="Times New Roman" w:eastAsia="方正书宋_GBK" w:cs="Times New Roman"/>
                <w:szCs w:val="24"/>
              </w:rPr>
              <w:t>场</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对全省宣传文化事业发展的促进推动作用</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通过支持重点宣传文化项目建设，带动全省宣传文化事业发展的效果</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10</w:t>
            </w:r>
            <w:r>
              <w:rPr>
                <w:rFonts w:hint="eastAsia" w:ascii="方正书宋_GBK" w:hAnsi="Times New Roman" w:eastAsia="方正书宋_GBK" w:cs="Times New Roman"/>
                <w:szCs w:val="24"/>
              </w:rPr>
              <w:t>加强文化精品创作</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系列文化活动参与者满意度情况</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系列文化活动参与者满意人数占参与人数的比例</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96</w:t>
            </w:r>
            <w:r>
              <w:rPr>
                <w:rFonts w:hint="eastAsia" w:ascii="方正书宋_GBK" w:hAnsi="Times New Roman" w:eastAsia="方正书宋_GBK" w:cs="Times New Roman"/>
                <w:szCs w:val="24"/>
              </w:rPr>
              <w:t>文化活动丰富多彩、形式多样，让更多的群众参与进来</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21、关于提前下达2020年省级“三馆一站”免费开放补助资金的通知绩效目标表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24" w:name="_Toc34955257"/>
      <w:r>
        <w:rPr>
          <w:rFonts w:hint="eastAsia" w:ascii="方正仿宋_GBK" w:hAnsi="Times New Roman" w:eastAsia="方正仿宋_GBK" w:cs="Times New Roman"/>
          <w:b/>
          <w:sz w:val="28"/>
          <w:szCs w:val="24"/>
        </w:rPr>
        <w:instrText xml:space="preserve">21、关于提前下达2020年省级\“三馆一站\”免费开放补助资金的通知绩效目标表</w:instrText>
      </w:r>
      <w:bookmarkEnd w:id="24"/>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357009</w:t>
            </w:r>
            <w:r>
              <w:rPr>
                <w:rFonts w:hint="eastAsia" w:ascii="方正书宋_GBK" w:hAnsi="Times New Roman" w:eastAsia="方正书宋_GBK" w:cs="Times New Roman"/>
                <w:b/>
                <w:szCs w:val="24"/>
              </w:rPr>
              <w:t>无极县美术馆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357-0202-JSN-RIVW</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年省级</w:t>
            </w:r>
            <w:r>
              <w:rPr>
                <w:rFonts w:hint="cs" w:ascii="方正书宋_GBK" w:hAnsi="Times New Roman" w:eastAsia="方正书宋_GBK" w:cs="Times New Roman"/>
                <w:szCs w:val="24"/>
              </w:rPr>
              <w:t>“</w:t>
            </w:r>
            <w:r>
              <w:rPr>
                <w:rFonts w:hint="eastAsia" w:ascii="方正书宋_GBK" w:hAnsi="Times New Roman" w:eastAsia="方正书宋_GBK" w:cs="Times New Roman"/>
                <w:szCs w:val="24"/>
              </w:rPr>
              <w:t>三馆一站</w:t>
            </w:r>
            <w:r>
              <w:rPr>
                <w:rFonts w:hint="cs" w:ascii="方正书宋_GBK" w:hAnsi="Times New Roman" w:eastAsia="方正书宋_GBK" w:cs="Times New Roman"/>
                <w:szCs w:val="24"/>
              </w:rPr>
              <w:t>”</w:t>
            </w:r>
            <w:r>
              <w:rPr>
                <w:rFonts w:hint="eastAsia" w:ascii="方正书宋_GBK" w:hAnsi="Times New Roman" w:eastAsia="方正书宋_GBK" w:cs="Times New Roman"/>
                <w:szCs w:val="24"/>
              </w:rPr>
              <w:t>免费开放补助资金的通知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6.00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购置美术专用材料，举办美术培训、书法美术摄影等文化宣传活动，开展公益性讲座等。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、保障美术馆免费开放，加强艺术教育建设。</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、指导、推动文化艺术创作生产和展览展示，组织举办各类文化艺术活动。</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组织展览次数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组织展览次数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4</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组织公益性讲座次数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组织公益性讲座次数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3</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受益群体满意度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受益群体满意度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22、关于提前下达2020年中央补助地方美术馆公共图书馆 文化馆（站）免费开放补助资金预算的通知绩效目标表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25" w:name="_Toc34955258"/>
      <w:r>
        <w:rPr>
          <w:rFonts w:hint="eastAsia" w:ascii="方正仿宋_GBK" w:hAnsi="Times New Roman" w:eastAsia="方正仿宋_GBK" w:cs="Times New Roman"/>
          <w:b/>
          <w:sz w:val="28"/>
          <w:szCs w:val="24"/>
        </w:rPr>
        <w:instrText xml:space="preserve">22、关于提前下达2020年中央补助地方美术馆公共图书馆</w:instrText>
      </w:r>
      <w:bookmarkEnd w:id="25"/>
      <w:r>
        <w:rPr>
          <w:rFonts w:hint="eastAsia" w:ascii="方正仿宋_GBK" w:hAnsi="Times New Roman" w:eastAsia="方正仿宋_GBK" w:cs="Times New Roman"/>
          <w:b/>
          <w:sz w:val="28"/>
          <w:szCs w:val="24"/>
        </w:rPr>
        <w:instrText xml:space="preserve"> 文化馆（站）免费开放补助资金预算的通知绩效目标表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357009</w:t>
            </w:r>
            <w:r>
              <w:rPr>
                <w:rFonts w:hint="eastAsia" w:ascii="方正书宋_GBK" w:hAnsi="Times New Roman" w:eastAsia="方正书宋_GBK" w:cs="Times New Roman"/>
                <w:b/>
                <w:szCs w:val="24"/>
              </w:rPr>
              <w:t>无极县美术馆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357-0202-JZN-O91E</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关于提前下达</w:t>
            </w:r>
            <w:r>
              <w:rPr>
                <w:rFonts w:ascii="方正书宋_GBK" w:hAnsi="Times New Roman" w:eastAsia="方正书宋_GBK" w:cs="Times New Roman"/>
                <w:szCs w:val="24"/>
              </w:rPr>
              <w:t>2020</w:t>
            </w:r>
            <w:r>
              <w:rPr>
                <w:rFonts w:hint="eastAsia" w:ascii="方正书宋_GBK" w:hAnsi="Times New Roman" w:eastAsia="方正书宋_GBK" w:cs="Times New Roman"/>
                <w:szCs w:val="24"/>
              </w:rPr>
              <w:t>年中央补助地方美术馆公共图书馆</w:t>
            </w:r>
            <w:r>
              <w:rPr>
                <w:rFonts w:ascii="方正书宋_GBK" w:hAnsi="Times New Roman" w:eastAsia="方正书宋_GBK" w:cs="Times New Roman"/>
                <w:szCs w:val="24"/>
              </w:rPr>
              <w:t xml:space="preserve"> </w:t>
            </w:r>
            <w:r>
              <w:rPr>
                <w:rFonts w:hint="eastAsia" w:ascii="方正书宋_GBK" w:hAnsi="Times New Roman" w:eastAsia="方正书宋_GBK" w:cs="Times New Roman"/>
                <w:szCs w:val="24"/>
              </w:rPr>
              <w:t>文化馆（站）免费开放补助资金预算的通知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10.00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购置美术专用材料，举办美术培训、书法美术摄影展等文化宣传活动，开展公益性讲座等。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、保障美术馆免费开放，加强艺术教育建设。</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、指导、推动文化艺术创作生产和展览展示，组织举办各类文化艺术活动。</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数量指标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组织公益性讲座次数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组织公益性讲座次数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4</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经济效益指标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组织展览次数</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受益群体满意度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受益群体满意度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90</w:t>
            </w:r>
            <w:r>
              <w:rPr>
                <w:rFonts w:hint="eastAsia" w:ascii="方正书宋_GBK" w:hAnsi="Times New Roman" w:eastAsia="方正书宋_GBK" w:cs="Times New Roman"/>
                <w:szCs w:val="24"/>
              </w:rPr>
              <w:t>优</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Times New Roman" w:hAnsi="Times New Roman" w:cs="Times New Roman"/>
          <w:szCs w:val="24"/>
        </w:rPr>
      </w:pPr>
    </w:p>
    <w:p>
      <w:pPr>
        <w:ind w:firstLine="562" w:firstLineChars="200"/>
        <w:jc w:val="left"/>
        <w:outlineLvl w:val="1"/>
        <w:rPr>
          <w:rFonts w:ascii="Times New Roman" w:hAnsi="宋体" w:cs="Times New Roman"/>
          <w:b/>
          <w:sz w:val="28"/>
          <w:szCs w:val="24"/>
        </w:rPr>
      </w:pPr>
      <w:r>
        <w:rPr>
          <w:rFonts w:hint="eastAsia" w:ascii="方正仿宋_GBK" w:hAnsi="Times New Roman" w:eastAsia="方正仿宋_GBK" w:cs="Times New Roman"/>
          <w:b/>
          <w:sz w:val="28"/>
          <w:szCs w:val="24"/>
        </w:rPr>
        <w:t>23、县级美术馆配套免费开放经费绩效目标表</w:t>
      </w:r>
      <w:r>
        <w:rPr>
          <w:rFonts w:ascii="方正仿宋_GBK" w:hAnsi="Times New Roman" w:eastAsia="方正仿宋_GBK" w:cs="Times New Roman"/>
          <w:b/>
          <w:sz w:val="28"/>
          <w:szCs w:val="24"/>
        </w:rPr>
        <w:fldChar w:fldCharType="begin"/>
      </w:r>
      <w:r>
        <w:rPr>
          <w:rFonts w:ascii="方正仿宋_GBK" w:hAnsi="Times New Roman" w:eastAsia="方正仿宋_GBK" w:cs="Times New Roman"/>
          <w:b/>
          <w:sz w:val="28"/>
          <w:szCs w:val="24"/>
        </w:rPr>
        <w:instrText xml:space="preserve"> </w:instrText>
      </w:r>
      <w:r>
        <w:rPr>
          <w:rFonts w:hint="eastAsia" w:ascii="方正仿宋_GBK" w:hAnsi="Times New Roman" w:eastAsia="方正仿宋_GBK" w:cs="Times New Roman"/>
          <w:b/>
          <w:sz w:val="28"/>
          <w:szCs w:val="24"/>
        </w:rPr>
        <w:instrText xml:space="preserve">TC </w:instrText>
      </w:r>
      <w:bookmarkStart w:id="26" w:name="_Toc34955259"/>
      <w:r>
        <w:rPr>
          <w:rFonts w:hint="eastAsia" w:ascii="方正仿宋_GBK" w:hAnsi="Times New Roman" w:eastAsia="方正仿宋_GBK" w:cs="Times New Roman"/>
          <w:b/>
          <w:sz w:val="28"/>
          <w:szCs w:val="24"/>
        </w:rPr>
        <w:instrText xml:space="preserve">23、县级美术馆配套免费开放经费绩效目标表</w:instrText>
      </w:r>
      <w:bookmarkEnd w:id="26"/>
      <w:r>
        <w:rPr>
          <w:rFonts w:hint="eastAsia" w:ascii="方正仿宋_GBK" w:hAnsi="Times New Roman" w:eastAsia="方正仿宋_GBK" w:cs="Times New Roman"/>
          <w:b/>
          <w:sz w:val="28"/>
          <w:szCs w:val="24"/>
        </w:rPr>
        <w:instrText xml:space="preserve"> \f C \l 1</w:instrText>
      </w:r>
      <w:r>
        <w:rPr>
          <w:rFonts w:ascii="方正仿宋_GBK" w:hAnsi="Times New Roman" w:eastAsia="方正仿宋_GBK" w:cs="Times New Roman"/>
          <w:b/>
          <w:sz w:val="28"/>
          <w:szCs w:val="24"/>
        </w:rPr>
        <w:instrText xml:space="preserve"> </w:instrText>
      </w:r>
      <w:r>
        <w:rPr>
          <w:rFonts w:ascii="方正仿宋_GBK" w:hAnsi="Times New Roman" w:eastAsia="方正仿宋_GBK" w:cs="Times New Roman"/>
          <w:b/>
          <w:sz w:val="28"/>
          <w:szCs w:val="24"/>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Times New Roman" w:eastAsia="方正书宋_GBK" w:cs="Times New Roman"/>
                <w:b/>
                <w:szCs w:val="24"/>
              </w:rPr>
            </w:pPr>
            <w:r>
              <w:rPr>
                <w:rFonts w:ascii="方正书宋_GBK" w:hAnsi="Times New Roman" w:eastAsia="方正书宋_GBK" w:cs="Times New Roman"/>
                <w:b/>
                <w:szCs w:val="24"/>
              </w:rPr>
              <w:t>357009</w:t>
            </w:r>
            <w:r>
              <w:rPr>
                <w:rFonts w:hint="eastAsia" w:ascii="方正书宋_GBK" w:hAnsi="Times New Roman" w:eastAsia="方正书宋_GBK" w:cs="Times New Roman"/>
                <w:b/>
                <w:szCs w:val="24"/>
              </w:rPr>
              <w:t>无极县美术馆</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项目编码</w:t>
            </w:r>
          </w:p>
        </w:tc>
        <w:tc>
          <w:tcPr>
            <w:tcW w:w="2410" w:type="dxa"/>
            <w:gridSpan w:val="2"/>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357-0202-JQN-GET6</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4281" w:type="dxa"/>
            <w:gridSpan w:val="3"/>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县级美术馆配套免费开放经费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预算规模及资金用途</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4.00</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其中：财政资金</w:t>
            </w:r>
          </w:p>
        </w:tc>
        <w:tc>
          <w:tcPr>
            <w:tcW w:w="1304" w:type="dxa"/>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4.00</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其他资金</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rFonts w:ascii="Times New Roman" w:hAnsi="Times New Roman" w:cs="Times New Roman"/>
                <w:szCs w:val="24"/>
              </w:rPr>
            </w:pPr>
          </w:p>
        </w:tc>
        <w:tc>
          <w:tcPr>
            <w:tcW w:w="8278" w:type="dxa"/>
            <w:gridSpan w:val="6"/>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开展书画展、书笔会，组织骨干培训。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资金支出计划（</w:t>
            </w:r>
            <w:r>
              <w:rPr>
                <w:rFonts w:ascii="方正书宋_GBK" w:hAnsi="Times New Roman" w:eastAsia="方正书宋_GBK" w:cs="Times New Roman"/>
                <w:b/>
                <w:szCs w:val="24"/>
              </w:rPr>
              <w:t>%</w:t>
            </w:r>
            <w:r>
              <w:rPr>
                <w:rFonts w:hint="eastAsia" w:ascii="方正书宋_GBK" w:hAnsi="Times New Roman" w:eastAsia="方正书宋_GBK" w:cs="Times New Roman"/>
                <w:b/>
                <w:szCs w:val="24"/>
              </w:rPr>
              <w:t>）</w:t>
            </w:r>
          </w:p>
        </w:tc>
        <w:tc>
          <w:tcPr>
            <w:tcW w:w="2410"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r>
              <w:rPr>
                <w:rFonts w:hint="eastAsia" w:ascii="方正书宋_GBK" w:hAnsi="Times New Roman" w:eastAsia="方正书宋_GBK" w:cs="Times New Roman"/>
                <w:b/>
                <w:szCs w:val="24"/>
              </w:rPr>
              <w:t>月底</w:t>
            </w:r>
          </w:p>
        </w:tc>
        <w:tc>
          <w:tcPr>
            <w:tcW w:w="1587"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r>
              <w:rPr>
                <w:rFonts w:hint="eastAsia" w:ascii="方正书宋_GBK" w:hAnsi="Times New Roman" w:eastAsia="方正书宋_GBK" w:cs="Times New Roman"/>
                <w:b/>
                <w:szCs w:val="24"/>
              </w:rPr>
              <w:t>月底</w:t>
            </w:r>
          </w:p>
        </w:tc>
        <w:tc>
          <w:tcPr>
            <w:tcW w:w="1304" w:type="dxa"/>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r>
              <w:rPr>
                <w:rFonts w:hint="eastAsia" w:ascii="方正书宋_GBK" w:hAnsi="Times New Roman" w:eastAsia="方正书宋_GBK" w:cs="Times New Roman"/>
                <w:b/>
                <w:szCs w:val="24"/>
              </w:rPr>
              <w:t>月底</w:t>
            </w:r>
          </w:p>
        </w:tc>
        <w:tc>
          <w:tcPr>
            <w:tcW w:w="2977" w:type="dxa"/>
            <w:gridSpan w:val="2"/>
            <w:shd w:val="clear" w:color="auto" w:fill="auto"/>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r>
              <w:rPr>
                <w:rFonts w:hint="eastAsia" w:ascii="方正书宋_GBK" w:hAnsi="Times New Roman" w:eastAsia="方正书宋_GBK" w:cs="Times New Roman"/>
                <w:b/>
                <w:szCs w:val="24"/>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rFonts w:ascii="Times New Roman" w:hAnsi="Times New Roman" w:cs="Times New Roman"/>
                <w:szCs w:val="24"/>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587"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1304" w:type="dxa"/>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绩效目标</w:t>
            </w:r>
          </w:p>
        </w:tc>
        <w:tc>
          <w:tcPr>
            <w:tcW w:w="8278" w:type="dxa"/>
            <w:gridSpan w:val="6"/>
            <w:tcBorders>
              <w:bottom w:val="nil"/>
            </w:tcBorders>
            <w:shd w:val="clear" w:color="auto" w:fill="auto"/>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1</w:t>
            </w:r>
            <w:r>
              <w:rPr>
                <w:rFonts w:hint="eastAsia" w:ascii="方正书宋_GBK" w:hAnsi="Times New Roman" w:eastAsia="方正书宋_GBK" w:cs="Times New Roman"/>
                <w:szCs w:val="24"/>
              </w:rPr>
              <w:t>、保障美术馆全年免费开放，提升人民群众文化艺术欣赏水平</w:t>
            </w:r>
          </w:p>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2</w:t>
            </w:r>
            <w:r>
              <w:rPr>
                <w:rFonts w:hint="eastAsia" w:ascii="方正书宋_GBK" w:hAnsi="Times New Roman" w:eastAsia="方正书宋_GBK" w:cs="Times New Roman"/>
                <w:szCs w:val="24"/>
              </w:rPr>
              <w:t>、组织开展各种文化艺术活动及培训，让人们感受美术作品的魅力</w:t>
            </w:r>
          </w:p>
        </w:tc>
      </w:tr>
    </w:tbl>
    <w:p>
      <w:pPr>
        <w:spacing w:line="14" w:lineRule="exact"/>
        <w:ind w:firstLine="420" w:firstLineChars="200"/>
        <w:jc w:val="center"/>
        <w:rPr>
          <w:rFonts w:ascii="Times New Roman" w:hAnsi="宋体" w:cs="Times New Roman"/>
          <w:szCs w:val="24"/>
        </w:rPr>
      </w:pPr>
      <w:r>
        <w:rPr>
          <w:rFonts w:ascii="方正书宋_GBK" w:hAnsi="Times New Roman" w:eastAsia="方正书宋_GBK" w:cs="Times New Roman"/>
          <w:szCs w:val="24"/>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一级指标</w:t>
            </w:r>
          </w:p>
        </w:tc>
        <w:tc>
          <w:tcPr>
            <w:tcW w:w="1134"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二级指标</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三级指标</w:t>
            </w:r>
          </w:p>
        </w:tc>
        <w:tc>
          <w:tcPr>
            <w:tcW w:w="289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绩效指标描述</w:t>
            </w:r>
          </w:p>
        </w:tc>
        <w:tc>
          <w:tcPr>
            <w:tcW w:w="1276"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w:t>
            </w:r>
          </w:p>
        </w:tc>
        <w:tc>
          <w:tcPr>
            <w:tcW w:w="1701" w:type="dxa"/>
            <w:shd w:val="clear" w:color="auto" w:fill="auto"/>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产出指标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成本指标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组织书画展</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书画作品展完成率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效果指标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社会效益指标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提高公共服务水平</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提高公共服务水平</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Times New Roman" w:eastAsia="方正书宋_GBK" w:cs="Times New Roman"/>
                <w:szCs w:val="24"/>
              </w:rPr>
            </w:pPr>
            <w:r>
              <w:rPr>
                <w:rFonts w:hint="eastAsia" w:ascii="方正书宋_GBK" w:hAnsi="Times New Roman" w:eastAsia="方正书宋_GBK" w:cs="Times New Roman"/>
                <w:szCs w:val="24"/>
              </w:rPr>
              <w:t>满意度指标</w:t>
            </w:r>
          </w:p>
        </w:tc>
        <w:tc>
          <w:tcPr>
            <w:tcW w:w="1134"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服务对象满意度指标</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289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群众满意度</w:t>
            </w:r>
          </w:p>
        </w:tc>
        <w:tc>
          <w:tcPr>
            <w:tcW w:w="1276"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w:t>
            </w:r>
            <w:r>
              <w:rPr>
                <w:rFonts w:ascii="方正书宋_GBK" w:hAnsi="Times New Roman" w:eastAsia="方正书宋_GBK" w:cs="Times New Roman"/>
                <w:szCs w:val="24"/>
              </w:rPr>
              <w:t>95</w:t>
            </w:r>
          </w:p>
        </w:tc>
        <w:tc>
          <w:tcPr>
            <w:tcW w:w="1701" w:type="dxa"/>
            <w:shd w:val="clear" w:color="auto" w:fill="auto"/>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按年度预算管理要求</w:t>
            </w:r>
          </w:p>
        </w:tc>
      </w:tr>
    </w:tbl>
    <w:p>
      <w:pPr>
        <w:spacing w:line="300" w:lineRule="exact"/>
        <w:ind w:firstLine="420" w:firstLineChars="200"/>
        <w:jc w:val="left"/>
        <w:rPr>
          <w:rFonts w:ascii="Times New Roman" w:hAnsi="Times New Roman" w:cs="Times New Roman"/>
          <w:szCs w:val="24"/>
        </w:rPr>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仿宋_GB2312" w:hAnsi="黑体" w:eastAsia="仿宋_GB2312" w:cs="Times New Roman"/>
          <w:sz w:val="32"/>
          <w:szCs w:val="32"/>
        </w:rPr>
      </w:pPr>
      <w:bookmarkStart w:id="27" w:name="_Toc471398468"/>
      <w:r>
        <w:rPr>
          <w:rFonts w:hint="eastAsia" w:ascii="仿宋_GB2312" w:hAnsi="Times New Roman" w:eastAsia="仿宋_GB2312" w:cs="Times New Roman"/>
          <w:sz w:val="32"/>
          <w:szCs w:val="24"/>
        </w:rPr>
        <w:t>2020年，我部门无政府采购预算。</w:t>
      </w:r>
      <w:bookmarkEnd w:id="27"/>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仿宋_GB2312" w:hAnsi="Times New Roman" w:eastAsia="仿宋_GB2312" w:cs="Times New Roman"/>
          <w:color w:val="000000"/>
          <w:sz w:val="32"/>
          <w:szCs w:val="32"/>
        </w:rPr>
      </w:pPr>
      <w:r>
        <w:rPr>
          <w:rFonts w:ascii="仿宋_GB2312" w:hAnsi="Times New Roman" w:eastAsia="仿宋_GB2312" w:cs="Times New Roman"/>
          <w:color w:val="000000"/>
          <w:sz w:val="32"/>
          <w:szCs w:val="32"/>
        </w:rPr>
        <w:t>无极县文化广电体育和旅游局</w:t>
      </w:r>
      <w:r>
        <w:rPr>
          <w:rFonts w:hint="eastAsia" w:ascii="仿宋_GB2312" w:hAnsi="Times New Roman" w:eastAsia="仿宋_GB2312" w:cs="Times New Roman"/>
          <w:color w:val="000000"/>
          <w:sz w:val="32"/>
          <w:szCs w:val="32"/>
        </w:rPr>
        <w:t>2019年末固定资产金额为206.7555万元（详见下表），本年度无购置固定资产计划。</w:t>
      </w:r>
    </w:p>
    <w:tbl>
      <w:tblPr>
        <w:tblStyle w:val="7"/>
        <w:tblW w:w="8379" w:type="dxa"/>
        <w:tblInd w:w="93" w:type="dxa"/>
        <w:tblLayout w:type="fixed"/>
        <w:tblCellMar>
          <w:top w:w="0" w:type="dxa"/>
          <w:left w:w="108" w:type="dxa"/>
          <w:bottom w:w="0" w:type="dxa"/>
          <w:right w:w="108" w:type="dxa"/>
        </w:tblCellMar>
      </w:tblPr>
      <w:tblGrid>
        <w:gridCol w:w="3701"/>
        <w:gridCol w:w="2126"/>
        <w:gridCol w:w="2552"/>
      </w:tblGrid>
      <w:tr>
        <w:tblPrEx>
          <w:tblCellMar>
            <w:top w:w="0" w:type="dxa"/>
            <w:left w:w="108" w:type="dxa"/>
            <w:bottom w:w="0" w:type="dxa"/>
            <w:right w:w="108" w:type="dxa"/>
          </w:tblCellMar>
        </w:tblPrEx>
        <w:trPr>
          <w:trHeight w:val="705" w:hRule="atLeast"/>
        </w:trPr>
        <w:tc>
          <w:tcPr>
            <w:tcW w:w="8379" w:type="dxa"/>
            <w:gridSpan w:val="3"/>
            <w:tcBorders>
              <w:top w:val="nil"/>
              <w:left w:val="nil"/>
              <w:bottom w:val="nil"/>
              <w:right w:val="nil"/>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5827" w:type="dxa"/>
            <w:gridSpan w:val="2"/>
            <w:tcBorders>
              <w:top w:val="nil"/>
              <w:left w:val="nil"/>
              <w:bottom w:val="nil"/>
              <w:right w:val="nil"/>
            </w:tcBorders>
            <w:vAlign w:val="center"/>
          </w:tcPr>
          <w:p>
            <w:pPr>
              <w:widowControl/>
              <w:jc w:val="left"/>
              <w:rPr>
                <w:rFonts w:ascii="仿宋_GB2312" w:hAnsi="Times New Roman" w:eastAsia="仿宋_GB2312" w:cs="Times New Roman"/>
                <w:kern w:val="0"/>
                <w:sz w:val="22"/>
              </w:rPr>
            </w:pPr>
            <w:r>
              <w:rPr>
                <w:rFonts w:hint="eastAsia" w:ascii="仿宋_GB2312" w:hAnsi="Times New Roman" w:eastAsia="仿宋_GB2312" w:cs="Times New Roman"/>
                <w:kern w:val="0"/>
                <w:sz w:val="22"/>
              </w:rPr>
              <w:t xml:space="preserve">编制部门： </w:t>
            </w:r>
          </w:p>
        </w:tc>
        <w:tc>
          <w:tcPr>
            <w:tcW w:w="2552" w:type="dxa"/>
            <w:tcBorders>
              <w:top w:val="nil"/>
              <w:left w:val="nil"/>
              <w:bottom w:val="nil"/>
              <w:right w:val="nil"/>
            </w:tcBorders>
            <w:vAlign w:val="center"/>
          </w:tcPr>
          <w:p>
            <w:pPr>
              <w:widowControl/>
              <w:ind w:firstLine="1320" w:firstLineChars="600"/>
              <w:jc w:val="left"/>
              <w:rPr>
                <w:rFonts w:ascii="仿宋_GB2312" w:hAnsi="Times New Roman" w:eastAsia="仿宋_GB2312" w:cs="Times New Roman"/>
                <w:kern w:val="0"/>
                <w:sz w:val="22"/>
              </w:rPr>
            </w:pPr>
            <w:r>
              <w:rPr>
                <w:rFonts w:hint="eastAsia" w:ascii="仿宋_GB2312" w:hAnsi="Times New Roman" w:eastAsia="仿宋_GB2312" w:cs="Times New Roman"/>
                <w:kern w:val="0"/>
                <w:sz w:val="22"/>
              </w:rPr>
              <w:t>截止时间：2019年12月31日</w:t>
            </w:r>
          </w:p>
        </w:tc>
      </w:tr>
      <w:tr>
        <w:tblPrEx>
          <w:tblCellMar>
            <w:top w:w="0" w:type="dxa"/>
            <w:left w:w="108" w:type="dxa"/>
            <w:bottom w:w="0" w:type="dxa"/>
            <w:right w:w="108" w:type="dxa"/>
          </w:tblCellMar>
        </w:tblPrEx>
        <w:trPr>
          <w:trHeight w:val="645" w:hRule="atLeast"/>
        </w:trPr>
        <w:tc>
          <w:tcPr>
            <w:tcW w:w="370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项目</w:t>
            </w: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数量</w:t>
            </w:r>
          </w:p>
        </w:tc>
        <w:tc>
          <w:tcPr>
            <w:tcW w:w="2552"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价值（金额单位：万元）</w:t>
            </w:r>
          </w:p>
        </w:tc>
      </w:tr>
      <w:tr>
        <w:tblPrEx>
          <w:tblCellMar>
            <w:top w:w="0" w:type="dxa"/>
            <w:left w:w="108" w:type="dxa"/>
            <w:bottom w:w="0" w:type="dxa"/>
            <w:right w:w="108" w:type="dxa"/>
          </w:tblCellMar>
        </w:tblPrEx>
        <w:trPr>
          <w:trHeight w:val="645" w:hRule="atLeast"/>
        </w:trPr>
        <w:tc>
          <w:tcPr>
            <w:tcW w:w="3701" w:type="dxa"/>
            <w:tcBorders>
              <w:top w:val="nil"/>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资产总额</w:t>
            </w:r>
          </w:p>
        </w:tc>
        <w:tc>
          <w:tcPr>
            <w:tcW w:w="2126"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w:t>
            </w:r>
          </w:p>
        </w:tc>
        <w:tc>
          <w:tcPr>
            <w:tcW w:w="2552"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color w:val="FF0000"/>
                <w:kern w:val="0"/>
                <w:sz w:val="22"/>
              </w:rPr>
            </w:pPr>
            <w:r>
              <w:rPr>
                <w:rFonts w:hint="eastAsia" w:ascii="仿宋_GB2312" w:hAnsi="Times New Roman" w:eastAsia="仿宋_GB2312" w:cs="Times New Roman"/>
                <w:color w:val="000000"/>
                <w:kern w:val="0"/>
                <w:sz w:val="22"/>
              </w:rPr>
              <w:t>206.7555</w:t>
            </w:r>
          </w:p>
        </w:tc>
      </w:tr>
      <w:tr>
        <w:tblPrEx>
          <w:tblCellMar>
            <w:top w:w="0" w:type="dxa"/>
            <w:left w:w="108" w:type="dxa"/>
            <w:bottom w:w="0" w:type="dxa"/>
            <w:right w:w="108" w:type="dxa"/>
          </w:tblCellMar>
        </w:tblPrEx>
        <w:trPr>
          <w:trHeight w:val="645" w:hRule="atLeast"/>
        </w:trPr>
        <w:tc>
          <w:tcPr>
            <w:tcW w:w="3701" w:type="dxa"/>
            <w:tcBorders>
              <w:top w:val="nil"/>
              <w:left w:val="single" w:color="auto" w:sz="4" w:space="0"/>
              <w:bottom w:val="single" w:color="auto" w:sz="4" w:space="0"/>
              <w:right w:val="single" w:color="auto" w:sz="4" w:space="0"/>
            </w:tcBorders>
            <w:vAlign w:val="center"/>
          </w:tcPr>
          <w:p>
            <w:pPr>
              <w:widowControl/>
              <w:jc w:val="left"/>
              <w:rPr>
                <w:rFonts w:ascii="仿宋_GB2312" w:hAnsi="Times New Roman" w:eastAsia="仿宋_GB2312" w:cs="Times New Roman"/>
                <w:kern w:val="0"/>
                <w:sz w:val="22"/>
              </w:rPr>
            </w:pPr>
            <w:r>
              <w:rPr>
                <w:rFonts w:hint="eastAsia" w:ascii="仿宋_GB2312" w:hAnsi="Times New Roman" w:eastAsia="仿宋_GB2312" w:cs="Times New Roman"/>
                <w:kern w:val="0"/>
                <w:sz w:val="22"/>
              </w:rPr>
              <w:t>1、房屋（平方米）</w:t>
            </w:r>
          </w:p>
        </w:tc>
        <w:tc>
          <w:tcPr>
            <w:tcW w:w="2126"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4465.18</w:t>
            </w:r>
          </w:p>
        </w:tc>
        <w:tc>
          <w:tcPr>
            <w:tcW w:w="2552"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187.5755</w:t>
            </w:r>
          </w:p>
        </w:tc>
      </w:tr>
      <w:tr>
        <w:tblPrEx>
          <w:tblCellMar>
            <w:top w:w="0" w:type="dxa"/>
            <w:left w:w="108" w:type="dxa"/>
            <w:bottom w:w="0" w:type="dxa"/>
            <w:right w:w="108" w:type="dxa"/>
          </w:tblCellMar>
        </w:tblPrEx>
        <w:trPr>
          <w:trHeight w:val="645" w:hRule="atLeast"/>
        </w:trPr>
        <w:tc>
          <w:tcPr>
            <w:tcW w:w="3701" w:type="dxa"/>
            <w:tcBorders>
              <w:top w:val="nil"/>
              <w:left w:val="single" w:color="auto" w:sz="4" w:space="0"/>
              <w:bottom w:val="single" w:color="auto" w:sz="4" w:space="0"/>
              <w:right w:val="single" w:color="auto" w:sz="4" w:space="0"/>
            </w:tcBorders>
            <w:vAlign w:val="center"/>
          </w:tcPr>
          <w:p>
            <w:pPr>
              <w:widowControl/>
              <w:jc w:val="left"/>
              <w:rPr>
                <w:rFonts w:ascii="仿宋_GB2312" w:hAnsi="Times New Roman" w:eastAsia="仿宋_GB2312" w:cs="Times New Roman"/>
                <w:kern w:val="0"/>
                <w:sz w:val="22"/>
              </w:rPr>
            </w:pPr>
            <w:r>
              <w:rPr>
                <w:rFonts w:hint="eastAsia" w:ascii="仿宋_GB2312" w:hAnsi="Times New Roman" w:eastAsia="仿宋_GB2312" w:cs="Times New Roman"/>
                <w:kern w:val="0"/>
                <w:sz w:val="22"/>
              </w:rPr>
              <w:t>其中：办公用房（平方米）</w:t>
            </w:r>
          </w:p>
        </w:tc>
        <w:tc>
          <w:tcPr>
            <w:tcW w:w="2126"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4405.18</w:t>
            </w:r>
          </w:p>
        </w:tc>
        <w:tc>
          <w:tcPr>
            <w:tcW w:w="2552"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177.5755</w:t>
            </w:r>
          </w:p>
        </w:tc>
      </w:tr>
      <w:tr>
        <w:tblPrEx>
          <w:tblCellMar>
            <w:top w:w="0" w:type="dxa"/>
            <w:left w:w="108" w:type="dxa"/>
            <w:bottom w:w="0" w:type="dxa"/>
            <w:right w:w="108" w:type="dxa"/>
          </w:tblCellMar>
        </w:tblPrEx>
        <w:trPr>
          <w:trHeight w:val="645" w:hRule="atLeast"/>
        </w:trPr>
        <w:tc>
          <w:tcPr>
            <w:tcW w:w="3701" w:type="dxa"/>
            <w:tcBorders>
              <w:top w:val="nil"/>
              <w:left w:val="single" w:color="auto" w:sz="4" w:space="0"/>
              <w:bottom w:val="single" w:color="auto" w:sz="4" w:space="0"/>
              <w:right w:val="single" w:color="auto" w:sz="4" w:space="0"/>
            </w:tcBorders>
            <w:vAlign w:val="center"/>
          </w:tcPr>
          <w:p>
            <w:pPr>
              <w:widowControl/>
              <w:jc w:val="left"/>
              <w:rPr>
                <w:rFonts w:ascii="仿宋_GB2312" w:hAnsi="Times New Roman" w:eastAsia="仿宋_GB2312" w:cs="Times New Roman"/>
                <w:kern w:val="0"/>
                <w:sz w:val="22"/>
              </w:rPr>
            </w:pPr>
            <w:r>
              <w:rPr>
                <w:rFonts w:hint="eastAsia" w:ascii="仿宋_GB2312" w:hAnsi="Times New Roman" w:eastAsia="仿宋_GB2312" w:cs="Times New Roman"/>
                <w:kern w:val="0"/>
                <w:sz w:val="22"/>
              </w:rPr>
              <w:t>2、车辆（台、辆）</w:t>
            </w:r>
          </w:p>
        </w:tc>
        <w:tc>
          <w:tcPr>
            <w:tcW w:w="2126"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3</w:t>
            </w:r>
          </w:p>
        </w:tc>
        <w:tc>
          <w:tcPr>
            <w:tcW w:w="2552"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19.18</w:t>
            </w:r>
          </w:p>
        </w:tc>
      </w:tr>
      <w:tr>
        <w:tblPrEx>
          <w:tblCellMar>
            <w:top w:w="0" w:type="dxa"/>
            <w:left w:w="108" w:type="dxa"/>
            <w:bottom w:w="0" w:type="dxa"/>
            <w:right w:w="108" w:type="dxa"/>
          </w:tblCellMar>
        </w:tblPrEx>
        <w:trPr>
          <w:trHeight w:val="645" w:hRule="atLeast"/>
        </w:trPr>
        <w:tc>
          <w:tcPr>
            <w:tcW w:w="3701" w:type="dxa"/>
            <w:tcBorders>
              <w:top w:val="nil"/>
              <w:left w:val="single" w:color="auto" w:sz="4" w:space="0"/>
              <w:bottom w:val="single" w:color="auto" w:sz="4" w:space="0"/>
              <w:right w:val="single" w:color="auto" w:sz="4" w:space="0"/>
            </w:tcBorders>
            <w:vAlign w:val="center"/>
          </w:tcPr>
          <w:p>
            <w:pPr>
              <w:widowControl/>
              <w:jc w:val="left"/>
              <w:rPr>
                <w:rFonts w:ascii="仿宋_GB2312" w:hAnsi="Times New Roman" w:eastAsia="仿宋_GB2312" w:cs="Times New Roman"/>
                <w:kern w:val="0"/>
                <w:sz w:val="22"/>
              </w:rPr>
            </w:pPr>
            <w:r>
              <w:rPr>
                <w:rFonts w:hint="eastAsia" w:ascii="仿宋_GB2312" w:hAnsi="Times New Roman" w:eastAsia="仿宋_GB2312" w:cs="Times New Roman"/>
                <w:kern w:val="0"/>
                <w:sz w:val="22"/>
              </w:rPr>
              <w:t>3、单价在20万元以上设备</w:t>
            </w:r>
          </w:p>
        </w:tc>
        <w:tc>
          <w:tcPr>
            <w:tcW w:w="2126"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w:t>
            </w:r>
          </w:p>
        </w:tc>
        <w:tc>
          <w:tcPr>
            <w:tcW w:w="2552"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0</w:t>
            </w:r>
          </w:p>
        </w:tc>
      </w:tr>
      <w:tr>
        <w:tblPrEx>
          <w:tblCellMar>
            <w:top w:w="0" w:type="dxa"/>
            <w:left w:w="108" w:type="dxa"/>
            <w:bottom w:w="0" w:type="dxa"/>
            <w:right w:w="108" w:type="dxa"/>
          </w:tblCellMar>
        </w:tblPrEx>
        <w:trPr>
          <w:trHeight w:val="645" w:hRule="atLeast"/>
        </w:trPr>
        <w:tc>
          <w:tcPr>
            <w:tcW w:w="3701" w:type="dxa"/>
            <w:tcBorders>
              <w:top w:val="nil"/>
              <w:left w:val="single" w:color="auto" w:sz="4" w:space="0"/>
              <w:bottom w:val="single" w:color="auto" w:sz="4" w:space="0"/>
              <w:right w:val="single" w:color="auto" w:sz="4" w:space="0"/>
            </w:tcBorders>
            <w:vAlign w:val="center"/>
          </w:tcPr>
          <w:p>
            <w:pPr>
              <w:widowControl/>
              <w:jc w:val="left"/>
              <w:rPr>
                <w:rFonts w:ascii="仿宋_GB2312" w:hAnsi="Times New Roman" w:eastAsia="仿宋_GB2312" w:cs="Times New Roman"/>
                <w:kern w:val="0"/>
                <w:sz w:val="22"/>
              </w:rPr>
            </w:pPr>
            <w:r>
              <w:rPr>
                <w:rFonts w:hint="eastAsia" w:ascii="仿宋_GB2312" w:hAnsi="Times New Roman" w:eastAsia="仿宋_GB2312" w:cs="Times New Roman"/>
                <w:kern w:val="0"/>
                <w:sz w:val="22"/>
              </w:rPr>
              <w:t>4、其他固定资产</w:t>
            </w:r>
          </w:p>
        </w:tc>
        <w:tc>
          <w:tcPr>
            <w:tcW w:w="2126"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w:t>
            </w:r>
          </w:p>
        </w:tc>
        <w:tc>
          <w:tcPr>
            <w:tcW w:w="2552" w:type="dxa"/>
            <w:tcBorders>
              <w:top w:val="nil"/>
              <w:left w:val="nil"/>
              <w:bottom w:val="single" w:color="auto" w:sz="4" w:space="0"/>
              <w:right w:val="single" w:color="auto" w:sz="4" w:space="0"/>
            </w:tcBorders>
            <w:vAlign w:val="center"/>
          </w:tcPr>
          <w:p>
            <w:pPr>
              <w:widowControl/>
              <w:jc w:val="center"/>
              <w:rPr>
                <w:rFonts w:ascii="仿宋_GB2312" w:hAnsi="Times New Roman" w:eastAsia="仿宋_GB2312" w:cs="Times New Roman"/>
                <w:kern w:val="0"/>
                <w:sz w:val="22"/>
              </w:rPr>
            </w:pPr>
            <w:r>
              <w:rPr>
                <w:rFonts w:hint="eastAsia" w:ascii="仿宋_GB2312" w:hAnsi="Times New Roman" w:eastAsia="仿宋_GB2312" w:cs="Times New Roman"/>
                <w:kern w:val="0"/>
                <w:sz w:val="22"/>
              </w:rPr>
              <w:t>0</w:t>
            </w:r>
          </w:p>
        </w:tc>
      </w:tr>
    </w:tbl>
    <w:p>
      <w:pPr>
        <w:autoSpaceDE w:val="0"/>
        <w:autoSpaceDN w:val="0"/>
        <w:adjustRightInd w:val="0"/>
        <w:ind w:firstLine="643" w:firstLineChars="200"/>
        <w:jc w:val="left"/>
        <w:rPr>
          <w:rFonts w:ascii="黑体" w:hAnsi="黑体" w:eastAsia="黑体" w:cs="Times New Roman"/>
          <w:b/>
          <w:sz w:val="32"/>
          <w:szCs w:val="32"/>
        </w:rPr>
      </w:pPr>
      <w:r>
        <w:rPr>
          <w:rFonts w:hint="eastAsia" w:ascii="黑体" w:hAnsi="黑体" w:eastAsia="黑体" w:cs="Times New Roman"/>
          <w:b/>
          <w:sz w:val="32"/>
          <w:szCs w:val="32"/>
        </w:rPr>
        <w:t>八、名词解释</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1、一般公共预算拨款收入：指省级财政当年拨付的资金。</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2、事业收入：指事业单位开展专业业务活动及辅助活动所取得的收入。</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3、其他收入：指除“一般公共预算拨款收入”、“事业收入”等以外的收入。主要是按规定动用的租房收入、存款利息收入等。</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4、基本支出：指为保障机构正常运转、完成日常工作任务而发生的人员支出和公用支出。</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5、项目支出：指在基本支出之外为完成特定行政任务和事业发展目标所发生的支出。</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6、上缴上级支出：指下级单位上缴上级的支出。</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9、上年结转：指以前年度尚未完成、结转到本年仍按原规定用途继续使用的资金。</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10、事业单位经营支出：指事业单位在专业业务活动及其辅助活动之外开展非独立核算经营活动发生的支出。</w:t>
      </w:r>
    </w:p>
    <w:p>
      <w:pPr>
        <w:ind w:firstLine="643" w:firstLineChars="200"/>
        <w:rPr>
          <w:rFonts w:ascii="黑体" w:hAnsi="宋体-方正超大字符集" w:eastAsia="黑体" w:cs="宋体-方正超大字符集"/>
          <w:b/>
          <w:bCs/>
          <w:sz w:val="32"/>
          <w:szCs w:val="32"/>
        </w:rPr>
      </w:pPr>
      <w:r>
        <w:rPr>
          <w:rFonts w:hint="eastAsia" w:ascii="黑体" w:hAnsi="宋体-方正超大字符集" w:eastAsia="黑体" w:cs="宋体-方正超大字符集"/>
          <w:b/>
          <w:bCs/>
          <w:sz w:val="32"/>
          <w:szCs w:val="32"/>
        </w:rPr>
        <w:t>九、其他需要说明的事项</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我部门无其他需要说明的事项。</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33</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0E29E2"/>
    <w:rsid w:val="0023239E"/>
    <w:rsid w:val="0024351E"/>
    <w:rsid w:val="00302B20"/>
    <w:rsid w:val="003059F4"/>
    <w:rsid w:val="00323B29"/>
    <w:rsid w:val="0039059E"/>
    <w:rsid w:val="00534565"/>
    <w:rsid w:val="005E01FF"/>
    <w:rsid w:val="006743D9"/>
    <w:rsid w:val="007423A6"/>
    <w:rsid w:val="007A1E2E"/>
    <w:rsid w:val="007F0341"/>
    <w:rsid w:val="00817D14"/>
    <w:rsid w:val="0083547C"/>
    <w:rsid w:val="00844859"/>
    <w:rsid w:val="00876555"/>
    <w:rsid w:val="009579BF"/>
    <w:rsid w:val="009A521C"/>
    <w:rsid w:val="00B23736"/>
    <w:rsid w:val="00B42D98"/>
    <w:rsid w:val="00B64B7F"/>
    <w:rsid w:val="00C46BCF"/>
    <w:rsid w:val="00D07CE4"/>
    <w:rsid w:val="00D607DA"/>
    <w:rsid w:val="00DC6EE5"/>
    <w:rsid w:val="00EE71BA"/>
    <w:rsid w:val="00F768F2"/>
    <w:rsid w:val="00F867E4"/>
    <w:rsid w:val="056D17C0"/>
    <w:rsid w:val="13971572"/>
    <w:rsid w:val="48BA2D5B"/>
    <w:rsid w:val="5A3B53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page number"/>
    <w:basedOn w:val="8"/>
    <w:uiPriority w:val="0"/>
  </w:style>
  <w:style w:type="character" w:styleId="10">
    <w:name w:val="Hyperlink"/>
    <w:uiPriority w:val="0"/>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uiPriority w:val="0"/>
    <w:rPr>
      <w:rFonts w:ascii="Times New Roman" w:hAnsi="Times New Roman" w:eastAsia="宋体" w:cs="Times New Roman"/>
      <w:sz w:val="18"/>
      <w:szCs w:val="18"/>
    </w:rPr>
  </w:style>
  <w:style w:type="character" w:customStyle="1" w:styleId="15">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33</Pages>
  <Words>2650</Words>
  <Characters>15110</Characters>
  <Lines>125</Lines>
  <Paragraphs>35</Paragraphs>
  <TotalTime>120</TotalTime>
  <ScaleCrop>false</ScaleCrop>
  <LinksUpToDate>false</LinksUpToDate>
  <CharactersWithSpaces>17725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2024-06-20T14:41:58Z</dcterms:modified>
  <dc:title>o</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121567E8CDF6405DA9EE27B82AE60BEC</vt:lpwstr>
  </property>
</Properties>
</file>