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bookmarkStart w:id="5" w:name="_GoBack"/>
      <w:bookmarkEnd w:id="5"/>
    </w:p>
    <w:p>
      <w:pPr>
        <w:ind w:firstLine="4417" w:firstLineChars="1000"/>
        <w:rPr>
          <w:rFonts w:ascii="宋体" w:hAnsi="宋体" w:cs="宋体"/>
          <w:b/>
          <w:bCs/>
          <w:sz w:val="44"/>
          <w:szCs w:val="44"/>
        </w:rPr>
      </w:pPr>
      <w:r>
        <w:rPr>
          <w:rFonts w:hint="eastAsia" w:ascii="宋体" w:hAnsi="宋体" w:cs="宋体"/>
          <w:b/>
          <w:bCs/>
          <w:sz w:val="44"/>
          <w:szCs w:val="44"/>
        </w:rPr>
        <w:t>无极县文化广电体育和旅游局</w:t>
      </w:r>
    </w:p>
    <w:p>
      <w:pPr>
        <w:jc w:val="center"/>
        <w:rPr>
          <w:rFonts w:ascii="宋体" w:hAnsi="宋体" w:cs="宋体"/>
          <w:b/>
          <w:bCs/>
          <w:sz w:val="44"/>
          <w:szCs w:val="44"/>
        </w:rPr>
      </w:pPr>
      <w:r>
        <w:rPr>
          <w:rFonts w:ascii="宋体" w:hAnsi="宋体" w:cs="宋体"/>
          <w:b/>
          <w:bCs/>
          <w:sz w:val="44"/>
          <w:szCs w:val="44"/>
        </w:rPr>
        <w:t xml:space="preserve"> </w:t>
      </w:r>
      <w:r>
        <w:rPr>
          <w:rFonts w:hint="eastAsia" w:ascii="宋体" w:hAnsi="宋体" w:cs="宋体"/>
          <w:b/>
          <w:bCs/>
          <w:sz w:val="44"/>
          <w:szCs w:val="44"/>
        </w:rPr>
        <w:t xml:space="preserve"> 2019年部门预算信息公开说明目录</w:t>
      </w:r>
    </w:p>
    <w:p/>
    <w:p/>
    <w:p>
      <w:pPr>
        <w:ind w:firstLine="640" w:firstLineChars="200"/>
        <w:rPr>
          <w:rFonts w:ascii="宋体" w:hAnsi="宋体" w:cs="仿宋_GB2312"/>
          <w:sz w:val="32"/>
          <w:szCs w:val="32"/>
        </w:rPr>
      </w:pPr>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Pr>
        <w:ind w:firstLine="640" w:firstLineChars="200"/>
        <w:rPr>
          <w:rFonts w:ascii="仿宋_GB2312" w:hAnsi="仿宋" w:eastAsia="仿宋_GB2312" w:cs="仿宋"/>
          <w:sz w:val="32"/>
          <w:szCs w:val="32"/>
        </w:rPr>
      </w:pPr>
    </w:p>
    <w:p>
      <w:pPr>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《中华人民共和国预算法》</w:t>
      </w:r>
      <w:r>
        <w:rPr>
          <w:rFonts w:hint="eastAsia" w:ascii="仿宋" w:hAnsi="仿宋" w:eastAsia="仿宋" w:cs="仿宋"/>
          <w:sz w:val="32"/>
          <w:szCs w:val="32"/>
        </w:rPr>
        <w:t>、《地方预决算公开操作规程》和《河北省省级预算公开办法》规定，现将无极县</w:t>
      </w:r>
      <w:r>
        <w:rPr>
          <w:rFonts w:hint="eastAsia" w:ascii="仿宋" w:hAnsi="仿宋" w:eastAsia="仿宋" w:cs="宋体"/>
          <w:bCs/>
          <w:sz w:val="32"/>
          <w:szCs w:val="32"/>
        </w:rPr>
        <w:t>文化广电体育和旅游局</w:t>
      </w:r>
      <w:r>
        <w:rPr>
          <w:rFonts w:hint="eastAsia" w:ascii="仿宋" w:hAnsi="仿宋" w:eastAsia="仿宋" w:cs="仿宋"/>
          <w:sz w:val="32"/>
          <w:szCs w:val="32"/>
        </w:rPr>
        <w:t>2019年部门预算公开如下：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960" w:firstLineChars="300"/>
        <w:rPr>
          <w:rFonts w:ascii="楷体" w:hAnsi="楷体" w:eastAsia="楷体" w:cs="仿宋_GB2312"/>
          <w:sz w:val="32"/>
          <w:szCs w:val="32"/>
        </w:rPr>
      </w:pPr>
      <w:r>
        <w:rPr>
          <w:rFonts w:hint="eastAsia" w:ascii="楷体" w:hAnsi="楷体" w:eastAsia="楷体" w:cs="仿宋_GB2312"/>
          <w:sz w:val="32"/>
          <w:szCs w:val="32"/>
        </w:rPr>
        <w:t>（一）部门职责</w:t>
      </w:r>
    </w:p>
    <w:p>
      <w:pPr>
        <w:ind w:firstLine="640" w:firstLineChars="200"/>
        <w:rPr>
          <w:rFonts w:ascii="仿宋" w:hAnsi="仿宋" w:eastAsia="仿宋" w:cs="仿宋"/>
          <w:sz w:val="32"/>
          <w:szCs w:val="32"/>
        </w:rPr>
      </w:pPr>
      <w:r>
        <w:rPr>
          <w:rFonts w:hint="eastAsia" w:ascii="仿宋" w:hAnsi="仿宋" w:eastAsia="仿宋" w:cs="仿宋"/>
          <w:sz w:val="32"/>
          <w:szCs w:val="32"/>
        </w:rPr>
        <w:t>1、贯彻执行党和国家文化、体育、广播电视、网络视听节目服务管理和旅游工作方针政策和法律法规。研究拟订全县文化、体育、广播电视和旅游政策措施，起草全县文化、体育、广播电视、网络视听节目和旅游政府规章草案。</w:t>
      </w:r>
    </w:p>
    <w:p>
      <w:pPr>
        <w:ind w:firstLine="640" w:firstLineChars="200"/>
        <w:rPr>
          <w:rFonts w:ascii="仿宋" w:hAnsi="仿宋" w:eastAsia="仿宋" w:cs="仿宋"/>
          <w:sz w:val="32"/>
          <w:szCs w:val="32"/>
        </w:rPr>
      </w:pPr>
      <w:r>
        <w:rPr>
          <w:rFonts w:hint="eastAsia" w:ascii="仿宋" w:hAnsi="仿宋" w:eastAsia="仿宋" w:cs="仿宋"/>
          <w:sz w:val="32"/>
          <w:szCs w:val="32"/>
        </w:rPr>
        <w:t>2、拟订全县文化事业、文化产业、广播电视领域、体育领域和旅游业发展规划并组织实施。推进文化、广播电视和旅游融合发展，推进文化、广播电视和旅游体制机制改革。负责研究全县体育发展战略。协调区域性体育服务体系，推动多元化体育服务体系建设，推进体育公共服务和体育体制改革。</w:t>
      </w:r>
    </w:p>
    <w:p>
      <w:pPr>
        <w:ind w:firstLine="640" w:firstLineChars="200"/>
        <w:rPr>
          <w:rFonts w:ascii="仿宋" w:hAnsi="仿宋" w:eastAsia="仿宋" w:cs="仿宋"/>
          <w:sz w:val="32"/>
          <w:szCs w:val="32"/>
        </w:rPr>
      </w:pPr>
      <w:r>
        <w:rPr>
          <w:rFonts w:hint="eastAsia" w:ascii="仿宋" w:hAnsi="仿宋" w:eastAsia="仿宋" w:cs="仿宋"/>
          <w:sz w:val="32"/>
          <w:szCs w:val="32"/>
        </w:rPr>
        <w:t>3、管理和组织全县性重大文化和旅游活动，组织实施全县广播电视公共服务重大公益工程和公益活动。监管全县重点文化和旅游设施建设，组织全县文化和旅游整体形象推广，促进文化产业和旅游产业对外合作和国际市场推广；负责组织推进全县旅游工作。</w:t>
      </w:r>
    </w:p>
    <w:p>
      <w:pPr>
        <w:ind w:firstLine="640" w:firstLineChars="200"/>
        <w:rPr>
          <w:rFonts w:ascii="仿宋" w:hAnsi="仿宋" w:eastAsia="仿宋" w:cs="仿宋"/>
          <w:sz w:val="32"/>
          <w:szCs w:val="32"/>
        </w:rPr>
      </w:pPr>
      <w:r>
        <w:rPr>
          <w:rFonts w:hint="eastAsia" w:ascii="仿宋" w:hAnsi="仿宋" w:eastAsia="仿宋" w:cs="仿宋"/>
          <w:sz w:val="32"/>
          <w:szCs w:val="32"/>
        </w:rPr>
        <w:t>4、指导、管理全县文艺事业。指导艺术创作生产，推动全县各门类艺术、各艺术品种发展。指导全县电视剧行业发展和电视剧创作生产。</w:t>
      </w:r>
    </w:p>
    <w:p>
      <w:pPr>
        <w:ind w:left="640"/>
        <w:rPr>
          <w:rFonts w:ascii="仿宋" w:hAnsi="仿宋" w:eastAsia="仿宋" w:cs="仿宋"/>
          <w:sz w:val="32"/>
          <w:szCs w:val="32"/>
        </w:rPr>
      </w:pPr>
      <w:r>
        <w:rPr>
          <w:rFonts w:hint="eastAsia" w:ascii="仿宋" w:hAnsi="仿宋" w:eastAsia="仿宋" w:cs="仿宋"/>
          <w:sz w:val="32"/>
          <w:szCs w:val="32"/>
        </w:rPr>
        <w:t>5、负责全县公共文化和旅游事业发展。推动全县文化、广播电视和旅游公共服务体系建设，深入实施文化惠民工程，统筹推进全县文化、广播电视和旅游服务标准化、均等化。</w:t>
      </w:r>
    </w:p>
    <w:p>
      <w:pPr>
        <w:ind w:left="640"/>
        <w:rPr>
          <w:rFonts w:ascii="仿宋" w:hAnsi="仿宋" w:eastAsia="仿宋" w:cs="仿宋"/>
          <w:sz w:val="32"/>
          <w:szCs w:val="32"/>
        </w:rPr>
      </w:pPr>
      <w:r>
        <w:rPr>
          <w:rFonts w:hint="eastAsia" w:ascii="仿宋" w:hAnsi="仿宋" w:eastAsia="仿宋" w:cs="仿宋"/>
          <w:sz w:val="32"/>
          <w:szCs w:val="32"/>
        </w:rPr>
        <w:t>6、推进全县文化、广播电视和旅游科技创新发展，推进文化和旅游行业信息化、标准化建设；负责对全县广播电视电视节目传输覆盖、监听、监看、监测的监管，会同有关部门做好对网络视听节目和公共视听载体播放的视听节目的监管工作，指导、监管全县广播电视广告播放。推进全县应急广播体系建设，监管协调调度全县广播电视安全播出。</w:t>
      </w:r>
    </w:p>
    <w:p>
      <w:pPr>
        <w:ind w:left="640"/>
        <w:rPr>
          <w:rFonts w:ascii="仿宋" w:hAnsi="仿宋" w:eastAsia="仿宋" w:cs="仿宋"/>
          <w:sz w:val="32"/>
          <w:szCs w:val="32"/>
        </w:rPr>
      </w:pPr>
      <w:r>
        <w:rPr>
          <w:rFonts w:hint="eastAsia" w:ascii="仿宋" w:hAnsi="仿宋" w:eastAsia="仿宋" w:cs="仿宋"/>
          <w:sz w:val="32"/>
          <w:szCs w:val="32"/>
        </w:rPr>
        <w:t>7、负责对全县各类广播电视机构进行业务指导和监管，会同有关部门对全县网络视听节目服务机构进行管理，推进广播电视与新媒体新技术新业态融合发展，推进广电网与电信网、互联网三网融合。</w:t>
      </w:r>
    </w:p>
    <w:p>
      <w:pPr>
        <w:ind w:left="640"/>
        <w:rPr>
          <w:rFonts w:ascii="仿宋" w:hAnsi="仿宋" w:eastAsia="仿宋" w:cs="仿宋"/>
          <w:sz w:val="32"/>
          <w:szCs w:val="32"/>
        </w:rPr>
      </w:pPr>
      <w:r>
        <w:rPr>
          <w:rFonts w:hint="eastAsia" w:ascii="仿宋" w:hAnsi="仿宋" w:eastAsia="仿宋" w:cs="仿宋"/>
          <w:sz w:val="32"/>
          <w:szCs w:val="32"/>
        </w:rPr>
        <w:t>8、负责全县非物质文化遗产保护，推动非物质文化遗产的保护、传承、普及、弘扬和振兴。</w:t>
      </w:r>
    </w:p>
    <w:p>
      <w:pPr>
        <w:ind w:left="640"/>
        <w:rPr>
          <w:rFonts w:ascii="仿宋" w:hAnsi="仿宋" w:eastAsia="仿宋" w:cs="仿宋"/>
          <w:sz w:val="32"/>
          <w:szCs w:val="32"/>
        </w:rPr>
      </w:pPr>
      <w:r>
        <w:rPr>
          <w:rFonts w:hint="eastAsia" w:ascii="仿宋" w:hAnsi="仿宋" w:eastAsia="仿宋" w:cs="仿宋"/>
          <w:sz w:val="32"/>
          <w:szCs w:val="32"/>
        </w:rPr>
        <w:t>9、统筹规划全县文化产业、广播电视产业和旅游产业。组织实施文化和旅游资源普查、挖掘、保护和开发利用工作，促进文化产业、广播电视产业和旅游业发展。</w:t>
      </w:r>
    </w:p>
    <w:p>
      <w:pPr>
        <w:ind w:left="640"/>
        <w:rPr>
          <w:rFonts w:ascii="仿宋" w:hAnsi="仿宋" w:eastAsia="仿宋" w:cs="仿宋"/>
          <w:sz w:val="32"/>
          <w:szCs w:val="32"/>
        </w:rPr>
      </w:pPr>
      <w:r>
        <w:rPr>
          <w:rFonts w:hint="eastAsia" w:ascii="仿宋" w:hAnsi="仿宋" w:eastAsia="仿宋" w:cs="仿宋"/>
          <w:sz w:val="32"/>
          <w:szCs w:val="32"/>
        </w:rPr>
        <w:t>10、指导全县文化、广播电视和旅游市场发展。对文化、广播电视和旅游市场经营进行行业监督，推进全县文化、广播电视和旅游行业信用体系建设，依法规范文化、广播电视和旅游市场。</w:t>
      </w:r>
    </w:p>
    <w:p>
      <w:pPr>
        <w:ind w:left="640"/>
        <w:rPr>
          <w:rFonts w:ascii="仿宋" w:hAnsi="仿宋" w:eastAsia="仿宋" w:cs="仿宋"/>
          <w:sz w:val="32"/>
          <w:szCs w:val="32"/>
        </w:rPr>
      </w:pPr>
      <w:r>
        <w:rPr>
          <w:rFonts w:hint="eastAsia" w:ascii="仿宋" w:hAnsi="仿宋" w:eastAsia="仿宋" w:cs="仿宋"/>
          <w:sz w:val="32"/>
          <w:szCs w:val="32"/>
        </w:rPr>
        <w:t>11、负责文化、体育、文物、新闻出版（版权）、广播电视、电影、旅游等市场综合执法；负责监察督办全县性、跨区域性大案要案，维护市场秩序。</w:t>
      </w:r>
    </w:p>
    <w:p>
      <w:pPr>
        <w:ind w:left="640"/>
        <w:rPr>
          <w:rFonts w:ascii="仿宋" w:hAnsi="仿宋" w:eastAsia="仿宋" w:cs="仿宋"/>
          <w:sz w:val="32"/>
          <w:szCs w:val="32"/>
        </w:rPr>
      </w:pPr>
      <w:r>
        <w:rPr>
          <w:rFonts w:hint="eastAsia" w:ascii="仿宋" w:hAnsi="仿宋" w:eastAsia="仿宋" w:cs="仿宋"/>
          <w:sz w:val="32"/>
          <w:szCs w:val="32"/>
        </w:rPr>
        <w:t>12、负责文化遗产的管理和保护，指导和管理文物、博物馆事业，组织指导文物的保护抢救、考古发掘和开发利用工作。</w:t>
      </w:r>
    </w:p>
    <w:p>
      <w:pPr>
        <w:ind w:left="640"/>
        <w:rPr>
          <w:rFonts w:ascii="仿宋" w:hAnsi="仿宋" w:eastAsia="仿宋" w:cs="仿宋"/>
          <w:sz w:val="32"/>
          <w:szCs w:val="32"/>
        </w:rPr>
      </w:pPr>
      <w:r>
        <w:rPr>
          <w:rFonts w:hint="eastAsia" w:ascii="仿宋" w:hAnsi="仿宋" w:eastAsia="仿宋" w:cs="仿宋"/>
          <w:sz w:val="32"/>
          <w:szCs w:val="32"/>
        </w:rPr>
        <w:t>13、承担全县文化、广播电视和旅游行业安全综合协调和监督管理工作，负责全县文化、广播电视和旅游行业突发应急事件的处理工作。</w:t>
      </w:r>
    </w:p>
    <w:p>
      <w:pPr>
        <w:ind w:left="640"/>
        <w:rPr>
          <w:rFonts w:ascii="仿宋" w:hAnsi="仿宋" w:eastAsia="仿宋" w:cs="仿宋"/>
          <w:sz w:val="32"/>
          <w:szCs w:val="32"/>
        </w:rPr>
      </w:pPr>
      <w:r>
        <w:rPr>
          <w:rFonts w:hint="eastAsia" w:ascii="仿宋" w:hAnsi="仿宋" w:eastAsia="仿宋" w:cs="仿宋"/>
          <w:sz w:val="32"/>
          <w:szCs w:val="32"/>
        </w:rPr>
        <w:t>14、负责统筹规划全县群众体育发展，推动全民健身计划，开展群众性体育活动，实施国家体育锻炼标准，开展国民体质监测，负责公共体育设施建设及监督管理工作。</w:t>
      </w:r>
    </w:p>
    <w:p>
      <w:pPr>
        <w:ind w:left="640"/>
        <w:rPr>
          <w:rFonts w:ascii="仿宋" w:hAnsi="仿宋" w:eastAsia="仿宋" w:cs="仿宋"/>
          <w:sz w:val="32"/>
          <w:szCs w:val="32"/>
        </w:rPr>
      </w:pPr>
      <w:r>
        <w:rPr>
          <w:rFonts w:hint="eastAsia" w:ascii="仿宋" w:hAnsi="仿宋" w:eastAsia="仿宋" w:cs="仿宋"/>
          <w:sz w:val="32"/>
          <w:szCs w:val="32"/>
        </w:rPr>
        <w:t>15、负责统筹规划全县竞技体育发展，确定全县青少年体育项目的设置和布局，指导全县青少年业余训练机构开展业余训练，建设县级青少年竞赛体系。组织协调由县级承办的重要竞技体育赛事，组织开展青少年反兴奋剂工作。</w:t>
      </w:r>
    </w:p>
    <w:p>
      <w:pPr>
        <w:ind w:left="640"/>
        <w:rPr>
          <w:rFonts w:ascii="仿宋" w:hAnsi="仿宋" w:eastAsia="仿宋" w:cs="仿宋"/>
          <w:sz w:val="32"/>
          <w:szCs w:val="32"/>
        </w:rPr>
      </w:pPr>
      <w:r>
        <w:rPr>
          <w:rFonts w:hint="eastAsia" w:ascii="仿宋" w:hAnsi="仿宋" w:eastAsia="仿宋" w:cs="仿宋"/>
          <w:sz w:val="32"/>
          <w:szCs w:val="32"/>
        </w:rPr>
        <w:t>16、拟定全县体育产业发展规划，培育扶持体育市场，规范体育服务管理，推动体育标准化建设。</w:t>
      </w:r>
    </w:p>
    <w:p>
      <w:pPr>
        <w:ind w:left="640"/>
        <w:rPr>
          <w:rFonts w:ascii="仿宋" w:hAnsi="仿宋" w:eastAsia="仿宋" w:cs="仿宋"/>
          <w:sz w:val="32"/>
          <w:szCs w:val="32"/>
        </w:rPr>
      </w:pPr>
      <w:r>
        <w:rPr>
          <w:rFonts w:hint="eastAsia" w:ascii="仿宋" w:hAnsi="仿宋" w:eastAsia="仿宋" w:cs="仿宋"/>
          <w:sz w:val="32"/>
          <w:szCs w:val="32"/>
        </w:rPr>
        <w:t>17、负责体育领域的科技研究及应用。</w:t>
      </w:r>
    </w:p>
    <w:p>
      <w:pPr>
        <w:ind w:left="640"/>
        <w:rPr>
          <w:rFonts w:ascii="仿宋" w:hAnsi="仿宋" w:eastAsia="仿宋" w:cs="仿宋"/>
          <w:sz w:val="32"/>
          <w:szCs w:val="32"/>
        </w:rPr>
      </w:pPr>
      <w:r>
        <w:rPr>
          <w:rFonts w:hint="eastAsia" w:ascii="仿宋" w:hAnsi="仿宋" w:eastAsia="仿宋" w:cs="仿宋"/>
          <w:sz w:val="32"/>
          <w:szCs w:val="32"/>
        </w:rPr>
        <w:t>18、指导全县体育、旅游社团工作。</w:t>
      </w:r>
    </w:p>
    <w:p>
      <w:pPr>
        <w:ind w:left="640"/>
        <w:rPr>
          <w:rFonts w:ascii="仿宋" w:hAnsi="仿宋" w:eastAsia="仿宋" w:cs="仿宋"/>
          <w:sz w:val="32"/>
          <w:szCs w:val="32"/>
        </w:rPr>
      </w:pPr>
      <w:r>
        <w:rPr>
          <w:rFonts w:hint="eastAsia" w:ascii="仿宋" w:hAnsi="仿宋" w:eastAsia="仿宋" w:cs="仿宋"/>
          <w:sz w:val="32"/>
          <w:szCs w:val="32"/>
        </w:rPr>
        <w:t>19、指导、管理全县文化、广播电视、体育和旅游对外及对港澳台交流、合作和宣传、推广工作，组织大型文化、广播电视、体育和旅游对外及对港澳台交流活动。</w:t>
      </w:r>
    </w:p>
    <w:p>
      <w:pPr>
        <w:ind w:left="640"/>
        <w:rPr>
          <w:rFonts w:ascii="仿宋" w:hAnsi="仿宋" w:eastAsia="仿宋" w:cs="仿宋"/>
          <w:sz w:val="32"/>
          <w:szCs w:val="32"/>
        </w:rPr>
      </w:pPr>
      <w:r>
        <w:rPr>
          <w:rFonts w:hint="eastAsia" w:ascii="仿宋" w:hAnsi="仿宋" w:eastAsia="仿宋" w:cs="仿宋"/>
          <w:sz w:val="32"/>
          <w:szCs w:val="32"/>
        </w:rPr>
        <w:t>20、负责全县体育系统安全生产监管工作。</w:t>
      </w:r>
    </w:p>
    <w:p>
      <w:pPr>
        <w:ind w:left="640"/>
        <w:rPr>
          <w:rFonts w:ascii="仿宋" w:hAnsi="仿宋" w:eastAsia="仿宋" w:cs="仿宋"/>
          <w:sz w:val="32"/>
          <w:szCs w:val="32"/>
        </w:rPr>
      </w:pPr>
      <w:r>
        <w:rPr>
          <w:rFonts w:hint="eastAsia" w:ascii="仿宋" w:hAnsi="仿宋" w:eastAsia="仿宋" w:cs="仿宋"/>
          <w:sz w:val="32"/>
          <w:szCs w:val="32"/>
        </w:rPr>
        <w:t>21、完成县委、县政府交办的其他任务。</w:t>
      </w:r>
    </w:p>
    <w:p>
      <w:pPr>
        <w:ind w:left="640"/>
        <w:rPr>
          <w:rFonts w:ascii="仿宋" w:hAnsi="仿宋" w:eastAsia="仿宋" w:cs="仿宋"/>
          <w:sz w:val="32"/>
          <w:szCs w:val="32"/>
        </w:rPr>
      </w:pP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r>
        <w:rPr>
          <w:rFonts w:hint="eastAsia" w:ascii="仿宋" w:hAnsi="仿宋" w:eastAsia="仿宋"/>
          <w:sz w:val="32"/>
          <w:szCs w:val="32"/>
        </w:rPr>
        <w:t>部门机构设置情况</w:t>
      </w:r>
    </w:p>
    <w:tbl>
      <w:tblPr>
        <w:tblStyle w:val="4"/>
        <w:tblW w:w="85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827" w:type="dxa"/>
            <w:vMerge w:val="restart"/>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单位名称</w:t>
            </w:r>
          </w:p>
        </w:tc>
        <w:tc>
          <w:tcPr>
            <w:tcW w:w="1134" w:type="dxa"/>
            <w:vMerge w:val="restart"/>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单位性质</w:t>
            </w:r>
          </w:p>
        </w:tc>
        <w:tc>
          <w:tcPr>
            <w:tcW w:w="1276" w:type="dxa"/>
            <w:vMerge w:val="restart"/>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单位规格</w:t>
            </w:r>
          </w:p>
        </w:tc>
        <w:tc>
          <w:tcPr>
            <w:tcW w:w="2353" w:type="dxa"/>
            <w:vMerge w:val="restart"/>
            <w:vAlign w:val="center"/>
          </w:tcPr>
          <w:p>
            <w:pPr>
              <w:spacing w:line="300" w:lineRule="exact"/>
              <w:jc w:val="center"/>
              <w:rPr>
                <w:rFonts w:ascii="仿宋" w:hAnsi="仿宋" w:eastAsia="仿宋"/>
                <w:b/>
                <w:sz w:val="32"/>
                <w:szCs w:val="32"/>
              </w:rPr>
            </w:pPr>
            <w:r>
              <w:rPr>
                <w:rFonts w:hint="eastAsia" w:ascii="仿宋" w:hAnsi="仿宋" w:eastAsia="仿宋"/>
                <w:b/>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827" w:type="dxa"/>
            <w:vMerge w:val="continue"/>
            <w:vAlign w:val="center"/>
          </w:tcPr>
          <w:p>
            <w:pPr>
              <w:spacing w:line="300" w:lineRule="exact"/>
              <w:jc w:val="left"/>
              <w:outlineLvl w:val="0"/>
              <w:rPr>
                <w:rFonts w:ascii="仿宋" w:hAnsi="仿宋" w:eastAsia="仿宋"/>
                <w:sz w:val="22"/>
                <w:szCs w:val="32"/>
              </w:rPr>
            </w:pPr>
          </w:p>
        </w:tc>
        <w:tc>
          <w:tcPr>
            <w:tcW w:w="1134" w:type="dxa"/>
            <w:vMerge w:val="continue"/>
            <w:vAlign w:val="center"/>
          </w:tcPr>
          <w:p>
            <w:pPr>
              <w:spacing w:line="300" w:lineRule="exact"/>
              <w:jc w:val="left"/>
              <w:outlineLvl w:val="0"/>
              <w:rPr>
                <w:rFonts w:ascii="仿宋" w:hAnsi="仿宋" w:eastAsia="仿宋"/>
                <w:sz w:val="22"/>
                <w:szCs w:val="32"/>
              </w:rPr>
            </w:pPr>
          </w:p>
        </w:tc>
        <w:tc>
          <w:tcPr>
            <w:tcW w:w="1276" w:type="dxa"/>
            <w:vMerge w:val="continue"/>
            <w:vAlign w:val="center"/>
          </w:tcPr>
          <w:p>
            <w:pPr>
              <w:spacing w:line="300" w:lineRule="exact"/>
              <w:jc w:val="left"/>
              <w:outlineLvl w:val="0"/>
              <w:rPr>
                <w:rFonts w:ascii="仿宋" w:hAnsi="仿宋" w:eastAsia="仿宋"/>
                <w:sz w:val="22"/>
                <w:szCs w:val="32"/>
              </w:rPr>
            </w:pPr>
          </w:p>
        </w:tc>
        <w:tc>
          <w:tcPr>
            <w:tcW w:w="2353" w:type="dxa"/>
            <w:vMerge w:val="continue"/>
            <w:vAlign w:val="center"/>
          </w:tcPr>
          <w:p>
            <w:pPr>
              <w:spacing w:line="300" w:lineRule="exact"/>
              <w:jc w:val="left"/>
              <w:outlineLvl w:val="0"/>
              <w:rPr>
                <w:rFonts w:ascii="仿宋" w:hAnsi="仿宋" w:eastAsia="仿宋"/>
                <w:sz w:val="2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vAlign w:val="center"/>
          </w:tcPr>
          <w:p>
            <w:pPr>
              <w:spacing w:line="300" w:lineRule="exact"/>
              <w:jc w:val="center"/>
              <w:rPr>
                <w:rFonts w:ascii="仿宋" w:hAnsi="仿宋" w:eastAsia="仿宋"/>
                <w:b/>
                <w:sz w:val="22"/>
                <w:szCs w:val="32"/>
              </w:rPr>
            </w:pPr>
            <w:r>
              <w:rPr>
                <w:rFonts w:hint="eastAsia" w:ascii="仿宋" w:hAnsi="仿宋" w:eastAsia="仿宋"/>
                <w:b/>
                <w:sz w:val="22"/>
                <w:szCs w:val="32"/>
              </w:rPr>
              <w:t>合</w:t>
            </w:r>
            <w:r>
              <w:rPr>
                <w:rFonts w:ascii="仿宋" w:hAnsi="仿宋" w:eastAsia="仿宋"/>
                <w:b/>
                <w:sz w:val="22"/>
                <w:szCs w:val="32"/>
              </w:rPr>
              <w:t xml:space="preserve">    </w:t>
            </w:r>
            <w:r>
              <w:rPr>
                <w:rFonts w:hint="eastAsia" w:ascii="仿宋" w:hAnsi="仿宋" w:eastAsia="仿宋"/>
                <w:b/>
                <w:sz w:val="22"/>
                <w:szCs w:val="32"/>
              </w:rPr>
              <w:t>计</w:t>
            </w:r>
          </w:p>
        </w:tc>
        <w:tc>
          <w:tcPr>
            <w:tcW w:w="1134" w:type="dxa"/>
            <w:vAlign w:val="center"/>
          </w:tcPr>
          <w:p>
            <w:pPr>
              <w:spacing w:line="300" w:lineRule="exact"/>
              <w:jc w:val="center"/>
              <w:rPr>
                <w:rFonts w:ascii="仿宋" w:hAnsi="仿宋" w:eastAsia="仿宋"/>
                <w:b/>
                <w:sz w:val="22"/>
                <w:szCs w:val="32"/>
              </w:rPr>
            </w:pPr>
          </w:p>
        </w:tc>
        <w:tc>
          <w:tcPr>
            <w:tcW w:w="1276" w:type="dxa"/>
            <w:vAlign w:val="center"/>
          </w:tcPr>
          <w:p>
            <w:pPr>
              <w:spacing w:line="300" w:lineRule="exact"/>
              <w:jc w:val="center"/>
              <w:rPr>
                <w:rFonts w:ascii="仿宋" w:hAnsi="仿宋" w:eastAsia="仿宋"/>
                <w:b/>
                <w:sz w:val="22"/>
                <w:szCs w:val="32"/>
              </w:rPr>
            </w:pPr>
          </w:p>
        </w:tc>
        <w:tc>
          <w:tcPr>
            <w:tcW w:w="2353" w:type="dxa"/>
            <w:vAlign w:val="center"/>
          </w:tcPr>
          <w:p>
            <w:pPr>
              <w:spacing w:line="300" w:lineRule="exact"/>
              <w:jc w:val="center"/>
              <w:rPr>
                <w:rFonts w:ascii="仿宋" w:hAnsi="仿宋" w:eastAsia="仿宋"/>
                <w:b/>
                <w:sz w:val="2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vAlign w:val="center"/>
          </w:tcPr>
          <w:p>
            <w:pPr>
              <w:spacing w:line="300" w:lineRule="exact"/>
              <w:jc w:val="left"/>
              <w:rPr>
                <w:rFonts w:ascii="仿宋" w:hAnsi="仿宋" w:eastAsia="仿宋"/>
                <w:sz w:val="22"/>
                <w:szCs w:val="32"/>
              </w:rPr>
            </w:pPr>
            <w:r>
              <w:rPr>
                <w:rFonts w:hint="eastAsia" w:ascii="仿宋_GB2312" w:hAnsi="仿宋" w:eastAsia="仿宋_GB2312" w:cs="仿宋"/>
                <w:sz w:val="22"/>
                <w:szCs w:val="22"/>
              </w:rPr>
              <w:t>无极县</w:t>
            </w:r>
            <w:r>
              <w:rPr>
                <w:rFonts w:hint="eastAsia" w:ascii="仿宋" w:hAnsi="仿宋" w:eastAsia="仿宋" w:cs="宋体"/>
                <w:bCs/>
                <w:sz w:val="22"/>
                <w:szCs w:val="22"/>
              </w:rPr>
              <w:t>文化广电体育和旅游局</w:t>
            </w:r>
          </w:p>
        </w:tc>
        <w:tc>
          <w:tcPr>
            <w:tcW w:w="1134" w:type="dxa"/>
            <w:vAlign w:val="center"/>
          </w:tcPr>
          <w:p>
            <w:pPr>
              <w:spacing w:line="300" w:lineRule="exact"/>
              <w:jc w:val="center"/>
              <w:rPr>
                <w:rFonts w:ascii="仿宋" w:hAnsi="仿宋" w:eastAsia="仿宋"/>
                <w:sz w:val="22"/>
                <w:szCs w:val="32"/>
              </w:rPr>
            </w:pPr>
            <w:r>
              <w:rPr>
                <w:rFonts w:hint="eastAsia" w:ascii="仿宋" w:hAnsi="仿宋" w:eastAsia="仿宋"/>
                <w:sz w:val="22"/>
                <w:szCs w:val="32"/>
              </w:rPr>
              <w:t>行政</w:t>
            </w:r>
          </w:p>
        </w:tc>
        <w:tc>
          <w:tcPr>
            <w:tcW w:w="1276" w:type="dxa"/>
            <w:vAlign w:val="center"/>
          </w:tcPr>
          <w:p>
            <w:pPr>
              <w:spacing w:line="300" w:lineRule="exact"/>
              <w:jc w:val="center"/>
              <w:rPr>
                <w:rFonts w:ascii="仿宋" w:hAnsi="仿宋" w:eastAsia="仿宋"/>
                <w:sz w:val="22"/>
                <w:szCs w:val="32"/>
              </w:rPr>
            </w:pPr>
            <w:r>
              <w:rPr>
                <w:rFonts w:hint="eastAsia" w:ascii="仿宋" w:hAnsi="仿宋" w:eastAsia="仿宋"/>
                <w:sz w:val="22"/>
                <w:szCs w:val="32"/>
              </w:rPr>
              <w:t>正科级</w:t>
            </w:r>
          </w:p>
        </w:tc>
        <w:tc>
          <w:tcPr>
            <w:tcW w:w="2353" w:type="dxa"/>
            <w:vAlign w:val="center"/>
          </w:tcPr>
          <w:p>
            <w:pPr>
              <w:spacing w:line="300" w:lineRule="exact"/>
              <w:jc w:val="center"/>
              <w:rPr>
                <w:rFonts w:ascii="仿宋" w:hAnsi="仿宋" w:eastAsia="仿宋"/>
                <w:sz w:val="22"/>
                <w:szCs w:val="32"/>
              </w:rPr>
            </w:pPr>
            <w:r>
              <w:rPr>
                <w:rFonts w:hint="eastAsia" w:ascii="仿宋" w:hAnsi="仿宋" w:eastAsia="仿宋"/>
                <w:sz w:val="22"/>
                <w:szCs w:val="32"/>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vAlign w:val="center"/>
          </w:tcPr>
          <w:p>
            <w:pPr>
              <w:spacing w:line="300" w:lineRule="exact"/>
              <w:jc w:val="left"/>
              <w:rPr>
                <w:rFonts w:ascii="仿宋" w:hAnsi="仿宋" w:eastAsia="仿宋"/>
                <w:sz w:val="22"/>
                <w:szCs w:val="32"/>
              </w:rPr>
            </w:pPr>
            <w:r>
              <w:rPr>
                <w:rFonts w:hint="eastAsia" w:ascii="仿宋" w:hAnsi="仿宋" w:eastAsia="仿宋"/>
                <w:sz w:val="22"/>
                <w:szCs w:val="32"/>
              </w:rPr>
              <w:t>无极县图书馆</w:t>
            </w:r>
          </w:p>
        </w:tc>
        <w:tc>
          <w:tcPr>
            <w:tcW w:w="1134" w:type="dxa"/>
            <w:vAlign w:val="center"/>
          </w:tcPr>
          <w:p>
            <w:pPr>
              <w:spacing w:line="300" w:lineRule="exact"/>
              <w:jc w:val="center"/>
              <w:rPr>
                <w:rFonts w:ascii="仿宋" w:hAnsi="仿宋" w:eastAsia="仿宋"/>
                <w:sz w:val="22"/>
                <w:szCs w:val="32"/>
              </w:rPr>
            </w:pPr>
            <w:r>
              <w:rPr>
                <w:rFonts w:hint="eastAsia" w:ascii="仿宋" w:hAnsi="仿宋" w:eastAsia="仿宋"/>
                <w:sz w:val="22"/>
                <w:szCs w:val="32"/>
              </w:rPr>
              <w:t>事业</w:t>
            </w:r>
          </w:p>
        </w:tc>
        <w:tc>
          <w:tcPr>
            <w:tcW w:w="1276" w:type="dxa"/>
            <w:vAlign w:val="center"/>
          </w:tcPr>
          <w:p>
            <w:pPr>
              <w:spacing w:line="300" w:lineRule="exact"/>
              <w:jc w:val="center"/>
              <w:rPr>
                <w:rFonts w:ascii="仿宋" w:hAnsi="仿宋" w:eastAsia="仿宋"/>
                <w:sz w:val="22"/>
                <w:szCs w:val="32"/>
              </w:rPr>
            </w:pPr>
            <w:r>
              <w:rPr>
                <w:rFonts w:hint="eastAsia" w:ascii="仿宋" w:hAnsi="仿宋" w:eastAsia="仿宋"/>
                <w:sz w:val="22"/>
                <w:szCs w:val="32"/>
              </w:rPr>
              <w:t>股级</w:t>
            </w:r>
          </w:p>
        </w:tc>
        <w:tc>
          <w:tcPr>
            <w:tcW w:w="2353" w:type="dxa"/>
            <w:vAlign w:val="center"/>
          </w:tcPr>
          <w:p>
            <w:pPr>
              <w:spacing w:line="300" w:lineRule="exact"/>
              <w:rPr>
                <w:rFonts w:ascii="仿宋" w:hAnsi="仿宋" w:eastAsia="仿宋"/>
                <w:sz w:val="22"/>
                <w:szCs w:val="32"/>
              </w:rPr>
            </w:pPr>
            <w:r>
              <w:rPr>
                <w:rFonts w:hint="eastAsia" w:ascii="仿宋" w:hAnsi="仿宋" w:eastAsia="仿宋"/>
                <w:sz w:val="22"/>
                <w:szCs w:val="3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vAlign w:val="center"/>
          </w:tcPr>
          <w:p>
            <w:pPr>
              <w:spacing w:line="300" w:lineRule="exact"/>
              <w:jc w:val="left"/>
              <w:rPr>
                <w:rFonts w:ascii="仿宋" w:hAnsi="仿宋" w:eastAsia="仿宋"/>
                <w:sz w:val="22"/>
                <w:szCs w:val="32"/>
              </w:rPr>
            </w:pPr>
            <w:r>
              <w:rPr>
                <w:rFonts w:hint="eastAsia" w:ascii="仿宋" w:hAnsi="仿宋" w:eastAsia="仿宋"/>
                <w:sz w:val="22"/>
                <w:szCs w:val="32"/>
              </w:rPr>
              <w:t>无极县文化馆</w:t>
            </w:r>
          </w:p>
        </w:tc>
        <w:tc>
          <w:tcPr>
            <w:tcW w:w="1134" w:type="dxa"/>
            <w:vAlign w:val="center"/>
          </w:tcPr>
          <w:p>
            <w:pPr>
              <w:spacing w:line="300" w:lineRule="exact"/>
              <w:jc w:val="center"/>
              <w:rPr>
                <w:rFonts w:ascii="仿宋" w:hAnsi="仿宋" w:eastAsia="仿宋"/>
                <w:sz w:val="22"/>
                <w:szCs w:val="32"/>
              </w:rPr>
            </w:pPr>
            <w:r>
              <w:rPr>
                <w:rFonts w:hint="eastAsia" w:ascii="仿宋" w:hAnsi="仿宋" w:eastAsia="仿宋"/>
                <w:sz w:val="22"/>
                <w:szCs w:val="32"/>
              </w:rPr>
              <w:t>事业</w:t>
            </w:r>
          </w:p>
        </w:tc>
        <w:tc>
          <w:tcPr>
            <w:tcW w:w="1276" w:type="dxa"/>
            <w:vAlign w:val="center"/>
          </w:tcPr>
          <w:p>
            <w:pPr>
              <w:spacing w:line="300" w:lineRule="exact"/>
              <w:jc w:val="center"/>
              <w:rPr>
                <w:rFonts w:ascii="仿宋" w:hAnsi="仿宋" w:eastAsia="仿宋"/>
                <w:sz w:val="22"/>
                <w:szCs w:val="32"/>
              </w:rPr>
            </w:pPr>
            <w:r>
              <w:rPr>
                <w:rFonts w:hint="eastAsia" w:ascii="仿宋" w:hAnsi="仿宋" w:eastAsia="仿宋"/>
                <w:sz w:val="22"/>
                <w:szCs w:val="32"/>
              </w:rPr>
              <w:t>股级</w:t>
            </w:r>
          </w:p>
        </w:tc>
        <w:tc>
          <w:tcPr>
            <w:tcW w:w="2353" w:type="dxa"/>
            <w:vAlign w:val="center"/>
          </w:tcPr>
          <w:p>
            <w:pPr>
              <w:spacing w:line="300" w:lineRule="exact"/>
              <w:jc w:val="center"/>
              <w:rPr>
                <w:rFonts w:ascii="仿宋" w:hAnsi="仿宋" w:eastAsia="仿宋"/>
                <w:sz w:val="22"/>
                <w:szCs w:val="32"/>
              </w:rPr>
            </w:pPr>
            <w:r>
              <w:rPr>
                <w:rFonts w:hint="eastAsia" w:ascii="仿宋" w:hAnsi="仿宋" w:eastAsia="仿宋"/>
                <w:sz w:val="22"/>
                <w:szCs w:val="3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vAlign w:val="center"/>
          </w:tcPr>
          <w:p>
            <w:pPr>
              <w:spacing w:line="300" w:lineRule="exact"/>
              <w:jc w:val="left"/>
              <w:rPr>
                <w:rFonts w:ascii="仿宋" w:hAnsi="仿宋" w:eastAsia="仿宋"/>
                <w:sz w:val="22"/>
                <w:szCs w:val="32"/>
              </w:rPr>
            </w:pPr>
            <w:r>
              <w:rPr>
                <w:rFonts w:hint="eastAsia" w:ascii="仿宋" w:hAnsi="仿宋" w:eastAsia="仿宋"/>
                <w:sz w:val="22"/>
                <w:szCs w:val="32"/>
              </w:rPr>
              <w:t>无极县文化市场行政执法队</w:t>
            </w:r>
          </w:p>
        </w:tc>
        <w:tc>
          <w:tcPr>
            <w:tcW w:w="1134" w:type="dxa"/>
            <w:vAlign w:val="center"/>
          </w:tcPr>
          <w:p>
            <w:pPr>
              <w:spacing w:line="300" w:lineRule="exact"/>
              <w:jc w:val="center"/>
              <w:rPr>
                <w:rFonts w:ascii="仿宋" w:hAnsi="仿宋" w:eastAsia="仿宋"/>
                <w:sz w:val="22"/>
                <w:szCs w:val="32"/>
              </w:rPr>
            </w:pPr>
            <w:r>
              <w:rPr>
                <w:rFonts w:hint="eastAsia" w:ascii="仿宋" w:hAnsi="仿宋" w:eastAsia="仿宋"/>
                <w:sz w:val="22"/>
                <w:szCs w:val="32"/>
              </w:rPr>
              <w:t>事业</w:t>
            </w:r>
          </w:p>
        </w:tc>
        <w:tc>
          <w:tcPr>
            <w:tcW w:w="1276" w:type="dxa"/>
            <w:vAlign w:val="center"/>
          </w:tcPr>
          <w:p>
            <w:pPr>
              <w:spacing w:line="300" w:lineRule="exact"/>
              <w:jc w:val="center"/>
              <w:rPr>
                <w:rFonts w:ascii="仿宋" w:hAnsi="仿宋" w:eastAsia="仿宋"/>
                <w:sz w:val="22"/>
                <w:szCs w:val="32"/>
              </w:rPr>
            </w:pPr>
            <w:r>
              <w:rPr>
                <w:rFonts w:hint="eastAsia" w:ascii="仿宋" w:hAnsi="仿宋" w:eastAsia="仿宋"/>
                <w:sz w:val="22"/>
                <w:szCs w:val="32"/>
              </w:rPr>
              <w:t>副科级</w:t>
            </w:r>
          </w:p>
        </w:tc>
        <w:tc>
          <w:tcPr>
            <w:tcW w:w="2353" w:type="dxa"/>
            <w:vAlign w:val="center"/>
          </w:tcPr>
          <w:p>
            <w:pPr>
              <w:spacing w:line="300" w:lineRule="exact"/>
              <w:jc w:val="center"/>
              <w:rPr>
                <w:rFonts w:ascii="仿宋" w:hAnsi="仿宋" w:eastAsia="仿宋"/>
                <w:sz w:val="22"/>
                <w:szCs w:val="32"/>
              </w:rPr>
            </w:pPr>
            <w:r>
              <w:rPr>
                <w:rFonts w:hint="eastAsia" w:ascii="仿宋" w:hAnsi="仿宋" w:eastAsia="仿宋"/>
                <w:sz w:val="22"/>
                <w:szCs w:val="32"/>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vAlign w:val="center"/>
          </w:tcPr>
          <w:p>
            <w:pPr>
              <w:spacing w:line="300" w:lineRule="exact"/>
              <w:jc w:val="left"/>
              <w:rPr>
                <w:rFonts w:ascii="仿宋" w:hAnsi="仿宋" w:eastAsia="仿宋"/>
                <w:sz w:val="22"/>
                <w:szCs w:val="32"/>
              </w:rPr>
            </w:pPr>
            <w:r>
              <w:rPr>
                <w:rFonts w:hint="eastAsia" w:ascii="仿宋" w:hAnsi="仿宋" w:eastAsia="仿宋"/>
                <w:sz w:val="22"/>
                <w:szCs w:val="32"/>
              </w:rPr>
              <w:t>无极县美术馆</w:t>
            </w:r>
          </w:p>
        </w:tc>
        <w:tc>
          <w:tcPr>
            <w:tcW w:w="1134" w:type="dxa"/>
            <w:vAlign w:val="center"/>
          </w:tcPr>
          <w:p>
            <w:pPr>
              <w:spacing w:line="300" w:lineRule="exact"/>
              <w:jc w:val="center"/>
              <w:rPr>
                <w:rFonts w:ascii="仿宋" w:hAnsi="仿宋" w:eastAsia="仿宋"/>
                <w:sz w:val="22"/>
                <w:szCs w:val="32"/>
              </w:rPr>
            </w:pPr>
            <w:r>
              <w:rPr>
                <w:rFonts w:hint="eastAsia" w:ascii="仿宋" w:hAnsi="仿宋" w:eastAsia="仿宋"/>
                <w:sz w:val="22"/>
                <w:szCs w:val="32"/>
              </w:rPr>
              <w:t>事业</w:t>
            </w:r>
          </w:p>
        </w:tc>
        <w:tc>
          <w:tcPr>
            <w:tcW w:w="1276" w:type="dxa"/>
            <w:vAlign w:val="center"/>
          </w:tcPr>
          <w:p>
            <w:pPr>
              <w:spacing w:line="300" w:lineRule="exact"/>
              <w:jc w:val="center"/>
              <w:rPr>
                <w:rFonts w:ascii="仿宋" w:hAnsi="仿宋" w:eastAsia="仿宋"/>
                <w:sz w:val="22"/>
                <w:szCs w:val="32"/>
              </w:rPr>
            </w:pPr>
            <w:r>
              <w:rPr>
                <w:rFonts w:hint="eastAsia" w:ascii="仿宋" w:hAnsi="仿宋" w:eastAsia="仿宋"/>
                <w:sz w:val="22"/>
                <w:szCs w:val="32"/>
              </w:rPr>
              <w:t>股级</w:t>
            </w:r>
          </w:p>
        </w:tc>
        <w:tc>
          <w:tcPr>
            <w:tcW w:w="2353" w:type="dxa"/>
            <w:vAlign w:val="center"/>
          </w:tcPr>
          <w:p>
            <w:pPr>
              <w:spacing w:line="300" w:lineRule="exact"/>
              <w:jc w:val="center"/>
              <w:rPr>
                <w:rFonts w:ascii="仿宋" w:hAnsi="仿宋" w:eastAsia="仿宋"/>
                <w:sz w:val="22"/>
                <w:szCs w:val="32"/>
              </w:rPr>
            </w:pPr>
            <w:r>
              <w:rPr>
                <w:rFonts w:hint="eastAsia" w:ascii="仿宋" w:hAnsi="仿宋" w:eastAsia="仿宋"/>
                <w:sz w:val="22"/>
                <w:szCs w:val="32"/>
              </w:rPr>
              <w:t>财政性资金基本保证</w:t>
            </w:r>
          </w:p>
        </w:tc>
      </w:tr>
    </w:tbl>
    <w:p>
      <w:pPr>
        <w:jc w:val="center"/>
        <w:rPr>
          <w:rFonts w:ascii="仿宋" w:hAnsi="仿宋" w:eastAsia="仿宋"/>
          <w:sz w:val="2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仿宋" w:hAnsi="仿宋" w:eastAsia="仿宋" w:cs="仿宋_GB2312"/>
          <w:sz w:val="32"/>
          <w:szCs w:val="32"/>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p>
    <w:p>
      <w:pPr>
        <w:pStyle w:val="6"/>
        <w:numPr>
          <w:ilvl w:val="0"/>
          <w:numId w:val="1"/>
        </w:numPr>
        <w:ind w:firstLineChars="0"/>
        <w:rPr>
          <w:rFonts w:ascii="楷体" w:hAnsi="楷体" w:eastAsia="楷体" w:cs="仿宋_GB2312"/>
          <w:sz w:val="30"/>
          <w:szCs w:val="30"/>
        </w:rPr>
      </w:pPr>
      <w:r>
        <w:rPr>
          <w:rFonts w:hint="eastAsia" w:ascii="楷体" w:hAnsi="楷体" w:eastAsia="楷体" w:cs="仿宋_GB2312"/>
          <w:sz w:val="30"/>
          <w:szCs w:val="30"/>
        </w:rPr>
        <w:t>收入说明</w:t>
      </w:r>
    </w:p>
    <w:p>
      <w:pPr>
        <w:adjustRightInd w:val="0"/>
        <w:snapToGrid w:val="0"/>
        <w:spacing w:line="600" w:lineRule="exact"/>
        <w:ind w:firstLine="640" w:firstLineChars="200"/>
        <w:rPr>
          <w:rFonts w:ascii="仿宋" w:hAnsi="仿宋" w:eastAsia="仿宋" w:cs="仿宋_GB2312"/>
          <w:bCs/>
          <w:sz w:val="32"/>
          <w:szCs w:val="32"/>
        </w:rPr>
      </w:pPr>
      <w:r>
        <w:rPr>
          <w:rFonts w:hint="eastAsia" w:ascii="仿宋" w:hAnsi="仿宋" w:eastAsia="仿宋"/>
          <w:sz w:val="32"/>
        </w:rPr>
        <w:t>反映本部门当年全部收入,</w:t>
      </w:r>
      <w:r>
        <w:rPr>
          <w:rFonts w:hint="eastAsia" w:ascii="仿宋" w:hAnsi="仿宋" w:eastAsia="仿宋" w:cs="仿宋_GB2312"/>
          <w:bCs/>
          <w:sz w:val="32"/>
          <w:szCs w:val="32"/>
        </w:rPr>
        <w:t>2019年预算收入总计759.84万元，其中，一般公共预算收入738.84万元、政府性基金收入21万元、财政专户核拨收入0万元，其他来源收入0万元。</w:t>
      </w:r>
    </w:p>
    <w:p>
      <w:pPr>
        <w:pStyle w:val="6"/>
        <w:numPr>
          <w:ilvl w:val="0"/>
          <w:numId w:val="1"/>
        </w:numPr>
        <w:ind w:firstLineChars="0"/>
        <w:rPr>
          <w:rFonts w:ascii="楷体" w:hAnsi="楷体" w:eastAsia="楷体"/>
          <w:sz w:val="32"/>
          <w:szCs w:val="32"/>
        </w:rPr>
      </w:pPr>
      <w:r>
        <w:rPr>
          <w:rFonts w:hint="eastAsia" w:ascii="楷体" w:hAnsi="楷体" w:eastAsia="楷体"/>
          <w:sz w:val="32"/>
          <w:szCs w:val="32"/>
        </w:rPr>
        <w:t>支出说明</w:t>
      </w:r>
    </w:p>
    <w:p>
      <w:pPr>
        <w:ind w:firstLine="640" w:firstLineChars="200"/>
        <w:rPr>
          <w:rFonts w:ascii="仿宋" w:hAnsi="仿宋" w:eastAsia="仿宋"/>
          <w:sz w:val="32"/>
          <w:szCs w:val="32"/>
        </w:rPr>
      </w:pPr>
      <w:r>
        <w:rPr>
          <w:rFonts w:hint="eastAsia" w:ascii="仿宋" w:hAnsi="仿宋" w:eastAsia="仿宋"/>
          <w:sz w:val="32"/>
          <w:szCs w:val="32"/>
        </w:rPr>
        <w:t>收支预算总表支出栏、基本支出表、项目支出表按经济分类和支出功能分类科目编制，反映本部门年度部门预算中支出预算的总体情况。</w:t>
      </w:r>
      <w:r>
        <w:rPr>
          <w:rFonts w:hint="eastAsia" w:ascii="仿宋" w:hAnsi="仿宋" w:eastAsia="仿宋" w:cs="仿宋_GB2312"/>
          <w:bCs/>
          <w:sz w:val="32"/>
          <w:szCs w:val="32"/>
        </w:rPr>
        <w:t>2019年预算支出759.84万元。其中，人员经费支出484.92万元，正常公用经费15.4万元，项目支出259.52万元。</w:t>
      </w:r>
    </w:p>
    <w:p>
      <w:pPr>
        <w:pStyle w:val="6"/>
        <w:numPr>
          <w:ilvl w:val="0"/>
          <w:numId w:val="1"/>
        </w:numPr>
        <w:ind w:firstLineChars="0"/>
        <w:rPr>
          <w:rFonts w:ascii="楷体" w:hAnsi="楷体" w:eastAsia="楷体"/>
          <w:sz w:val="32"/>
          <w:szCs w:val="32"/>
        </w:rPr>
      </w:pPr>
      <w:r>
        <w:rPr>
          <w:rFonts w:hint="eastAsia" w:ascii="楷体" w:hAnsi="楷体" w:eastAsia="楷体"/>
          <w:sz w:val="32"/>
          <w:szCs w:val="32"/>
        </w:rPr>
        <w:t>比上年增减情况</w:t>
      </w:r>
    </w:p>
    <w:p>
      <w:pPr>
        <w:ind w:firstLine="640" w:firstLineChars="200"/>
        <w:rPr>
          <w:rFonts w:ascii="仿宋" w:hAnsi="仿宋" w:eastAsia="仿宋"/>
          <w:sz w:val="32"/>
          <w:szCs w:val="32"/>
        </w:rPr>
      </w:pPr>
      <w:r>
        <w:rPr>
          <w:rFonts w:hint="eastAsia" w:ascii="仿宋" w:hAnsi="仿宋" w:eastAsia="仿宋" w:cs="仿宋"/>
          <w:sz w:val="32"/>
          <w:szCs w:val="32"/>
        </w:rPr>
        <w:t>无极县</w:t>
      </w:r>
      <w:r>
        <w:rPr>
          <w:rFonts w:hint="eastAsia" w:ascii="仿宋" w:hAnsi="仿宋" w:eastAsia="仿宋" w:cs="宋体"/>
          <w:bCs/>
          <w:sz w:val="32"/>
          <w:szCs w:val="32"/>
        </w:rPr>
        <w:t>文化广电体育和旅游局</w:t>
      </w:r>
      <w:r>
        <w:rPr>
          <w:rFonts w:hint="eastAsia" w:ascii="仿宋" w:hAnsi="仿宋" w:eastAsia="仿宋" w:cs="仿宋_GB2312"/>
          <w:bCs/>
          <w:sz w:val="32"/>
          <w:szCs w:val="32"/>
        </w:rPr>
        <w:t>2019年预算收入与2018年相比减少323.17万元，减少原因为退休人员工资归社保发放。</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hint="eastAsia" w:ascii="仿宋" w:hAnsi="仿宋" w:eastAsia="仿宋" w:cs="仿宋_GB2312"/>
          <w:sz w:val="32"/>
          <w:szCs w:val="32"/>
        </w:rPr>
        <w:t>2019年机关运行经费共计安排15.4万元，主要用于我部门日常办公，办公区水电费、日常维修，办公用房取暖费，办公用房物业管理费等日常运行支出。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autoSpaceDE w:val="0"/>
        <w:autoSpaceDN w:val="0"/>
        <w:adjustRightInd w:val="0"/>
        <w:ind w:firstLine="640" w:firstLineChars="200"/>
        <w:rPr>
          <w:rFonts w:ascii="仿宋" w:hAnsi="仿宋" w:eastAsia="仿宋" w:cs="仿宋_GB2312"/>
          <w:sz w:val="32"/>
          <w:szCs w:val="32"/>
        </w:rPr>
      </w:pPr>
      <w:r>
        <w:rPr>
          <w:rFonts w:hint="eastAsia" w:ascii="仿宋" w:hAnsi="仿宋" w:eastAsia="仿宋"/>
          <w:sz w:val="32"/>
          <w:szCs w:val="32"/>
        </w:rPr>
        <w:t>201</w:t>
      </w:r>
      <w:r>
        <w:rPr>
          <w:rFonts w:ascii="仿宋" w:hAnsi="仿宋" w:eastAsia="仿宋"/>
          <w:sz w:val="32"/>
          <w:szCs w:val="32"/>
        </w:rPr>
        <w:t>9</w:t>
      </w:r>
      <w:r>
        <w:rPr>
          <w:rFonts w:hint="eastAsia" w:ascii="仿宋" w:hAnsi="仿宋" w:eastAsia="仿宋"/>
          <w:sz w:val="32"/>
          <w:szCs w:val="32"/>
        </w:rPr>
        <w:t xml:space="preserve">年本部门安排“三公”经费 </w:t>
      </w:r>
      <w:r>
        <w:rPr>
          <w:rFonts w:ascii="仿宋" w:hAnsi="仿宋" w:eastAsia="仿宋"/>
          <w:sz w:val="32"/>
          <w:szCs w:val="32"/>
        </w:rPr>
        <w:t>3</w:t>
      </w:r>
      <w:r>
        <w:rPr>
          <w:rFonts w:hint="eastAsia" w:ascii="仿宋" w:hAnsi="仿宋" w:eastAsia="仿宋"/>
          <w:sz w:val="32"/>
          <w:szCs w:val="32"/>
        </w:rPr>
        <w:t xml:space="preserve"> 万元。</w:t>
      </w:r>
    </w:p>
    <w:p>
      <w:pPr>
        <w:ind w:firstLine="640" w:firstLineChars="200"/>
        <w:outlineLvl w:val="0"/>
        <w:rPr>
          <w:rFonts w:ascii="仿宋" w:hAnsi="仿宋" w:eastAsia="仿宋"/>
          <w:sz w:val="32"/>
          <w:szCs w:val="32"/>
        </w:rPr>
      </w:pPr>
      <w:r>
        <w:rPr>
          <w:rFonts w:hint="eastAsia" w:ascii="仿宋" w:hAnsi="仿宋" w:eastAsia="仿宋"/>
          <w:sz w:val="32"/>
          <w:szCs w:val="32"/>
        </w:rPr>
        <w:t>其中：</w:t>
      </w:r>
    </w:p>
    <w:p>
      <w:pPr>
        <w:ind w:firstLine="640" w:firstLineChars="200"/>
        <w:outlineLvl w:val="0"/>
        <w:rPr>
          <w:rFonts w:ascii="仿宋" w:hAnsi="仿宋" w:eastAsia="仿宋"/>
          <w:sz w:val="32"/>
          <w:szCs w:val="32"/>
        </w:rPr>
      </w:pPr>
      <w:r>
        <w:rPr>
          <w:rFonts w:hint="eastAsia" w:ascii="仿宋" w:hAnsi="仿宋" w:eastAsia="仿宋"/>
          <w:sz w:val="32"/>
          <w:szCs w:val="32"/>
        </w:rPr>
        <w:t>1、因公出国（境）费0万元，</w:t>
      </w:r>
      <w:bookmarkStart w:id="0" w:name="_Hlk2605470"/>
      <w:r>
        <w:rPr>
          <w:rFonts w:hint="eastAsia" w:ascii="仿宋" w:hAnsi="仿宋" w:eastAsia="仿宋"/>
          <w:sz w:val="32"/>
          <w:szCs w:val="32"/>
        </w:rPr>
        <w:t>与上年持平，无增减变化。</w:t>
      </w:r>
      <w:bookmarkEnd w:id="0"/>
    </w:p>
    <w:p>
      <w:pPr>
        <w:ind w:firstLine="640" w:firstLineChars="200"/>
        <w:outlineLvl w:val="0"/>
        <w:rPr>
          <w:rFonts w:ascii="仿宋" w:hAnsi="仿宋" w:eastAsia="仿宋"/>
          <w:sz w:val="32"/>
          <w:szCs w:val="32"/>
        </w:rPr>
      </w:pPr>
      <w:r>
        <w:rPr>
          <w:rFonts w:hint="eastAsia" w:ascii="仿宋" w:hAnsi="仿宋" w:eastAsia="仿宋"/>
          <w:sz w:val="32"/>
          <w:szCs w:val="32"/>
        </w:rPr>
        <w:t>2、公务用车购置0万元，公务用车运行维护费</w:t>
      </w:r>
      <w:r>
        <w:rPr>
          <w:rFonts w:ascii="仿宋" w:hAnsi="仿宋" w:eastAsia="仿宋"/>
          <w:sz w:val="32"/>
          <w:szCs w:val="32"/>
        </w:rPr>
        <w:t>3</w:t>
      </w:r>
      <w:r>
        <w:rPr>
          <w:rFonts w:hint="eastAsia" w:ascii="仿宋" w:hAnsi="仿宋" w:eastAsia="仿宋"/>
          <w:sz w:val="32"/>
          <w:szCs w:val="32"/>
        </w:rPr>
        <w:t>万元，与上年持平，无增减变化。</w:t>
      </w:r>
    </w:p>
    <w:p>
      <w:pPr>
        <w:ind w:firstLine="640" w:firstLineChars="200"/>
        <w:outlineLvl w:val="0"/>
        <w:rPr>
          <w:rFonts w:ascii="仿宋" w:hAnsi="仿宋" w:eastAsia="仿宋"/>
          <w:sz w:val="32"/>
          <w:szCs w:val="32"/>
        </w:rPr>
      </w:pPr>
      <w:r>
        <w:rPr>
          <w:rFonts w:hint="eastAsia" w:ascii="仿宋" w:hAnsi="仿宋" w:eastAsia="仿宋"/>
          <w:sz w:val="32"/>
          <w:szCs w:val="32"/>
        </w:rPr>
        <w:t>3、公务接待费0万元，与上年持平，无增减变化。</w:t>
      </w:r>
    </w:p>
    <w:p>
      <w:pPr>
        <w:ind w:firstLine="640" w:firstLineChars="200"/>
        <w:outlineLvl w:val="0"/>
        <w:rPr>
          <w:rFonts w:ascii="仿宋" w:hAnsi="仿宋" w:eastAsia="仿宋"/>
          <w:sz w:val="32"/>
          <w:szCs w:val="32"/>
        </w:rPr>
      </w:pPr>
      <w:r>
        <w:rPr>
          <w:rFonts w:hint="eastAsia" w:ascii="仿宋" w:hAnsi="仿宋" w:eastAsia="仿宋"/>
          <w:sz w:val="32"/>
          <w:szCs w:val="32"/>
        </w:rPr>
        <w:t>2019年本部门</w:t>
      </w:r>
      <w:r>
        <w:rPr>
          <w:rFonts w:hint="eastAsia" w:ascii="仿宋" w:hAnsi="仿宋" w:eastAsia="仿宋" w:cs="仿宋_GB2312"/>
          <w:sz w:val="32"/>
          <w:szCs w:val="32"/>
        </w:rPr>
        <w:t>三公经费与2018年持平</w:t>
      </w:r>
      <w:r>
        <w:rPr>
          <w:rFonts w:hint="eastAsia" w:ascii="仿宋" w:hAnsi="仿宋" w:eastAsia="仿宋"/>
          <w:sz w:val="32"/>
          <w:szCs w:val="32"/>
        </w:rPr>
        <w:t>，无增减变化。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ind w:firstLine="560"/>
        <w:rPr>
          <w:rFonts w:ascii="仿宋" w:hAnsi="仿宋" w:eastAsia="仿宋"/>
          <w:sz w:val="32"/>
          <w:szCs w:val="32"/>
        </w:rPr>
      </w:pPr>
      <w:r>
        <w:rPr>
          <w:rFonts w:ascii="仿宋" w:hAnsi="仿宋" w:eastAsia="仿宋"/>
          <w:sz w:val="32"/>
          <w:szCs w:val="32"/>
        </w:rPr>
        <w:t>1.负责管理全县艺术创作生产和艺术研究活动；管理全县群众文化艺术活动和经营性文艺演出，指导、推动开展各类群众性文化工作；指导全县艺术教育和培训工作。</w:t>
      </w:r>
    </w:p>
    <w:p>
      <w:pPr>
        <w:ind w:firstLine="560"/>
        <w:rPr>
          <w:rFonts w:ascii="仿宋" w:hAnsi="仿宋" w:eastAsia="仿宋"/>
          <w:sz w:val="32"/>
          <w:szCs w:val="32"/>
        </w:rPr>
      </w:pPr>
      <w:r>
        <w:rPr>
          <w:rFonts w:ascii="仿宋" w:hAnsi="仿宋" w:eastAsia="仿宋"/>
          <w:sz w:val="32"/>
          <w:szCs w:val="32"/>
        </w:rPr>
        <w:t>2、负责管理全县公共图书馆、博物馆、文物等社会文化事业 ；指导县、镇(街道)、村（社区）公共文化设施建设；指导、管理、协调全县文物的保护、抢救、发掘、研究、、利用及出境、宣传等工作；组织指导全县非物质文化遗产的挖掘保护与传承发展工作。</w:t>
      </w:r>
    </w:p>
    <w:p>
      <w:pPr>
        <w:ind w:firstLine="560"/>
        <w:rPr>
          <w:rFonts w:ascii="仿宋" w:hAnsi="仿宋" w:eastAsia="仿宋"/>
          <w:sz w:val="32"/>
          <w:szCs w:val="32"/>
        </w:rPr>
      </w:pPr>
      <w:r>
        <w:rPr>
          <w:rFonts w:ascii="仿宋" w:hAnsi="仿宋" w:eastAsia="仿宋"/>
          <w:sz w:val="32"/>
          <w:szCs w:val="32"/>
        </w:rPr>
        <w:t>3、负责全县广播(行业)管理、社会管理工作、指导全县广播宣传工作。</w:t>
      </w:r>
    </w:p>
    <w:p>
      <w:pPr>
        <w:ind w:firstLine="560"/>
        <w:rPr>
          <w:rFonts w:ascii="仿宋" w:hAnsi="仿宋" w:eastAsia="仿宋"/>
          <w:sz w:val="32"/>
          <w:szCs w:val="32"/>
        </w:rPr>
      </w:pPr>
      <w:r>
        <w:rPr>
          <w:rFonts w:ascii="仿宋" w:hAnsi="仿宋" w:eastAsia="仿宋"/>
          <w:sz w:val="32"/>
          <w:szCs w:val="32"/>
        </w:rPr>
        <w:t>4、负责全县图书、报刊、电子出版物和内部资料性出版物的行业管理工作；负责管理全县印刷业和出版物发行业。</w:t>
      </w:r>
    </w:p>
    <w:p>
      <w:pPr>
        <w:ind w:firstLine="560"/>
        <w:rPr>
          <w:rFonts w:ascii="仿宋" w:hAnsi="仿宋" w:eastAsia="仿宋"/>
          <w:sz w:val="32"/>
          <w:szCs w:val="32"/>
        </w:rPr>
      </w:pPr>
      <w:r>
        <w:rPr>
          <w:rFonts w:ascii="仿宋" w:hAnsi="仿宋" w:eastAsia="仿宋"/>
          <w:sz w:val="32"/>
          <w:szCs w:val="32"/>
        </w:rPr>
        <w:t>5、负责全县著作权管理工作；负责全县古籍整理出版规划工作。</w:t>
      </w:r>
    </w:p>
    <w:p>
      <w:pPr>
        <w:ind w:firstLine="560"/>
        <w:rPr>
          <w:rFonts w:ascii="仿宋" w:hAnsi="仿宋" w:eastAsia="仿宋"/>
          <w:sz w:val="32"/>
          <w:szCs w:val="32"/>
        </w:rPr>
      </w:pPr>
      <w:r>
        <w:rPr>
          <w:rFonts w:ascii="仿宋" w:hAnsi="仿宋" w:eastAsia="仿宋"/>
          <w:sz w:val="32"/>
          <w:szCs w:val="32"/>
        </w:rPr>
        <w:t>6、指导全县文化艺术、文物、广播影视、新闻出版和著作权事业的科技工作及行业教育培训管理工作。</w:t>
      </w:r>
    </w:p>
    <w:p>
      <w:pPr>
        <w:ind w:firstLine="645"/>
        <w:rPr>
          <w:rFonts w:ascii="楷体" w:hAnsi="楷体" w:eastAsia="楷体"/>
          <w:sz w:val="32"/>
          <w:szCs w:val="32"/>
        </w:rPr>
      </w:pPr>
      <w:r>
        <w:rPr>
          <w:rFonts w:hint="eastAsia" w:ascii="楷体" w:hAnsi="楷体" w:eastAsia="楷体"/>
          <w:sz w:val="32"/>
          <w:szCs w:val="32"/>
        </w:rPr>
        <w:t>（二）职责分类绩效目标</w:t>
      </w:r>
    </w:p>
    <w:p>
      <w:pPr>
        <w:ind w:firstLine="560"/>
        <w:rPr>
          <w:rFonts w:ascii="仿宋" w:hAnsi="仿宋" w:eastAsia="仿宋"/>
          <w:sz w:val="32"/>
          <w:szCs w:val="32"/>
        </w:rPr>
      </w:pPr>
      <w:r>
        <w:rPr>
          <w:rFonts w:ascii="仿宋" w:hAnsi="仿宋" w:eastAsia="仿宋"/>
          <w:sz w:val="32"/>
          <w:szCs w:val="32"/>
        </w:rPr>
        <w:t xml:space="preserve">1. 机关综合管理方面 </w:t>
      </w:r>
    </w:p>
    <w:p>
      <w:pPr>
        <w:ind w:firstLine="560"/>
        <w:rPr>
          <w:rFonts w:ascii="仿宋" w:hAnsi="仿宋" w:eastAsia="仿宋"/>
          <w:sz w:val="32"/>
          <w:szCs w:val="32"/>
        </w:rPr>
      </w:pPr>
      <w:r>
        <w:rPr>
          <w:rFonts w:ascii="仿宋" w:hAnsi="仿宋" w:eastAsia="仿宋"/>
          <w:sz w:val="32"/>
          <w:szCs w:val="32"/>
        </w:rPr>
        <w:t>贯彻国家和省关于文化广电新闻出版（版权）工作的方针、政策和法规，研究制定全县文化工作方针、政策和法规，并监督执行。研究制定全县文化广电新闻出版（版权）事业发展规划并组织实施；推进文化体制机制改革。开展对外交流、培训、后勤保障及其他各项基础性保障工作。</w:t>
      </w:r>
    </w:p>
    <w:p>
      <w:pPr>
        <w:ind w:firstLine="560"/>
        <w:rPr>
          <w:rFonts w:ascii="仿宋" w:hAnsi="仿宋" w:eastAsia="仿宋"/>
          <w:sz w:val="32"/>
          <w:szCs w:val="32"/>
        </w:rPr>
      </w:pPr>
      <w:r>
        <w:rPr>
          <w:rFonts w:ascii="仿宋" w:hAnsi="仿宋" w:eastAsia="仿宋"/>
          <w:sz w:val="32"/>
          <w:szCs w:val="32"/>
        </w:rPr>
        <w:t>2. 公共文化活动方面</w:t>
      </w:r>
    </w:p>
    <w:p>
      <w:pPr>
        <w:ind w:firstLine="560"/>
        <w:rPr>
          <w:rFonts w:ascii="仿宋" w:hAnsi="仿宋" w:eastAsia="仿宋"/>
          <w:sz w:val="32"/>
          <w:szCs w:val="32"/>
        </w:rPr>
      </w:pPr>
      <w:r>
        <w:rPr>
          <w:rFonts w:ascii="仿宋" w:hAnsi="仿宋" w:eastAsia="仿宋"/>
          <w:sz w:val="32"/>
          <w:szCs w:val="32"/>
        </w:rPr>
        <w:t>指导、管理全县艺术事业，指导艺术创作与生产，推动各门类艺术的发展，管理全县性重大文化活动。</w:t>
      </w:r>
    </w:p>
    <w:p>
      <w:pPr>
        <w:ind w:firstLine="560"/>
        <w:rPr>
          <w:rFonts w:ascii="仿宋" w:hAnsi="仿宋" w:eastAsia="仿宋"/>
          <w:sz w:val="32"/>
          <w:szCs w:val="32"/>
        </w:rPr>
      </w:pPr>
      <w:r>
        <w:rPr>
          <w:rFonts w:ascii="仿宋" w:hAnsi="仿宋" w:eastAsia="仿宋"/>
          <w:sz w:val="32"/>
          <w:szCs w:val="32"/>
        </w:rPr>
        <w:t>3. 公共文化服务体系建设方面</w:t>
      </w:r>
    </w:p>
    <w:p>
      <w:pPr>
        <w:ind w:firstLine="560"/>
        <w:rPr>
          <w:rFonts w:ascii="仿宋" w:hAnsi="仿宋" w:eastAsia="仿宋"/>
          <w:sz w:val="32"/>
          <w:szCs w:val="32"/>
        </w:rPr>
      </w:pPr>
      <w:r>
        <w:rPr>
          <w:rFonts w:ascii="仿宋" w:hAnsi="仿宋" w:eastAsia="仿宋"/>
          <w:sz w:val="32"/>
          <w:szCs w:val="32"/>
        </w:rPr>
        <w:t>负责全县公共文化服务体系建设，规划、引导公共文化产品生产，指导全县重点文化设施建设和基层文化设施建设。指导、管理全县社会文化事业，指导“三馆一站”事业和基层文化建设。</w:t>
      </w:r>
    </w:p>
    <w:p>
      <w:pPr>
        <w:ind w:firstLine="560"/>
        <w:rPr>
          <w:rFonts w:ascii="仿宋" w:hAnsi="仿宋" w:eastAsia="仿宋"/>
          <w:sz w:val="32"/>
          <w:szCs w:val="32"/>
        </w:rPr>
      </w:pPr>
      <w:r>
        <w:rPr>
          <w:rFonts w:ascii="仿宋" w:hAnsi="仿宋" w:eastAsia="仿宋"/>
          <w:sz w:val="32"/>
          <w:szCs w:val="32"/>
        </w:rPr>
        <w:t>4. 非物质文化遗产保护</w:t>
      </w:r>
    </w:p>
    <w:p>
      <w:pPr>
        <w:ind w:firstLine="560"/>
        <w:rPr>
          <w:rFonts w:ascii="仿宋" w:hAnsi="仿宋" w:eastAsia="仿宋"/>
          <w:sz w:val="32"/>
          <w:szCs w:val="32"/>
        </w:rPr>
      </w:pPr>
      <w:r>
        <w:rPr>
          <w:rFonts w:ascii="仿宋" w:hAnsi="仿宋" w:eastAsia="仿宋"/>
          <w:sz w:val="32"/>
          <w:szCs w:val="32"/>
        </w:rPr>
        <w:t>拟订全县非物质文化遗产保护规划，组织实施非物质文化遗产保护和优秀民族文化的传承普及工作。</w:t>
      </w:r>
    </w:p>
    <w:p>
      <w:pPr>
        <w:ind w:firstLine="560"/>
        <w:rPr>
          <w:rFonts w:ascii="仿宋" w:hAnsi="仿宋" w:eastAsia="仿宋"/>
          <w:sz w:val="32"/>
          <w:szCs w:val="32"/>
        </w:rPr>
      </w:pPr>
      <w:r>
        <w:rPr>
          <w:rFonts w:ascii="仿宋" w:hAnsi="仿宋" w:eastAsia="仿宋"/>
          <w:sz w:val="32"/>
          <w:szCs w:val="32"/>
        </w:rPr>
        <w:t>5. 文化市场管理</w:t>
      </w:r>
    </w:p>
    <w:p>
      <w:pPr>
        <w:ind w:firstLine="560"/>
        <w:rPr>
          <w:rFonts w:ascii="仿宋" w:hAnsi="仿宋" w:eastAsia="仿宋"/>
          <w:sz w:val="32"/>
          <w:szCs w:val="32"/>
        </w:rPr>
      </w:pPr>
      <w:r>
        <w:rPr>
          <w:rFonts w:ascii="仿宋" w:hAnsi="仿宋" w:eastAsia="仿宋"/>
          <w:sz w:val="32"/>
          <w:szCs w:val="32"/>
        </w:rPr>
        <w:t>拟订全县文化市场发展规划，指导文化市场综合执法工作。拟订全县互联网“扫黄打非”计划并组织实施。组织查处著作权侵权案件和涉外侵权案件。</w:t>
      </w:r>
    </w:p>
    <w:p>
      <w:pPr>
        <w:ind w:firstLine="560"/>
        <w:rPr>
          <w:rFonts w:ascii="仿宋" w:hAnsi="仿宋" w:eastAsia="仿宋"/>
          <w:sz w:val="32"/>
          <w:szCs w:val="32"/>
        </w:rPr>
      </w:pPr>
      <w:r>
        <w:rPr>
          <w:rFonts w:ascii="仿宋" w:hAnsi="仿宋" w:eastAsia="仿宋"/>
          <w:sz w:val="32"/>
          <w:szCs w:val="32"/>
        </w:rPr>
        <w:t>6. 文化产业发展</w:t>
      </w:r>
    </w:p>
    <w:p>
      <w:pPr>
        <w:ind w:firstLine="560"/>
        <w:rPr>
          <w:rFonts w:ascii="仿宋" w:hAnsi="仿宋" w:eastAsia="仿宋"/>
          <w:sz w:val="32"/>
          <w:szCs w:val="32"/>
        </w:rPr>
      </w:pPr>
      <w:r>
        <w:rPr>
          <w:rFonts w:ascii="仿宋" w:hAnsi="仿宋" w:eastAsia="仿宋"/>
          <w:sz w:val="32"/>
          <w:szCs w:val="32"/>
        </w:rPr>
        <w:t>负责全县文化产业发展工作，督促重大文化产业项目实施，指导文化产业园区、基地和区域性特色文化产业群建设，推进文化产业交流与合作，做好文化产业统计工作。</w:t>
      </w:r>
    </w:p>
    <w:p>
      <w:pPr>
        <w:ind w:firstLine="560"/>
        <w:rPr>
          <w:rFonts w:ascii="仿宋" w:hAnsi="仿宋" w:eastAsia="仿宋"/>
          <w:sz w:val="32"/>
          <w:szCs w:val="32"/>
        </w:rPr>
      </w:pPr>
      <w:r>
        <w:rPr>
          <w:rFonts w:ascii="仿宋" w:hAnsi="仿宋" w:eastAsia="仿宋"/>
          <w:sz w:val="32"/>
          <w:szCs w:val="32"/>
        </w:rPr>
        <w:t xml:space="preserve">7. </w:t>
      </w:r>
      <w:r>
        <w:rPr>
          <w:rFonts w:hint="eastAsia" w:ascii="仿宋" w:hAnsi="仿宋" w:eastAsia="仿宋"/>
          <w:sz w:val="32"/>
          <w:szCs w:val="32"/>
        </w:rPr>
        <w:t>电视播放</w:t>
      </w:r>
      <w:r>
        <w:rPr>
          <w:rFonts w:ascii="仿宋" w:hAnsi="仿宋" w:eastAsia="仿宋"/>
          <w:sz w:val="32"/>
          <w:szCs w:val="32"/>
        </w:rPr>
        <w:t>方面</w:t>
      </w:r>
    </w:p>
    <w:p>
      <w:pPr>
        <w:ind w:firstLine="560"/>
        <w:rPr>
          <w:rFonts w:ascii="仿宋" w:hAnsi="仿宋" w:eastAsia="仿宋"/>
          <w:sz w:val="32"/>
          <w:szCs w:val="32"/>
        </w:rPr>
      </w:pPr>
      <w:r>
        <w:rPr>
          <w:rFonts w:hint="eastAsia" w:ascii="仿宋" w:hAnsi="仿宋" w:eastAsia="仿宋"/>
          <w:sz w:val="32"/>
          <w:szCs w:val="32"/>
        </w:rPr>
        <w:t>负责电视播放的监管工作</w:t>
      </w:r>
      <w:r>
        <w:rPr>
          <w:rFonts w:ascii="仿宋" w:hAnsi="仿宋" w:eastAsia="仿宋"/>
          <w:sz w:val="32"/>
          <w:szCs w:val="32"/>
        </w:rPr>
        <w:t>。</w:t>
      </w:r>
    </w:p>
    <w:p>
      <w:pPr>
        <w:ind w:firstLine="560"/>
        <w:rPr>
          <w:rFonts w:ascii="仿宋" w:hAnsi="仿宋" w:eastAsia="仿宋"/>
          <w:sz w:val="32"/>
          <w:szCs w:val="32"/>
        </w:rPr>
      </w:pPr>
      <w:r>
        <w:rPr>
          <w:rFonts w:ascii="仿宋" w:hAnsi="仿宋" w:eastAsia="仿宋"/>
          <w:sz w:val="32"/>
          <w:szCs w:val="32"/>
        </w:rPr>
        <w:t>8. 文物管理和保护方面</w:t>
      </w:r>
    </w:p>
    <w:p>
      <w:pPr>
        <w:ind w:firstLine="560"/>
        <w:rPr>
          <w:rFonts w:ascii="仿宋" w:hAnsi="仿宋" w:eastAsia="仿宋"/>
          <w:sz w:val="32"/>
          <w:szCs w:val="32"/>
        </w:rPr>
      </w:pPr>
      <w:r>
        <w:rPr>
          <w:rFonts w:ascii="仿宋" w:hAnsi="仿宋" w:eastAsia="仿宋"/>
          <w:sz w:val="32"/>
          <w:szCs w:val="32"/>
        </w:rPr>
        <w:t>负责全县的文物管理和保护工作，对可移动不可移动文物进行普查。</w:t>
      </w:r>
    </w:p>
    <w:p>
      <w:pPr>
        <w:ind w:firstLine="560"/>
        <w:rPr>
          <w:rFonts w:ascii="仿宋" w:hAnsi="仿宋" w:eastAsia="仿宋"/>
          <w:sz w:val="32"/>
          <w:szCs w:val="32"/>
        </w:rPr>
      </w:pPr>
      <w:r>
        <w:rPr>
          <w:rFonts w:ascii="仿宋" w:hAnsi="仿宋" w:eastAsia="仿宋"/>
          <w:sz w:val="32"/>
          <w:szCs w:val="32"/>
        </w:rPr>
        <w:t>9. 体育工作</w:t>
      </w:r>
    </w:p>
    <w:p>
      <w:pPr>
        <w:ind w:firstLine="560"/>
        <w:rPr>
          <w:rFonts w:ascii="仿宋" w:hAnsi="仿宋" w:eastAsia="仿宋"/>
          <w:sz w:val="32"/>
          <w:szCs w:val="32"/>
        </w:rPr>
      </w:pPr>
      <w:r>
        <w:rPr>
          <w:rFonts w:ascii="仿宋" w:hAnsi="仿宋" w:eastAsia="仿宋"/>
          <w:sz w:val="32"/>
          <w:szCs w:val="32"/>
        </w:rPr>
        <w:t>贯彻落实党和国家制定的体育政策法规；负责拟定全县体育事业中长期发展规划；负责推行全民健身计划，指导社会各界开展群众性体育活动；负责全县体育社团的资格审查及业务指导；负责体育方面行政许可事项的审批、备案；负责拟定全县体育产业政策，发展体育市场；负责对体育经营活动进行监督检查；负责开发管理全县体育彩票工作。</w:t>
      </w:r>
    </w:p>
    <w:p>
      <w:pPr>
        <w:numPr>
          <w:ilvl w:val="0"/>
          <w:numId w:val="2"/>
        </w:numPr>
        <w:ind w:firstLine="560"/>
        <w:rPr>
          <w:rFonts w:ascii="仿宋" w:hAnsi="仿宋" w:eastAsia="仿宋"/>
          <w:sz w:val="32"/>
          <w:szCs w:val="32"/>
        </w:rPr>
      </w:pPr>
      <w:r>
        <w:rPr>
          <w:rFonts w:hint="eastAsia" w:ascii="仿宋" w:hAnsi="仿宋" w:eastAsia="仿宋"/>
          <w:sz w:val="32"/>
          <w:szCs w:val="32"/>
        </w:rPr>
        <w:t>旅游方面</w:t>
      </w:r>
    </w:p>
    <w:p>
      <w:pPr>
        <w:rPr>
          <w:rFonts w:ascii="仿宋" w:hAnsi="仿宋" w:eastAsia="仿宋"/>
          <w:sz w:val="32"/>
          <w:szCs w:val="32"/>
        </w:rPr>
      </w:pPr>
      <w:r>
        <w:rPr>
          <w:rFonts w:hint="eastAsia" w:ascii="仿宋" w:hAnsi="仿宋" w:eastAsia="仿宋"/>
          <w:sz w:val="32"/>
          <w:szCs w:val="32"/>
        </w:rPr>
        <w:t>负责对全县旅游业的监管管理工作。</w:t>
      </w:r>
    </w:p>
    <w:p>
      <w:pPr>
        <w:rPr>
          <w:rFonts w:ascii="仿宋" w:hAnsi="仿宋" w:eastAsia="仿宋"/>
          <w:sz w:val="32"/>
          <w:szCs w:val="32"/>
        </w:rPr>
      </w:pPr>
    </w:p>
    <w:p>
      <w:pPr>
        <w:ind w:firstLine="645"/>
        <w:rPr>
          <w:rFonts w:ascii="楷体" w:hAnsi="楷体" w:eastAsia="楷体"/>
          <w:sz w:val="32"/>
          <w:szCs w:val="32"/>
        </w:rPr>
      </w:pPr>
      <w:r>
        <w:rPr>
          <w:rFonts w:hint="eastAsia" w:ascii="楷体" w:hAnsi="楷体" w:eastAsia="楷体"/>
          <w:sz w:val="32"/>
          <w:szCs w:val="32"/>
        </w:rPr>
        <w:t>（三）部门职责-工作活动绩效目标</w:t>
      </w:r>
    </w:p>
    <w:p>
      <w:pPr>
        <w:jc w:val="center"/>
        <w:outlineLvl w:val="0"/>
        <w:rPr>
          <w:rFonts w:ascii="方正小标宋_GBK" w:eastAsia="方正小标宋_GBK"/>
          <w:sz w:val="32"/>
        </w:rPr>
      </w:pPr>
      <w:bookmarkStart w:id="1" w:name="_Toc510263531"/>
      <w:r>
        <w:rPr>
          <w:rFonts w:hint="eastAsia" w:ascii="方正小标宋_GBK" w:eastAsia="方正小标宋_GBK"/>
          <w:sz w:val="32"/>
        </w:rPr>
        <w:t>部门职责-工作活动绩效目标</w:t>
      </w:r>
      <w:bookmarkEnd w:id="1"/>
    </w:p>
    <w:p>
      <w:pPr>
        <w:spacing w:line="300" w:lineRule="exact"/>
        <w:jc w:val="left"/>
        <w:outlineLvl w:val="0"/>
      </w:pP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w:t>
            </w:r>
            <w:r>
              <w:rPr>
                <w:rFonts w:hint="eastAsia" w:ascii="方正小标宋_GBK" w:eastAsia="方正小标宋_GBK"/>
                <w:sz w:val="24"/>
              </w:rPr>
              <w:t>文广新局</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一、文化艺术管理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管理和指导全县文化建设，推进文化发展环境能力建设，提供公共文化服务、文化艺术资源建设和文化艺术生产。</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文化发展环境健康向上，文化发展能力不断增强，文化艺术资源丰富，公共文化服务和文化艺术生产水平不断提高。</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、公共文化服务</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规划、推动全县各级文化服务机构、设施和队伍建设，创新公共文化服务模式，建立公共文化资源共享机制，健全公共文化服务网络。组织指导公共文化产品生产，提供文化服务</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公共文化设施达标，机构和队伍健全，实现公共文化资源共享，形成城乡一体公共文化服务网络；公共文化产品生产和服务能力提高，基本公共文化服务标准化、均等化水平不断提高。</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公共文化场馆免费率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送公益流动文化服务进基层完成率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公共文化服务活动数量（场次）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12</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c>
          <w:tcPr>
            <w:tcW w:w="737" w:type="dxa"/>
            <w:vAlign w:val="center"/>
          </w:tcPr>
          <w:p>
            <w:pPr>
              <w:spacing w:line="300" w:lineRule="exact"/>
              <w:jc w:val="center"/>
              <w:rPr>
                <w:rFonts w:ascii="方正书宋_GBK" w:eastAsia="方正书宋_GBK"/>
              </w:rPr>
            </w:pPr>
            <w:r>
              <w:rPr>
                <w:rFonts w:ascii="方正书宋_GBK" w:eastAsia="方正书宋_GBK"/>
              </w:rPr>
              <w:t>&lt;6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、文化艺术资源建设</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管理、指导公共图书馆、美术馆等文化机构开展收藏、收集和保存工作；收藏、整理保管各类型资源文献、文化艺术作品和档案资料等；推广数字化建设和资源共享。</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收藏工作有序开展，收藏设施设备和物品等国有资产安全完整、高效利用。</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仓储设施设备及环境完好率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收藏及保管物品完好率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收集品入藏情况</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、文化艺术生产</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加强艺术教育和文化科研建设，指导、推动文化艺术创作生产和展览展示，组织举办各类文化艺术活动。</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文化艺术作品进一步丰富，专业艺术创作生产能力和地位不断提高，文化科研能力进一步提升。</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创作美术作品并展示数量（件）</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ascii="方正书宋_GBK" w:eastAsia="方正书宋_GBK"/>
              </w:rPr>
              <w:t>&lt;5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县城年演出场次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ascii="方正书宋_GBK" w:eastAsia="方正书宋_GBK"/>
              </w:rPr>
              <w:t>&lt;10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二、文化宣传交流</w:t>
            </w:r>
          </w:p>
        </w:tc>
        <w:tc>
          <w:tcPr>
            <w:tcW w:w="1276" w:type="dxa"/>
            <w:vAlign w:val="center"/>
          </w:tcPr>
          <w:p>
            <w:pPr>
              <w:spacing w:line="300" w:lineRule="exact"/>
              <w:jc w:val="left"/>
              <w:rPr>
                <w:rFonts w:ascii="方正书宋_GBK" w:eastAsia="方正书宋_GBK"/>
              </w:rPr>
            </w:pPr>
            <w:r>
              <w:rPr>
                <w:rFonts w:ascii="方正书宋_GBK" w:eastAsia="方正书宋_GBK"/>
              </w:rPr>
              <w:t>189.40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指导、组织全县优秀文化产品、服务和品牌活动宣传推介；组织全县文化交流活动。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提升文化交流档次和水平，不断增大我县文化产业产值，扩大我县文化影响力。</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、文化交流合作</w:t>
            </w:r>
          </w:p>
        </w:tc>
        <w:tc>
          <w:tcPr>
            <w:tcW w:w="1276" w:type="dxa"/>
            <w:vAlign w:val="center"/>
          </w:tcPr>
          <w:p>
            <w:pPr>
              <w:spacing w:line="300" w:lineRule="exact"/>
              <w:jc w:val="left"/>
              <w:rPr>
                <w:rFonts w:ascii="方正书宋_GBK" w:eastAsia="方正书宋_GBK"/>
              </w:rPr>
            </w:pPr>
            <w:r>
              <w:rPr>
                <w:rFonts w:ascii="方正书宋_GBK" w:eastAsia="方正书宋_GBK"/>
              </w:rPr>
              <w:t>20.00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利用各类文化交流平台开展合作，宣传推介我县文化艺术资源，提升文化交流水平。</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全方位宣传推介我县文化艺术资源，提升交流水平和档次。</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文化交流次数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&lt;3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、文化宣传推介</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169.40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组织优秀文化产品和活动等参加比赛活动，入选项目中后期监督、管理；对我县文化进行综合宣传推介。</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推动更多文化项目入选上级扶持项目；推动更多文化项目取得大赛名次和被认知；提高我县文化的影响力。</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推介和获奖项目媒体宣传率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推介成功率和获奖率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组织推介申报项目情况</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三、文化保护</w:t>
            </w:r>
          </w:p>
        </w:tc>
        <w:tc>
          <w:tcPr>
            <w:tcW w:w="1276" w:type="dxa"/>
            <w:vAlign w:val="center"/>
          </w:tcPr>
          <w:p>
            <w:pPr>
              <w:spacing w:line="300" w:lineRule="exact"/>
              <w:jc w:val="left"/>
              <w:rPr>
                <w:rFonts w:ascii="方正书宋_GBK" w:eastAsia="方正书宋_GBK"/>
              </w:rPr>
            </w:pPr>
            <w:r>
              <w:rPr>
                <w:rFonts w:ascii="方正书宋_GBK" w:eastAsia="方正书宋_GBK"/>
              </w:rPr>
              <w:t>32.80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指导、组织开展文化保护工作</w:t>
            </w:r>
            <w:r>
              <w:rPr>
                <w:rFonts w:ascii="方正书宋_GBK" w:eastAsia="方正书宋_GBK"/>
              </w:rPr>
              <w:t>;</w:t>
            </w:r>
            <w:r>
              <w:rPr>
                <w:rFonts w:hint="eastAsia" w:ascii="方正书宋_GBK" w:eastAsia="方正书宋_GBK"/>
              </w:rPr>
              <w:t>组织实施优秀民族文化的传承普及工作；维护国家文化安全。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构建健全的文化保护体系，文化保护工作得到全面加强，优秀文化得到传承和发扬。</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、文化保护</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32.80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组织开展非物质文化保护工作；组织实施优秀民族文化的传承普及工作。</w:t>
            </w:r>
            <w:r>
              <w:rPr>
                <w:rFonts w:ascii="方正书宋_GBK" w:eastAsia="方正书宋_GBK"/>
              </w:rPr>
              <w:t xml:space="preserve"> </w:t>
            </w:r>
            <w:r>
              <w:rPr>
                <w:rFonts w:hint="eastAsia" w:ascii="方正书宋_GBK" w:eastAsia="方正书宋_GBK"/>
              </w:rPr>
              <w:t>对城乡特色鲜明的艺术形式和文化活动进行扶持和保护，推动特色文化传承发扬。</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珍贵、濒危的非物质文化遗产得到有效抢救和保护，优秀特色文化得到传承和发扬。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展示和传承优秀项目占比数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濒危和重点项目有效保护覆盖率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四、文化政务管理</w:t>
            </w:r>
          </w:p>
        </w:tc>
        <w:tc>
          <w:tcPr>
            <w:tcW w:w="1276" w:type="dxa"/>
            <w:vAlign w:val="center"/>
          </w:tcPr>
          <w:p>
            <w:pPr>
              <w:spacing w:line="300" w:lineRule="exact"/>
              <w:jc w:val="left"/>
              <w:rPr>
                <w:rFonts w:ascii="方正书宋_GBK" w:eastAsia="方正书宋_GBK"/>
              </w:rPr>
            </w:pPr>
            <w:r>
              <w:rPr>
                <w:rFonts w:ascii="方正书宋_GBK" w:eastAsia="方正书宋_GBK"/>
              </w:rPr>
              <w:t>1.32</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负责系统综合业务管理和机关综合事务管理。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确保各项业务工作谋划到位、顺利开展。保障机关工作正常高效运转。</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Align w:val="center"/>
          </w:tcPr>
          <w:p>
            <w:pPr>
              <w:spacing w:line="300" w:lineRule="exact"/>
              <w:jc w:val="left"/>
              <w:rPr>
                <w:rFonts w:ascii="方正书宋_GBK" w:eastAsia="方正书宋_GBK"/>
              </w:rPr>
            </w:pPr>
            <w:r>
              <w:rPr>
                <w:rFonts w:ascii="方正书宋_GBK" w:eastAsia="方正书宋_GBK"/>
              </w:rPr>
              <w:t>1.32</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拟订并组织实施全县文化艺术事业发展规划</w:t>
            </w:r>
            <w:r>
              <w:rPr>
                <w:rFonts w:ascii="方正书宋_GBK" w:eastAsia="方正书宋_GBK"/>
              </w:rPr>
              <w:t>,</w:t>
            </w:r>
            <w:r>
              <w:rPr>
                <w:rFonts w:hint="eastAsia" w:ascii="方正书宋_GBK" w:eastAsia="方正书宋_GBK"/>
              </w:rPr>
              <w:t>开展全县文化事业调查研究，履行文化市场监管职责，加快文化产业发展，加强非物质文化遗产保护和优秀民族文化的传承普及，开展文化宣传、交流、合作、保护等业务管理工作。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确保各项业务工作谋划到位、顺利开展。</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改善文化管理和发展硬件、软件水平；加强人才引进、培养和文化队伍建设，加强艺术教育建设；加快文化科研和信息化建设；筹备召开全县文化工作会议和一般性专项会议；不断提升工作的规范化水平；保障机关运转，努力改善机关形象。</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保障机关工作正常高效运转。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五、体育发展</w:t>
            </w:r>
          </w:p>
        </w:tc>
        <w:tc>
          <w:tcPr>
            <w:tcW w:w="1276" w:type="dxa"/>
            <w:vAlign w:val="center"/>
          </w:tcPr>
          <w:p>
            <w:pPr>
              <w:spacing w:line="300" w:lineRule="exact"/>
              <w:jc w:val="left"/>
              <w:rPr>
                <w:rFonts w:ascii="方正书宋_GBK" w:eastAsia="方正书宋_GBK"/>
              </w:rPr>
            </w:pPr>
            <w:r>
              <w:rPr>
                <w:rFonts w:ascii="方正书宋_GBK" w:eastAsia="方正书宋_GBK"/>
              </w:rPr>
              <w:t>28.00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推动多元化体育服务体系建设，推动体育公共服务；规范体育服务管理工作。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加强体育公共服务体系建设，促进全县体育事业全面协调可持续发展。引导全县体育产业繁荣、健康、良性发展。</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、体育发展</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28.00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贯彻落实《全民健身条例》，推行全民健身计划，组织开展群众体育活动，加强群众体育设施建设，指导群众科学健身，指导开展群众性体育活动，会同有关部门举办全县残疾人、农民、少数民族、职工综合性运动会，培训社会体育指导员。</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贯彻落实《全民健身条例》，推行全民健身计划，发展全民健身事业，完善全民健身公共服务体系；促进全县群众体育活动开展，加强群众体育设施建设，满足群众健身需求，提高群众身体素质和健康水平；指导群众科学健身，会同有关部门举办全县残疾人、农民、少数民族、职工综合性运动会，培训社会体育指导员，开展国民体质监测。</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举办综合性运动比赛次数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12</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ascii="方正书宋_GBK" w:eastAsia="方正书宋_GBK"/>
              </w:rPr>
              <w:t>&lt;10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大型比赛群众参与度（人次）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250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200</w:t>
            </w:r>
          </w:p>
        </w:tc>
        <w:tc>
          <w:tcPr>
            <w:tcW w:w="737" w:type="dxa"/>
            <w:vAlign w:val="center"/>
          </w:tcPr>
          <w:p>
            <w:pPr>
              <w:spacing w:line="300" w:lineRule="exact"/>
              <w:jc w:val="center"/>
              <w:rPr>
                <w:rFonts w:ascii="方正书宋_GBK" w:eastAsia="方正书宋_GBK"/>
              </w:rPr>
            </w:pPr>
            <w:r>
              <w:rPr>
                <w:rFonts w:ascii="方正书宋_GBK" w:eastAsia="方正书宋_GBK"/>
              </w:rPr>
              <w:t>&lt;200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场馆设施运行状况</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运行良好</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正常运行</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部分不能正常运行</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不能使用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组织开展大型全民健身活动次数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&lt;2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做好社会体育指导员的管理、指导和培训</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vAlign w:val="center"/>
          </w:tcPr>
          <w:p>
            <w:pPr>
              <w:spacing w:line="300" w:lineRule="exact"/>
              <w:jc w:val="center"/>
              <w:rPr>
                <w:rFonts w:ascii="方正书宋_GBK" w:eastAsia="方正书宋_GBK"/>
              </w:rPr>
            </w:pPr>
            <w:r>
              <w:rPr>
                <w:rFonts w:ascii="方正书宋_GBK" w:eastAsia="方正书宋_GBK"/>
              </w:rPr>
              <w:t>&lt;20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大型全民健身活动参与人数增长率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&lt;4%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、体育设施建设</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加强体育场馆、体育设施建设，加强公共体育设施监督管理。</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建设功能明确、特色鲜明、设备先进、管理科学的体育训练场地、场馆和设施，使之成为群众健身、体育训练和服务的基础保障。</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场地建设达标率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年度基本建设和维修改造计划完成率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六、政务管理</w:t>
            </w:r>
          </w:p>
        </w:tc>
        <w:tc>
          <w:tcPr>
            <w:tcW w:w="1276" w:type="dxa"/>
            <w:vAlign w:val="center"/>
          </w:tcPr>
          <w:p>
            <w:pPr>
              <w:spacing w:line="300" w:lineRule="exact"/>
              <w:jc w:val="left"/>
              <w:rPr>
                <w:rFonts w:ascii="方正书宋_GBK" w:eastAsia="方正书宋_GBK"/>
              </w:rPr>
            </w:pPr>
            <w:r>
              <w:rPr>
                <w:rFonts w:ascii="方正书宋_GBK" w:eastAsia="方正书宋_GBK"/>
              </w:rPr>
              <w:t>8.00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负责系统综合业务管理和机关综合事务管理。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确保各项业务工作谋划到位、顺利开展。保障机关工作正常高效运转。</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拟定体育事业和产业发展规划，开展体育赛事管理、体育交流合作宣传等工作。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确保各项业务工作谋划到位、顺利开展。</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公众满意度</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年度任务完成率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vAlign w:val="center"/>
          </w:tcPr>
          <w:p>
            <w:pPr>
              <w:spacing w:line="300" w:lineRule="exact"/>
              <w:jc w:val="left"/>
              <w:rPr>
                <w:rFonts w:ascii="方正书宋_GBK" w:eastAsia="方正书宋_GBK"/>
              </w:rPr>
            </w:pPr>
            <w:r>
              <w:rPr>
                <w:rFonts w:ascii="方正书宋_GBK" w:eastAsia="方正书宋_GBK"/>
              </w:rPr>
              <w:t>8.00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主要开展设施维护运行等保障运转工作。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保障机关工作正常高效运转。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七、新闻出版广播影视事业建设</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做好各类广播电视节目制作、宣传、采访报道、传输发射实验以及影视剧、专题片等创作生产。建立广播电视安全播出保障体系，加强台站、安全播出管理。组织实施重大公益工程和公益活动。</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宣传党的路线、方针、政策和县委、县政府的工作部署，坚持正确舆论导向，发挥主流媒体作用；办好各类广播电视节目；开展各类宣传工作；配合上级台完成我县的采访报道工作并提供各类节目；承担县委、县政府宣传片的创作生产、专题片等的创作生产。负责相关设备的正常运行和维护。</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、公共服务工程推广</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根据省市下达的任务目标，完成全县广播电视直播卫星户户通工程、县城数字影院升级改造、农家书屋建设、全民阅读活动、老放映员生活补助。</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重大公益工程和公益活动推进扎实，新闻出版广播影视惠民政策成效显著。</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县城数字影院票房总额年度增长率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12%</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ascii="方正书宋_GBK" w:eastAsia="方正书宋_GBK"/>
              </w:rPr>
              <w:t>&lt;10%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全年公益电影放映场次完成率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农家书屋出版物补充、更新及配送量</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16</w:t>
            </w:r>
            <w:r>
              <w:rPr>
                <w:rFonts w:hint="eastAsia" w:ascii="方正书宋_GBK" w:eastAsia="方正书宋_GBK"/>
              </w:rPr>
              <w:t>万册</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万册</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万册</w:t>
            </w:r>
          </w:p>
        </w:tc>
        <w:tc>
          <w:tcPr>
            <w:tcW w:w="737" w:type="dxa"/>
            <w:vAlign w:val="center"/>
          </w:tcPr>
          <w:p>
            <w:pPr>
              <w:spacing w:line="300" w:lineRule="exact"/>
              <w:jc w:val="center"/>
              <w:rPr>
                <w:rFonts w:ascii="方正书宋_GBK" w:eastAsia="方正书宋_GBK"/>
              </w:rPr>
            </w:pPr>
            <w:r>
              <w:rPr>
                <w:rFonts w:ascii="方正书宋_GBK" w:eastAsia="方正书宋_GBK"/>
              </w:rPr>
              <w:t>&lt;12</w:t>
            </w:r>
            <w:r>
              <w:rPr>
                <w:rFonts w:hint="eastAsia" w:ascii="方正书宋_GBK" w:eastAsia="方正书宋_GBK"/>
              </w:rPr>
              <w:t>万册</w:t>
            </w:r>
          </w:p>
        </w:tc>
      </w:tr>
    </w:tbl>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5" w:firstLineChars="215"/>
        <w:rPr>
          <w:rFonts w:ascii="仿宋" w:hAnsi="仿宋" w:eastAsia="仿宋"/>
          <w:sz w:val="30"/>
          <w:szCs w:val="30"/>
        </w:rPr>
      </w:pPr>
      <w:bookmarkStart w:id="2" w:name="_Hlk2606212"/>
      <w:r>
        <w:rPr>
          <w:rFonts w:hint="eastAsia" w:ascii="仿宋" w:hAnsi="仿宋" w:eastAsia="仿宋"/>
          <w:sz w:val="30"/>
          <w:szCs w:val="30"/>
        </w:rPr>
        <w:t>2019年我部门安排政府采购预算20万元，具体内容见下表。</w:t>
      </w:r>
      <w:bookmarkEnd w:id="2"/>
    </w:p>
    <w:p>
      <w:pPr>
        <w:jc w:val="center"/>
        <w:outlineLvl w:val="0"/>
        <w:rPr>
          <w:rFonts w:ascii="方正小标宋_GBK" w:eastAsia="方正小标宋_GBK"/>
          <w:sz w:val="32"/>
        </w:rPr>
      </w:pPr>
      <w:bookmarkStart w:id="3" w:name="_Toc2537245"/>
      <w:bookmarkStart w:id="4" w:name="_Hlk2606275"/>
      <w:r>
        <w:rPr>
          <w:rFonts w:hint="eastAsia" w:ascii="方正小标宋_GBK" w:eastAsia="方正小标宋_GBK"/>
          <w:sz w:val="32"/>
        </w:rPr>
        <w:t>部门政府采购预算</w:t>
      </w:r>
      <w:bookmarkEnd w:id="3"/>
      <w:bookmarkEnd w:id="4"/>
    </w:p>
    <w:tbl>
      <w:tblPr>
        <w:tblStyle w:val="4"/>
        <w:tblW w:w="137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08"/>
        <w:gridCol w:w="1035"/>
        <w:gridCol w:w="917"/>
        <w:gridCol w:w="928"/>
        <w:gridCol w:w="716"/>
        <w:gridCol w:w="741"/>
        <w:gridCol w:w="798"/>
        <w:gridCol w:w="906"/>
        <w:gridCol w:w="906"/>
        <w:gridCol w:w="906"/>
        <w:gridCol w:w="906"/>
        <w:gridCol w:w="908"/>
        <w:gridCol w:w="909"/>
        <w:gridCol w:w="8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44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w:t>
            </w:r>
            <w:r>
              <w:rPr>
                <w:rFonts w:hint="eastAsia" w:ascii="方正小标宋_GBK" w:eastAsia="方正小标宋_GBK"/>
                <w:sz w:val="24"/>
              </w:rPr>
              <w:t>文广新局</w:t>
            </w:r>
          </w:p>
        </w:tc>
        <w:tc>
          <w:tcPr>
            <w:tcW w:w="6309"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343"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917"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928"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16"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74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798"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309" w:type="dxa"/>
            <w:gridSpan w:val="7"/>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08"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035"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917" w:type="dxa"/>
            <w:vMerge w:val="continue"/>
            <w:vAlign w:val="center"/>
          </w:tcPr>
          <w:p>
            <w:pPr>
              <w:spacing w:line="300" w:lineRule="exact"/>
              <w:jc w:val="left"/>
              <w:outlineLvl w:val="0"/>
            </w:pPr>
          </w:p>
        </w:tc>
        <w:tc>
          <w:tcPr>
            <w:tcW w:w="928" w:type="dxa"/>
            <w:vMerge w:val="continue"/>
            <w:vAlign w:val="center"/>
          </w:tcPr>
          <w:p>
            <w:pPr>
              <w:spacing w:line="300" w:lineRule="exact"/>
              <w:jc w:val="left"/>
              <w:outlineLvl w:val="0"/>
            </w:pPr>
          </w:p>
        </w:tc>
        <w:tc>
          <w:tcPr>
            <w:tcW w:w="716" w:type="dxa"/>
            <w:vMerge w:val="continue"/>
            <w:vAlign w:val="center"/>
          </w:tcPr>
          <w:p>
            <w:pPr>
              <w:spacing w:line="300" w:lineRule="exact"/>
              <w:jc w:val="left"/>
              <w:outlineLvl w:val="0"/>
            </w:pPr>
          </w:p>
        </w:tc>
        <w:tc>
          <w:tcPr>
            <w:tcW w:w="741" w:type="dxa"/>
            <w:vMerge w:val="continue"/>
            <w:vAlign w:val="center"/>
          </w:tcPr>
          <w:p>
            <w:pPr>
              <w:spacing w:line="300" w:lineRule="exact"/>
              <w:jc w:val="left"/>
              <w:outlineLvl w:val="0"/>
            </w:pPr>
          </w:p>
        </w:tc>
        <w:tc>
          <w:tcPr>
            <w:tcW w:w="798" w:type="dxa"/>
            <w:vMerge w:val="continue"/>
            <w:vAlign w:val="center"/>
          </w:tcPr>
          <w:p>
            <w:pPr>
              <w:spacing w:line="300" w:lineRule="exact"/>
              <w:jc w:val="left"/>
              <w:outlineLvl w:val="0"/>
            </w:pPr>
          </w:p>
        </w:tc>
        <w:tc>
          <w:tcPr>
            <w:tcW w:w="906" w:type="dxa"/>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535" w:type="dxa"/>
            <w:gridSpan w:val="5"/>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868" w:type="dxa"/>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08" w:type="dxa"/>
            <w:vMerge w:val="continue"/>
            <w:vAlign w:val="center"/>
          </w:tcPr>
          <w:p>
            <w:pPr>
              <w:spacing w:line="300" w:lineRule="exact"/>
              <w:jc w:val="left"/>
              <w:outlineLvl w:val="0"/>
            </w:pPr>
          </w:p>
        </w:tc>
        <w:tc>
          <w:tcPr>
            <w:tcW w:w="1035" w:type="dxa"/>
            <w:vMerge w:val="continue"/>
            <w:vAlign w:val="center"/>
          </w:tcPr>
          <w:p>
            <w:pPr>
              <w:spacing w:line="300" w:lineRule="exact"/>
              <w:jc w:val="left"/>
              <w:outlineLvl w:val="0"/>
            </w:pPr>
          </w:p>
        </w:tc>
        <w:tc>
          <w:tcPr>
            <w:tcW w:w="917" w:type="dxa"/>
            <w:vMerge w:val="continue"/>
            <w:vAlign w:val="center"/>
          </w:tcPr>
          <w:p>
            <w:pPr>
              <w:spacing w:line="300" w:lineRule="exact"/>
              <w:jc w:val="left"/>
              <w:outlineLvl w:val="0"/>
            </w:pPr>
          </w:p>
        </w:tc>
        <w:tc>
          <w:tcPr>
            <w:tcW w:w="928" w:type="dxa"/>
            <w:vMerge w:val="continue"/>
            <w:vAlign w:val="center"/>
          </w:tcPr>
          <w:p>
            <w:pPr>
              <w:spacing w:line="300" w:lineRule="exact"/>
              <w:jc w:val="left"/>
              <w:outlineLvl w:val="0"/>
            </w:pPr>
          </w:p>
        </w:tc>
        <w:tc>
          <w:tcPr>
            <w:tcW w:w="716" w:type="dxa"/>
            <w:vMerge w:val="continue"/>
            <w:vAlign w:val="center"/>
          </w:tcPr>
          <w:p>
            <w:pPr>
              <w:spacing w:line="300" w:lineRule="exact"/>
              <w:jc w:val="left"/>
              <w:outlineLvl w:val="0"/>
            </w:pPr>
          </w:p>
        </w:tc>
        <w:tc>
          <w:tcPr>
            <w:tcW w:w="741" w:type="dxa"/>
            <w:vMerge w:val="continue"/>
            <w:vAlign w:val="center"/>
          </w:tcPr>
          <w:p>
            <w:pPr>
              <w:spacing w:line="300" w:lineRule="exact"/>
              <w:jc w:val="left"/>
              <w:outlineLvl w:val="0"/>
            </w:pPr>
          </w:p>
        </w:tc>
        <w:tc>
          <w:tcPr>
            <w:tcW w:w="798" w:type="dxa"/>
            <w:vMerge w:val="continue"/>
            <w:vAlign w:val="center"/>
          </w:tcPr>
          <w:p>
            <w:pPr>
              <w:spacing w:line="300" w:lineRule="exact"/>
              <w:jc w:val="left"/>
              <w:outlineLvl w:val="0"/>
            </w:pPr>
          </w:p>
        </w:tc>
        <w:tc>
          <w:tcPr>
            <w:tcW w:w="906" w:type="dxa"/>
            <w:vMerge w:val="continue"/>
            <w:vAlign w:val="center"/>
          </w:tcPr>
          <w:p>
            <w:pPr>
              <w:spacing w:line="300" w:lineRule="exact"/>
              <w:jc w:val="left"/>
              <w:outlineLvl w:val="0"/>
            </w:pPr>
          </w:p>
        </w:tc>
        <w:tc>
          <w:tcPr>
            <w:tcW w:w="906"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06"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06"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08"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909"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868"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08"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035" w:type="dxa"/>
            <w:vAlign w:val="center"/>
          </w:tcPr>
          <w:p>
            <w:pPr>
              <w:spacing w:line="300" w:lineRule="exact"/>
              <w:jc w:val="right"/>
              <w:rPr>
                <w:rFonts w:ascii="方正书宋_GBK" w:eastAsia="方正书宋_GBK"/>
                <w:b/>
              </w:rPr>
            </w:pPr>
          </w:p>
        </w:tc>
        <w:tc>
          <w:tcPr>
            <w:tcW w:w="917" w:type="dxa"/>
            <w:vAlign w:val="center"/>
          </w:tcPr>
          <w:p>
            <w:pPr>
              <w:spacing w:line="300" w:lineRule="exact"/>
              <w:jc w:val="left"/>
              <w:rPr>
                <w:rFonts w:ascii="方正书宋_GBK" w:eastAsia="方正书宋_GBK"/>
                <w:b/>
              </w:rPr>
            </w:pPr>
          </w:p>
        </w:tc>
        <w:tc>
          <w:tcPr>
            <w:tcW w:w="928" w:type="dxa"/>
            <w:vAlign w:val="center"/>
          </w:tcPr>
          <w:p>
            <w:pPr>
              <w:spacing w:line="300" w:lineRule="exact"/>
              <w:jc w:val="left"/>
              <w:rPr>
                <w:rFonts w:ascii="方正书宋_GBK" w:eastAsia="方正书宋_GBK"/>
                <w:b/>
              </w:rPr>
            </w:pPr>
          </w:p>
        </w:tc>
        <w:tc>
          <w:tcPr>
            <w:tcW w:w="716" w:type="dxa"/>
            <w:vAlign w:val="center"/>
          </w:tcPr>
          <w:p>
            <w:pPr>
              <w:spacing w:line="300" w:lineRule="exact"/>
              <w:jc w:val="left"/>
              <w:rPr>
                <w:rFonts w:ascii="方正书宋_GBK" w:eastAsia="方正书宋_GBK"/>
                <w:b/>
              </w:rPr>
            </w:pPr>
          </w:p>
        </w:tc>
        <w:tc>
          <w:tcPr>
            <w:tcW w:w="741" w:type="dxa"/>
            <w:vAlign w:val="center"/>
          </w:tcPr>
          <w:p>
            <w:pPr>
              <w:spacing w:line="300" w:lineRule="exact"/>
              <w:jc w:val="right"/>
              <w:rPr>
                <w:rFonts w:ascii="方正书宋_GBK" w:eastAsia="方正书宋_GBK"/>
                <w:b/>
              </w:rPr>
            </w:pPr>
          </w:p>
        </w:tc>
        <w:tc>
          <w:tcPr>
            <w:tcW w:w="798" w:type="dxa"/>
            <w:vAlign w:val="center"/>
          </w:tcPr>
          <w:p>
            <w:pPr>
              <w:spacing w:line="300" w:lineRule="exact"/>
              <w:jc w:val="right"/>
              <w:rPr>
                <w:rFonts w:ascii="方正书宋_GBK" w:eastAsia="方正书宋_GBK"/>
                <w:b/>
              </w:rPr>
            </w:pPr>
          </w:p>
        </w:tc>
        <w:tc>
          <w:tcPr>
            <w:tcW w:w="906" w:type="dxa"/>
            <w:vAlign w:val="center"/>
          </w:tcPr>
          <w:p>
            <w:pPr>
              <w:spacing w:line="300" w:lineRule="exact"/>
              <w:jc w:val="right"/>
              <w:rPr>
                <w:rFonts w:ascii="方正书宋_GBK" w:eastAsia="方正书宋_GBK"/>
                <w:b/>
              </w:rPr>
            </w:pPr>
            <w:r>
              <w:rPr>
                <w:rFonts w:ascii="方正书宋_GBK" w:eastAsia="方正书宋_GBK"/>
                <w:b/>
              </w:rPr>
              <w:t>20.00</w:t>
            </w:r>
          </w:p>
        </w:tc>
        <w:tc>
          <w:tcPr>
            <w:tcW w:w="906" w:type="dxa"/>
            <w:vAlign w:val="center"/>
          </w:tcPr>
          <w:p>
            <w:pPr>
              <w:spacing w:line="300" w:lineRule="exact"/>
              <w:jc w:val="right"/>
              <w:rPr>
                <w:rFonts w:ascii="方正书宋_GBK" w:eastAsia="方正书宋_GBK"/>
                <w:b/>
              </w:rPr>
            </w:pPr>
            <w:r>
              <w:rPr>
                <w:rFonts w:ascii="方正书宋_GBK" w:eastAsia="方正书宋_GBK"/>
                <w:b/>
              </w:rPr>
              <w:t>20.00</w:t>
            </w:r>
          </w:p>
        </w:tc>
        <w:tc>
          <w:tcPr>
            <w:tcW w:w="906" w:type="dxa"/>
            <w:vAlign w:val="center"/>
          </w:tcPr>
          <w:p>
            <w:pPr>
              <w:spacing w:line="300" w:lineRule="exact"/>
              <w:jc w:val="right"/>
              <w:rPr>
                <w:rFonts w:ascii="方正书宋_GBK" w:eastAsia="方正书宋_GBK"/>
                <w:b/>
              </w:rPr>
            </w:pPr>
            <w:r>
              <w:rPr>
                <w:rFonts w:ascii="方正书宋_GBK" w:eastAsia="方正书宋_GBK"/>
                <w:b/>
              </w:rPr>
              <w:t>20.00</w:t>
            </w:r>
          </w:p>
        </w:tc>
        <w:tc>
          <w:tcPr>
            <w:tcW w:w="906" w:type="dxa"/>
            <w:vAlign w:val="center"/>
          </w:tcPr>
          <w:p>
            <w:pPr>
              <w:spacing w:line="300" w:lineRule="exact"/>
              <w:jc w:val="right"/>
              <w:rPr>
                <w:rFonts w:ascii="方正书宋_GBK" w:eastAsia="方正书宋_GBK"/>
                <w:b/>
              </w:rPr>
            </w:pPr>
          </w:p>
        </w:tc>
        <w:tc>
          <w:tcPr>
            <w:tcW w:w="908" w:type="dxa"/>
            <w:vAlign w:val="center"/>
          </w:tcPr>
          <w:p>
            <w:pPr>
              <w:spacing w:line="300" w:lineRule="exact"/>
              <w:jc w:val="right"/>
              <w:rPr>
                <w:rFonts w:ascii="方正书宋_GBK" w:eastAsia="方正书宋_GBK"/>
                <w:b/>
              </w:rPr>
            </w:pPr>
          </w:p>
        </w:tc>
        <w:tc>
          <w:tcPr>
            <w:tcW w:w="909" w:type="dxa"/>
            <w:vAlign w:val="center"/>
          </w:tcPr>
          <w:p>
            <w:pPr>
              <w:spacing w:line="300" w:lineRule="exact"/>
              <w:jc w:val="right"/>
              <w:rPr>
                <w:rFonts w:ascii="方正书宋_GBK" w:eastAsia="方正书宋_GBK"/>
                <w:b/>
              </w:rPr>
            </w:pPr>
          </w:p>
        </w:tc>
        <w:tc>
          <w:tcPr>
            <w:tcW w:w="868"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08" w:type="dxa"/>
            <w:vAlign w:val="center"/>
          </w:tcPr>
          <w:p>
            <w:pPr>
              <w:spacing w:line="300" w:lineRule="exact"/>
              <w:jc w:val="center"/>
              <w:rPr>
                <w:rFonts w:ascii="方正书宋_GBK" w:eastAsia="方正书宋_GBK"/>
                <w:b/>
              </w:rPr>
            </w:pPr>
            <w:r>
              <w:rPr>
                <w:rFonts w:hint="eastAsia" w:ascii="方正书宋_GBK" w:eastAsia="方正书宋_GBK"/>
                <w:b/>
              </w:rPr>
              <w:t>无极县文化广电新闻出版局小计</w:t>
            </w:r>
          </w:p>
        </w:tc>
        <w:tc>
          <w:tcPr>
            <w:tcW w:w="1035" w:type="dxa"/>
            <w:vAlign w:val="center"/>
          </w:tcPr>
          <w:p>
            <w:pPr>
              <w:spacing w:line="300" w:lineRule="exact"/>
              <w:jc w:val="right"/>
              <w:rPr>
                <w:rFonts w:ascii="方正书宋_GBK" w:eastAsia="方正书宋_GBK"/>
                <w:b/>
              </w:rPr>
            </w:pPr>
          </w:p>
        </w:tc>
        <w:tc>
          <w:tcPr>
            <w:tcW w:w="917" w:type="dxa"/>
            <w:vAlign w:val="center"/>
          </w:tcPr>
          <w:p>
            <w:pPr>
              <w:spacing w:line="300" w:lineRule="exact"/>
              <w:jc w:val="left"/>
              <w:rPr>
                <w:rFonts w:ascii="方正书宋_GBK" w:eastAsia="方正书宋_GBK"/>
                <w:b/>
              </w:rPr>
            </w:pPr>
          </w:p>
        </w:tc>
        <w:tc>
          <w:tcPr>
            <w:tcW w:w="928" w:type="dxa"/>
            <w:vAlign w:val="center"/>
          </w:tcPr>
          <w:p>
            <w:pPr>
              <w:spacing w:line="300" w:lineRule="exact"/>
              <w:jc w:val="left"/>
              <w:rPr>
                <w:rFonts w:ascii="方正书宋_GBK" w:eastAsia="方正书宋_GBK"/>
                <w:b/>
              </w:rPr>
            </w:pPr>
          </w:p>
        </w:tc>
        <w:tc>
          <w:tcPr>
            <w:tcW w:w="716" w:type="dxa"/>
            <w:vAlign w:val="center"/>
          </w:tcPr>
          <w:p>
            <w:pPr>
              <w:spacing w:line="300" w:lineRule="exact"/>
              <w:jc w:val="left"/>
              <w:rPr>
                <w:rFonts w:ascii="方正书宋_GBK" w:eastAsia="方正书宋_GBK"/>
                <w:b/>
              </w:rPr>
            </w:pPr>
          </w:p>
        </w:tc>
        <w:tc>
          <w:tcPr>
            <w:tcW w:w="741" w:type="dxa"/>
            <w:vAlign w:val="center"/>
          </w:tcPr>
          <w:p>
            <w:pPr>
              <w:spacing w:line="300" w:lineRule="exact"/>
              <w:jc w:val="right"/>
              <w:rPr>
                <w:rFonts w:ascii="方正书宋_GBK" w:eastAsia="方正书宋_GBK"/>
                <w:b/>
              </w:rPr>
            </w:pPr>
          </w:p>
        </w:tc>
        <w:tc>
          <w:tcPr>
            <w:tcW w:w="798" w:type="dxa"/>
            <w:vAlign w:val="center"/>
          </w:tcPr>
          <w:p>
            <w:pPr>
              <w:spacing w:line="300" w:lineRule="exact"/>
              <w:jc w:val="right"/>
              <w:rPr>
                <w:rFonts w:ascii="方正书宋_GBK" w:eastAsia="方正书宋_GBK"/>
                <w:b/>
              </w:rPr>
            </w:pPr>
          </w:p>
        </w:tc>
        <w:tc>
          <w:tcPr>
            <w:tcW w:w="906" w:type="dxa"/>
            <w:vAlign w:val="center"/>
          </w:tcPr>
          <w:p>
            <w:pPr>
              <w:spacing w:line="300" w:lineRule="exact"/>
              <w:jc w:val="right"/>
              <w:rPr>
                <w:rFonts w:ascii="方正书宋_GBK" w:eastAsia="方正书宋_GBK"/>
                <w:b/>
              </w:rPr>
            </w:pPr>
            <w:r>
              <w:rPr>
                <w:rFonts w:ascii="方正书宋_GBK" w:eastAsia="方正书宋_GBK"/>
                <w:b/>
              </w:rPr>
              <w:t>20.00</w:t>
            </w:r>
          </w:p>
        </w:tc>
        <w:tc>
          <w:tcPr>
            <w:tcW w:w="906" w:type="dxa"/>
            <w:vAlign w:val="center"/>
          </w:tcPr>
          <w:p>
            <w:pPr>
              <w:spacing w:line="300" w:lineRule="exact"/>
              <w:jc w:val="right"/>
              <w:rPr>
                <w:rFonts w:ascii="方正书宋_GBK" w:eastAsia="方正书宋_GBK"/>
                <w:b/>
              </w:rPr>
            </w:pPr>
            <w:r>
              <w:rPr>
                <w:rFonts w:ascii="方正书宋_GBK" w:eastAsia="方正书宋_GBK"/>
                <w:b/>
              </w:rPr>
              <w:t>20.00</w:t>
            </w:r>
          </w:p>
        </w:tc>
        <w:tc>
          <w:tcPr>
            <w:tcW w:w="906" w:type="dxa"/>
            <w:vAlign w:val="center"/>
          </w:tcPr>
          <w:p>
            <w:pPr>
              <w:spacing w:line="300" w:lineRule="exact"/>
              <w:jc w:val="right"/>
              <w:rPr>
                <w:rFonts w:ascii="方正书宋_GBK" w:eastAsia="方正书宋_GBK"/>
                <w:b/>
              </w:rPr>
            </w:pPr>
            <w:r>
              <w:rPr>
                <w:rFonts w:ascii="方正书宋_GBK" w:eastAsia="方正书宋_GBK"/>
                <w:b/>
              </w:rPr>
              <w:t>20.00</w:t>
            </w:r>
          </w:p>
        </w:tc>
        <w:tc>
          <w:tcPr>
            <w:tcW w:w="906" w:type="dxa"/>
            <w:vAlign w:val="center"/>
          </w:tcPr>
          <w:p>
            <w:pPr>
              <w:spacing w:line="300" w:lineRule="exact"/>
              <w:jc w:val="right"/>
              <w:rPr>
                <w:rFonts w:ascii="方正书宋_GBK" w:eastAsia="方正书宋_GBK"/>
                <w:b/>
              </w:rPr>
            </w:pPr>
          </w:p>
        </w:tc>
        <w:tc>
          <w:tcPr>
            <w:tcW w:w="908" w:type="dxa"/>
            <w:vAlign w:val="center"/>
          </w:tcPr>
          <w:p>
            <w:pPr>
              <w:spacing w:line="300" w:lineRule="exact"/>
              <w:jc w:val="right"/>
              <w:rPr>
                <w:rFonts w:ascii="方正书宋_GBK" w:eastAsia="方正书宋_GBK"/>
                <w:b/>
              </w:rPr>
            </w:pPr>
          </w:p>
        </w:tc>
        <w:tc>
          <w:tcPr>
            <w:tcW w:w="909" w:type="dxa"/>
            <w:vAlign w:val="center"/>
          </w:tcPr>
          <w:p>
            <w:pPr>
              <w:spacing w:line="300" w:lineRule="exact"/>
              <w:jc w:val="right"/>
              <w:rPr>
                <w:rFonts w:ascii="方正书宋_GBK" w:eastAsia="方正书宋_GBK"/>
                <w:b/>
              </w:rPr>
            </w:pPr>
          </w:p>
        </w:tc>
        <w:tc>
          <w:tcPr>
            <w:tcW w:w="868"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08" w:type="dxa"/>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2019</w:t>
            </w:r>
            <w:r>
              <w:rPr>
                <w:rFonts w:hint="eastAsia" w:ascii="方正书宋_GBK" w:eastAsia="方正书宋_GBK"/>
              </w:rPr>
              <w:t>年中央补助地方公共文化服务体系建设专项资金</w:t>
            </w:r>
          </w:p>
        </w:tc>
        <w:tc>
          <w:tcPr>
            <w:tcW w:w="1035" w:type="dxa"/>
            <w:vAlign w:val="center"/>
          </w:tcPr>
          <w:p>
            <w:pPr>
              <w:spacing w:line="300" w:lineRule="exact"/>
              <w:jc w:val="right"/>
              <w:rPr>
                <w:rFonts w:ascii="方正书宋_GBK" w:eastAsia="方正书宋_GBK"/>
              </w:rPr>
            </w:pPr>
            <w:r>
              <w:rPr>
                <w:rFonts w:ascii="方正书宋_GBK" w:eastAsia="方正书宋_GBK"/>
              </w:rPr>
              <w:t>67.64</w:t>
            </w:r>
          </w:p>
        </w:tc>
        <w:tc>
          <w:tcPr>
            <w:tcW w:w="917" w:type="dxa"/>
            <w:vAlign w:val="center"/>
          </w:tcPr>
          <w:p>
            <w:pPr>
              <w:spacing w:line="300" w:lineRule="exact"/>
              <w:jc w:val="left"/>
              <w:rPr>
                <w:rFonts w:ascii="方正书宋_GBK" w:eastAsia="方正书宋_GBK"/>
              </w:rPr>
            </w:pPr>
            <w:r>
              <w:rPr>
                <w:rFonts w:hint="eastAsia" w:ascii="方正书宋_GBK" w:eastAsia="方正书宋_GBK"/>
              </w:rPr>
              <w:t>体育设备</w:t>
            </w:r>
          </w:p>
        </w:tc>
        <w:tc>
          <w:tcPr>
            <w:tcW w:w="928" w:type="dxa"/>
            <w:vAlign w:val="center"/>
          </w:tcPr>
          <w:p>
            <w:pPr>
              <w:spacing w:line="300" w:lineRule="exact"/>
              <w:jc w:val="left"/>
              <w:rPr>
                <w:rFonts w:ascii="方正书宋_GBK" w:eastAsia="方正书宋_GBK"/>
              </w:rPr>
            </w:pPr>
            <w:r>
              <w:rPr>
                <w:rFonts w:ascii="方正书宋_GBK" w:eastAsia="方正书宋_GBK"/>
              </w:rPr>
              <w:t>A0336</w:t>
            </w:r>
          </w:p>
        </w:tc>
        <w:tc>
          <w:tcPr>
            <w:tcW w:w="716" w:type="dxa"/>
            <w:vAlign w:val="center"/>
          </w:tcPr>
          <w:p>
            <w:pPr>
              <w:spacing w:line="300" w:lineRule="exact"/>
              <w:jc w:val="left"/>
              <w:rPr>
                <w:rFonts w:ascii="方正书宋_GBK" w:eastAsia="方正书宋_GBK"/>
              </w:rPr>
            </w:pPr>
            <w:r>
              <w:rPr>
                <w:rFonts w:hint="eastAsia" w:ascii="方正书宋_GBK" w:eastAsia="方正书宋_GBK"/>
              </w:rPr>
              <w:t>套</w:t>
            </w:r>
          </w:p>
        </w:tc>
        <w:tc>
          <w:tcPr>
            <w:tcW w:w="741" w:type="dxa"/>
            <w:vAlign w:val="center"/>
          </w:tcPr>
          <w:p>
            <w:pPr>
              <w:spacing w:line="300" w:lineRule="exact"/>
              <w:jc w:val="right"/>
              <w:rPr>
                <w:rFonts w:ascii="方正书宋_GBK" w:eastAsia="方正书宋_GBK"/>
              </w:rPr>
            </w:pPr>
            <w:r>
              <w:rPr>
                <w:rFonts w:ascii="方正书宋_GBK" w:eastAsia="方正书宋_GBK"/>
              </w:rPr>
              <w:t>40.00</w:t>
            </w:r>
          </w:p>
        </w:tc>
        <w:tc>
          <w:tcPr>
            <w:tcW w:w="798" w:type="dxa"/>
            <w:vAlign w:val="center"/>
          </w:tcPr>
          <w:p>
            <w:pPr>
              <w:spacing w:line="300" w:lineRule="exact"/>
              <w:jc w:val="right"/>
              <w:rPr>
                <w:rFonts w:ascii="方正书宋_GBK" w:eastAsia="方正书宋_GBK"/>
              </w:rPr>
            </w:pPr>
            <w:r>
              <w:rPr>
                <w:rFonts w:ascii="方正书宋_GBK" w:eastAsia="方正书宋_GBK"/>
              </w:rPr>
              <w:t>0.50</w:t>
            </w:r>
          </w:p>
        </w:tc>
        <w:tc>
          <w:tcPr>
            <w:tcW w:w="906" w:type="dxa"/>
            <w:vAlign w:val="center"/>
          </w:tcPr>
          <w:p>
            <w:pPr>
              <w:spacing w:line="300" w:lineRule="exact"/>
              <w:jc w:val="right"/>
              <w:rPr>
                <w:rFonts w:ascii="方正书宋_GBK" w:eastAsia="方正书宋_GBK"/>
              </w:rPr>
            </w:pPr>
            <w:r>
              <w:rPr>
                <w:rFonts w:ascii="方正书宋_GBK" w:eastAsia="方正书宋_GBK"/>
              </w:rPr>
              <w:t>20.00</w:t>
            </w:r>
          </w:p>
        </w:tc>
        <w:tc>
          <w:tcPr>
            <w:tcW w:w="906" w:type="dxa"/>
            <w:vAlign w:val="center"/>
          </w:tcPr>
          <w:p>
            <w:pPr>
              <w:spacing w:line="300" w:lineRule="exact"/>
              <w:jc w:val="right"/>
              <w:rPr>
                <w:rFonts w:ascii="方正书宋_GBK" w:eastAsia="方正书宋_GBK"/>
              </w:rPr>
            </w:pPr>
            <w:r>
              <w:rPr>
                <w:rFonts w:ascii="方正书宋_GBK" w:eastAsia="方正书宋_GBK"/>
              </w:rPr>
              <w:t>20.00</w:t>
            </w:r>
          </w:p>
        </w:tc>
        <w:tc>
          <w:tcPr>
            <w:tcW w:w="906" w:type="dxa"/>
            <w:vAlign w:val="center"/>
          </w:tcPr>
          <w:p>
            <w:pPr>
              <w:spacing w:line="300" w:lineRule="exact"/>
              <w:jc w:val="right"/>
              <w:rPr>
                <w:rFonts w:ascii="方正书宋_GBK" w:eastAsia="方正书宋_GBK"/>
              </w:rPr>
            </w:pPr>
            <w:r>
              <w:rPr>
                <w:rFonts w:ascii="方正书宋_GBK" w:eastAsia="方正书宋_GBK"/>
              </w:rPr>
              <w:t>20.00</w:t>
            </w:r>
          </w:p>
        </w:tc>
        <w:tc>
          <w:tcPr>
            <w:tcW w:w="906" w:type="dxa"/>
            <w:vAlign w:val="center"/>
          </w:tcPr>
          <w:p>
            <w:pPr>
              <w:spacing w:line="300" w:lineRule="exact"/>
              <w:jc w:val="right"/>
              <w:rPr>
                <w:rFonts w:ascii="方正书宋_GBK" w:eastAsia="方正书宋_GBK"/>
              </w:rPr>
            </w:pPr>
          </w:p>
        </w:tc>
        <w:tc>
          <w:tcPr>
            <w:tcW w:w="908" w:type="dxa"/>
            <w:vAlign w:val="center"/>
          </w:tcPr>
          <w:p>
            <w:pPr>
              <w:spacing w:line="300" w:lineRule="exact"/>
              <w:jc w:val="right"/>
              <w:rPr>
                <w:rFonts w:ascii="方正书宋_GBK" w:eastAsia="方正书宋_GBK"/>
              </w:rPr>
            </w:pPr>
          </w:p>
        </w:tc>
        <w:tc>
          <w:tcPr>
            <w:tcW w:w="909" w:type="dxa"/>
            <w:vAlign w:val="center"/>
          </w:tcPr>
          <w:p>
            <w:pPr>
              <w:spacing w:line="300" w:lineRule="exact"/>
              <w:jc w:val="right"/>
              <w:rPr>
                <w:rFonts w:ascii="方正书宋_GBK" w:eastAsia="方正书宋_GBK"/>
              </w:rPr>
            </w:pPr>
          </w:p>
        </w:tc>
        <w:tc>
          <w:tcPr>
            <w:tcW w:w="868" w:type="dxa"/>
            <w:vAlign w:val="center"/>
          </w:tcPr>
          <w:p>
            <w:pPr>
              <w:spacing w:line="300" w:lineRule="exact"/>
              <w:jc w:val="right"/>
              <w:rPr>
                <w:rFonts w:ascii="方正书宋_GBK" w:eastAsia="方正书宋_GBK"/>
              </w:rPr>
            </w:pPr>
          </w:p>
        </w:tc>
      </w:tr>
    </w:tbl>
    <w:p>
      <w:pPr>
        <w:ind w:firstLine="645" w:firstLineChars="215"/>
        <w:rPr>
          <w:rFonts w:ascii="仿宋_GB2312" w:eastAsia="仿宋_GB2312"/>
          <w:sz w:val="30"/>
          <w:szCs w:val="30"/>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无极县</w:t>
      </w:r>
      <w:r>
        <w:rPr>
          <w:rFonts w:hint="eastAsia" w:ascii="仿宋" w:hAnsi="仿宋" w:eastAsia="仿宋" w:cs="宋体"/>
          <w:bCs/>
          <w:sz w:val="32"/>
          <w:szCs w:val="32"/>
        </w:rPr>
        <w:t>文化广电体育和旅游局</w:t>
      </w:r>
      <w:r>
        <w:rPr>
          <w:rFonts w:hint="eastAsia" w:ascii="仿宋" w:hAnsi="仿宋" w:eastAsia="仿宋" w:cs="仿宋"/>
          <w:sz w:val="32"/>
          <w:szCs w:val="32"/>
        </w:rPr>
        <w:t>上年末固定资产金额为447.385845万元（详见下表）。本年度拟购置固定资产金额为</w:t>
      </w:r>
      <w:r>
        <w:rPr>
          <w:rFonts w:hint="eastAsia" w:ascii="仿宋" w:hAnsi="仿宋" w:eastAsia="仿宋" w:cs="仿宋"/>
          <w:sz w:val="32"/>
          <w:szCs w:val="32"/>
          <w:lang w:val="en-US" w:eastAsia="zh-CN"/>
        </w:rPr>
        <w:t>2</w:t>
      </w:r>
      <w:r>
        <w:rPr>
          <w:rFonts w:hint="eastAsia" w:ascii="仿宋" w:hAnsi="仿宋" w:eastAsia="仿宋" w:cs="仿宋"/>
          <w:sz w:val="32"/>
          <w:szCs w:val="32"/>
        </w:rPr>
        <w:t>0万元。</w:t>
      </w:r>
    </w:p>
    <w:p>
      <w:pPr>
        <w:autoSpaceDE w:val="0"/>
        <w:autoSpaceDN w:val="0"/>
        <w:adjustRightInd w:val="0"/>
        <w:ind w:firstLine="2240" w:firstLineChars="700"/>
        <w:jc w:val="center"/>
        <w:rPr>
          <w:rFonts w:ascii="仿宋" w:hAnsi="仿宋" w:eastAsia="仿宋"/>
          <w:sz w:val="32"/>
        </w:rPr>
      </w:pPr>
      <w:r>
        <w:rPr>
          <w:rFonts w:hint="eastAsia" w:ascii="仿宋" w:hAnsi="仿宋" w:eastAsia="仿宋" w:cs="仿宋"/>
          <w:sz w:val="32"/>
          <w:szCs w:val="32"/>
        </w:rPr>
        <w:t>无极县</w:t>
      </w:r>
      <w:r>
        <w:rPr>
          <w:rFonts w:hint="eastAsia" w:ascii="仿宋" w:hAnsi="仿宋" w:eastAsia="仿宋" w:cs="宋体"/>
          <w:bCs/>
          <w:sz w:val="32"/>
          <w:szCs w:val="32"/>
        </w:rPr>
        <w:t>文化广电体育和旅游局</w:t>
      </w:r>
      <w:r>
        <w:rPr>
          <w:rFonts w:hint="eastAsia" w:ascii="仿宋" w:hAnsi="仿宋" w:eastAsia="仿宋"/>
          <w:sz w:val="32"/>
        </w:rPr>
        <w:t>固定资产占用情况表</w:t>
      </w:r>
    </w:p>
    <w:tbl>
      <w:tblPr>
        <w:tblStyle w:val="4"/>
        <w:tblW w:w="14005" w:type="dxa"/>
        <w:tblInd w:w="10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663"/>
        <w:gridCol w:w="2983"/>
        <w:gridCol w:w="435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7" w:hRule="atLeast"/>
        </w:trPr>
        <w:tc>
          <w:tcPr>
            <w:tcW w:w="9646" w:type="dxa"/>
            <w:gridSpan w:val="2"/>
            <w:tcBorders>
              <w:top w:val="nil"/>
              <w:left w:val="nil"/>
              <w:bottom w:val="nil"/>
              <w:right w:val="nil"/>
            </w:tcBorders>
            <w:vAlign w:val="center"/>
          </w:tcPr>
          <w:p>
            <w:pPr>
              <w:widowControl/>
              <w:rPr>
                <w:rFonts w:ascii="仿宋" w:hAnsi="仿宋" w:eastAsia="仿宋" w:cs="宋体"/>
                <w:kern w:val="0"/>
                <w:sz w:val="32"/>
                <w:szCs w:val="32"/>
              </w:rPr>
            </w:pPr>
            <w:r>
              <w:rPr>
                <w:rFonts w:hint="eastAsia" w:ascii="仿宋" w:hAnsi="仿宋" w:eastAsia="仿宋" w:cs="宋体"/>
                <w:kern w:val="0"/>
                <w:sz w:val="32"/>
                <w:szCs w:val="32"/>
              </w:rPr>
              <w:t>编制部门：无极县文化广电体育和旅游局</w:t>
            </w:r>
          </w:p>
        </w:tc>
        <w:tc>
          <w:tcPr>
            <w:tcW w:w="4359" w:type="dxa"/>
            <w:tcBorders>
              <w:top w:val="nil"/>
              <w:left w:val="nil"/>
              <w:bottom w:val="nil"/>
              <w:right w:val="nil"/>
            </w:tcBorders>
            <w:vAlign w:val="center"/>
          </w:tcPr>
          <w:p>
            <w:pPr>
              <w:widowControl/>
              <w:rPr>
                <w:rFonts w:ascii="仿宋" w:hAnsi="仿宋" w:eastAsia="仿宋" w:cs="宋体"/>
                <w:kern w:val="0"/>
                <w:sz w:val="32"/>
                <w:szCs w:val="32"/>
              </w:rPr>
            </w:pPr>
            <w:r>
              <w:rPr>
                <w:rFonts w:hint="eastAsia" w:ascii="仿宋" w:hAnsi="仿宋" w:eastAsia="仿宋" w:cs="宋体"/>
                <w:kern w:val="0"/>
                <w:sz w:val="32"/>
                <w:szCs w:val="32"/>
              </w:rPr>
              <w:t>截止时间：2018年12月31日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4" w:hRule="atLeast"/>
        </w:trPr>
        <w:tc>
          <w:tcPr>
            <w:tcW w:w="6663" w:type="dxa"/>
            <w:tcBorders>
              <w:top w:val="single" w:color="auto" w:sz="4" w:space="0"/>
              <w:left w:val="single" w:color="auto" w:sz="4" w:space="0"/>
              <w:bottom w:val="single" w:color="auto" w:sz="4" w:space="0"/>
              <w:right w:val="single" w:color="auto" w:sz="4" w:space="0"/>
            </w:tcBorders>
            <w:vAlign w:val="center"/>
          </w:tcPr>
          <w:p>
            <w:pPr>
              <w:widowControl/>
              <w:rPr>
                <w:rFonts w:ascii="仿宋" w:hAnsi="仿宋" w:eastAsia="仿宋" w:cs="宋体"/>
                <w:b/>
                <w:bCs/>
                <w:kern w:val="0"/>
                <w:sz w:val="32"/>
                <w:szCs w:val="32"/>
              </w:rPr>
            </w:pPr>
            <w:r>
              <w:rPr>
                <w:rFonts w:hint="eastAsia" w:ascii="仿宋" w:hAnsi="仿宋" w:eastAsia="仿宋" w:cs="宋体"/>
                <w:b/>
                <w:bCs/>
                <w:kern w:val="0"/>
                <w:sz w:val="32"/>
                <w:szCs w:val="32"/>
              </w:rPr>
              <w:t>项   目</w:t>
            </w:r>
          </w:p>
        </w:tc>
        <w:tc>
          <w:tcPr>
            <w:tcW w:w="2983" w:type="dxa"/>
            <w:tcBorders>
              <w:top w:val="single" w:color="auto" w:sz="4" w:space="0"/>
              <w:left w:val="nil"/>
              <w:bottom w:val="single" w:color="auto" w:sz="4" w:space="0"/>
              <w:right w:val="single" w:color="auto" w:sz="4" w:space="0"/>
            </w:tcBorders>
            <w:vAlign w:val="center"/>
          </w:tcPr>
          <w:p>
            <w:pPr>
              <w:widowControl/>
              <w:rPr>
                <w:rFonts w:ascii="仿宋" w:hAnsi="仿宋" w:eastAsia="仿宋" w:cs="宋体"/>
                <w:b/>
                <w:bCs/>
                <w:kern w:val="0"/>
                <w:sz w:val="32"/>
                <w:szCs w:val="32"/>
              </w:rPr>
            </w:pPr>
            <w:r>
              <w:rPr>
                <w:rFonts w:hint="eastAsia" w:ascii="仿宋" w:hAnsi="仿宋" w:eastAsia="仿宋" w:cs="宋体"/>
                <w:b/>
                <w:bCs/>
                <w:kern w:val="0"/>
                <w:sz w:val="32"/>
                <w:szCs w:val="32"/>
              </w:rPr>
              <w:t>数量</w:t>
            </w:r>
          </w:p>
        </w:tc>
        <w:tc>
          <w:tcPr>
            <w:tcW w:w="4359" w:type="dxa"/>
            <w:tcBorders>
              <w:top w:val="single" w:color="auto" w:sz="4" w:space="0"/>
              <w:left w:val="nil"/>
              <w:bottom w:val="single" w:color="auto" w:sz="4" w:space="0"/>
              <w:right w:val="single" w:color="auto" w:sz="4" w:space="0"/>
            </w:tcBorders>
            <w:vAlign w:val="center"/>
          </w:tcPr>
          <w:p>
            <w:pPr>
              <w:widowControl/>
              <w:rPr>
                <w:rFonts w:ascii="仿宋" w:hAnsi="仿宋" w:eastAsia="仿宋" w:cs="宋体"/>
                <w:b/>
                <w:bCs/>
                <w:kern w:val="0"/>
                <w:sz w:val="32"/>
                <w:szCs w:val="32"/>
              </w:rPr>
            </w:pPr>
            <w:r>
              <w:rPr>
                <w:rFonts w:hint="eastAsia" w:ascii="仿宋" w:hAnsi="仿宋" w:eastAsia="仿宋" w:cs="宋体"/>
                <w:b/>
                <w:bCs/>
                <w:kern w:val="0"/>
                <w:sz w:val="32"/>
                <w:szCs w:val="3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4" w:hRule="atLeast"/>
        </w:trPr>
        <w:tc>
          <w:tcPr>
            <w:tcW w:w="6663" w:type="dxa"/>
            <w:tcBorders>
              <w:top w:val="nil"/>
              <w:left w:val="single" w:color="auto" w:sz="4" w:space="0"/>
              <w:bottom w:val="single" w:color="auto" w:sz="4" w:space="0"/>
              <w:right w:val="single" w:color="auto" w:sz="4" w:space="0"/>
            </w:tcBorders>
            <w:vAlign w:val="center"/>
          </w:tcPr>
          <w:p>
            <w:pPr>
              <w:widowControl/>
              <w:rPr>
                <w:rFonts w:ascii="仿宋" w:hAnsi="仿宋" w:eastAsia="仿宋" w:cs="宋体"/>
                <w:kern w:val="0"/>
                <w:sz w:val="32"/>
                <w:szCs w:val="32"/>
              </w:rPr>
            </w:pPr>
            <w:r>
              <w:rPr>
                <w:rFonts w:hint="eastAsia" w:ascii="仿宋" w:hAnsi="仿宋" w:eastAsia="仿宋" w:cs="宋体"/>
                <w:kern w:val="0"/>
                <w:sz w:val="32"/>
                <w:szCs w:val="32"/>
              </w:rPr>
              <w:t>资产总额</w:t>
            </w:r>
          </w:p>
        </w:tc>
        <w:tc>
          <w:tcPr>
            <w:tcW w:w="2983" w:type="dxa"/>
            <w:tcBorders>
              <w:top w:val="nil"/>
              <w:left w:val="nil"/>
              <w:bottom w:val="single" w:color="auto" w:sz="4" w:space="0"/>
              <w:right w:val="single" w:color="auto" w:sz="4" w:space="0"/>
            </w:tcBorders>
            <w:vAlign w:val="center"/>
          </w:tcPr>
          <w:p>
            <w:pPr>
              <w:widowControl/>
              <w:rPr>
                <w:rFonts w:ascii="仿宋" w:hAnsi="仿宋" w:eastAsia="仿宋" w:cs="宋体"/>
                <w:kern w:val="0"/>
                <w:sz w:val="32"/>
                <w:szCs w:val="32"/>
              </w:rPr>
            </w:pPr>
            <w:r>
              <w:rPr>
                <w:rFonts w:hint="eastAsia" w:ascii="仿宋" w:hAnsi="仿宋" w:eastAsia="仿宋" w:cs="宋体"/>
                <w:kern w:val="0"/>
                <w:sz w:val="32"/>
                <w:szCs w:val="32"/>
              </w:rPr>
              <w:t>——</w:t>
            </w:r>
          </w:p>
        </w:tc>
        <w:tc>
          <w:tcPr>
            <w:tcW w:w="4359" w:type="dxa"/>
            <w:tcBorders>
              <w:top w:val="nil"/>
              <w:left w:val="nil"/>
              <w:bottom w:val="single" w:color="auto" w:sz="4" w:space="0"/>
              <w:right w:val="single" w:color="auto" w:sz="4" w:space="0"/>
            </w:tcBorders>
            <w:vAlign w:val="center"/>
          </w:tcPr>
          <w:p>
            <w:pPr>
              <w:widowControl/>
              <w:rPr>
                <w:rFonts w:ascii="仿宋" w:hAnsi="仿宋" w:eastAsia="仿宋" w:cs="宋体"/>
                <w:kern w:val="0"/>
                <w:sz w:val="32"/>
                <w:szCs w:val="32"/>
              </w:rPr>
            </w:pPr>
            <w:r>
              <w:rPr>
                <w:rFonts w:hint="eastAsia" w:ascii="仿宋" w:hAnsi="仿宋" w:eastAsia="仿宋" w:cs="宋体"/>
                <w:kern w:val="0"/>
                <w:sz w:val="32"/>
                <w:szCs w:val="32"/>
              </w:rPr>
              <w:t>447.385845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4" w:hRule="atLeast"/>
        </w:trPr>
        <w:tc>
          <w:tcPr>
            <w:tcW w:w="6663" w:type="dxa"/>
            <w:tcBorders>
              <w:top w:val="nil"/>
              <w:left w:val="single" w:color="auto" w:sz="4" w:space="0"/>
              <w:bottom w:val="single" w:color="auto" w:sz="4" w:space="0"/>
              <w:right w:val="single" w:color="auto" w:sz="4" w:space="0"/>
            </w:tcBorders>
            <w:vAlign w:val="center"/>
          </w:tcPr>
          <w:p>
            <w:pPr>
              <w:widowControl/>
              <w:rPr>
                <w:rFonts w:ascii="仿宋" w:hAnsi="仿宋" w:eastAsia="仿宋" w:cs="宋体"/>
                <w:kern w:val="0"/>
                <w:sz w:val="32"/>
                <w:szCs w:val="32"/>
              </w:rPr>
            </w:pPr>
            <w:r>
              <w:rPr>
                <w:rFonts w:hint="eastAsia" w:ascii="仿宋" w:hAnsi="仿宋" w:eastAsia="仿宋" w:cs="宋体"/>
                <w:kern w:val="0"/>
                <w:sz w:val="32"/>
                <w:szCs w:val="32"/>
              </w:rPr>
              <w:t>1、房屋（平方米）</w:t>
            </w:r>
          </w:p>
        </w:tc>
        <w:tc>
          <w:tcPr>
            <w:tcW w:w="2983" w:type="dxa"/>
            <w:tcBorders>
              <w:top w:val="nil"/>
              <w:left w:val="nil"/>
              <w:bottom w:val="single" w:color="auto" w:sz="4" w:space="0"/>
              <w:right w:val="single" w:color="auto" w:sz="4" w:space="0"/>
            </w:tcBorders>
            <w:vAlign w:val="center"/>
          </w:tcPr>
          <w:p>
            <w:pPr>
              <w:widowControl/>
              <w:rPr>
                <w:rFonts w:ascii="仿宋" w:hAnsi="仿宋" w:eastAsia="仿宋" w:cs="宋体"/>
                <w:kern w:val="0"/>
                <w:sz w:val="32"/>
                <w:szCs w:val="32"/>
              </w:rPr>
            </w:pPr>
          </w:p>
        </w:tc>
        <w:tc>
          <w:tcPr>
            <w:tcW w:w="4359" w:type="dxa"/>
            <w:tcBorders>
              <w:top w:val="nil"/>
              <w:left w:val="nil"/>
              <w:bottom w:val="single" w:color="auto" w:sz="4" w:space="0"/>
              <w:right w:val="single" w:color="auto" w:sz="4" w:space="0"/>
            </w:tcBorders>
            <w:vAlign w:val="center"/>
          </w:tcPr>
          <w:p>
            <w:pPr>
              <w:widowControl/>
              <w:rPr>
                <w:rFonts w:ascii="仿宋" w:hAnsi="仿宋" w:eastAsia="仿宋" w:cs="宋体"/>
                <w:kern w:val="0"/>
                <w:sz w:val="32"/>
                <w:szCs w:val="32"/>
              </w:rPr>
            </w:pPr>
            <w:r>
              <w:rPr>
                <w:rFonts w:hint="eastAsia" w:ascii="仿宋" w:hAnsi="仿宋" w:eastAsia="仿宋" w:cs="宋体"/>
                <w:kern w:val="0"/>
                <w:sz w:val="32"/>
                <w:szCs w:val="32"/>
              </w:rPr>
              <w:t>189.2384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4" w:hRule="atLeast"/>
        </w:trPr>
        <w:tc>
          <w:tcPr>
            <w:tcW w:w="6663" w:type="dxa"/>
            <w:tcBorders>
              <w:top w:val="nil"/>
              <w:left w:val="single" w:color="auto" w:sz="4" w:space="0"/>
              <w:bottom w:val="single" w:color="auto" w:sz="4" w:space="0"/>
              <w:right w:val="single" w:color="auto" w:sz="4" w:space="0"/>
            </w:tcBorders>
            <w:vAlign w:val="center"/>
          </w:tcPr>
          <w:p>
            <w:pPr>
              <w:widowControl/>
              <w:rPr>
                <w:rFonts w:ascii="仿宋" w:hAnsi="仿宋" w:eastAsia="仿宋" w:cs="宋体"/>
                <w:kern w:val="0"/>
                <w:sz w:val="32"/>
                <w:szCs w:val="32"/>
              </w:rPr>
            </w:pPr>
            <w:r>
              <w:rPr>
                <w:rFonts w:hint="eastAsia" w:ascii="仿宋" w:hAnsi="仿宋" w:eastAsia="仿宋" w:cs="宋体"/>
                <w:kern w:val="0"/>
                <w:sz w:val="32"/>
                <w:szCs w:val="32"/>
              </w:rPr>
              <w:t>其中：办公用房（平方米）</w:t>
            </w:r>
          </w:p>
        </w:tc>
        <w:tc>
          <w:tcPr>
            <w:tcW w:w="2983" w:type="dxa"/>
            <w:tcBorders>
              <w:top w:val="nil"/>
              <w:left w:val="nil"/>
              <w:bottom w:val="single" w:color="auto" w:sz="4" w:space="0"/>
              <w:right w:val="single" w:color="auto" w:sz="4" w:space="0"/>
            </w:tcBorders>
            <w:vAlign w:val="center"/>
          </w:tcPr>
          <w:p>
            <w:pPr>
              <w:widowControl/>
              <w:rPr>
                <w:rFonts w:ascii="仿宋" w:hAnsi="仿宋" w:eastAsia="仿宋" w:cs="宋体"/>
                <w:kern w:val="0"/>
                <w:sz w:val="32"/>
                <w:szCs w:val="32"/>
              </w:rPr>
            </w:pPr>
          </w:p>
        </w:tc>
        <w:tc>
          <w:tcPr>
            <w:tcW w:w="4359" w:type="dxa"/>
            <w:tcBorders>
              <w:top w:val="nil"/>
              <w:left w:val="nil"/>
              <w:bottom w:val="single" w:color="auto" w:sz="4" w:space="0"/>
              <w:right w:val="single" w:color="auto" w:sz="4" w:space="0"/>
            </w:tcBorders>
            <w:vAlign w:val="center"/>
          </w:tcPr>
          <w:p>
            <w:pPr>
              <w:widowControl/>
              <w:rPr>
                <w:rFonts w:ascii="仿宋" w:hAnsi="仿宋" w:eastAsia="仿宋" w:cs="宋体"/>
                <w:kern w:val="0"/>
                <w:sz w:val="32"/>
                <w:szCs w:val="32"/>
              </w:rPr>
            </w:pPr>
            <w:r>
              <w:rPr>
                <w:rFonts w:hint="eastAsia" w:ascii="仿宋" w:hAnsi="仿宋" w:eastAsia="仿宋" w:cs="宋体"/>
                <w:kern w:val="0"/>
                <w:sz w:val="32"/>
                <w:szCs w:val="32"/>
              </w:rPr>
              <w:t>189.2384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4" w:hRule="atLeast"/>
        </w:trPr>
        <w:tc>
          <w:tcPr>
            <w:tcW w:w="6663" w:type="dxa"/>
            <w:tcBorders>
              <w:top w:val="nil"/>
              <w:left w:val="single" w:color="auto" w:sz="4" w:space="0"/>
              <w:bottom w:val="single" w:color="auto" w:sz="4" w:space="0"/>
              <w:right w:val="single" w:color="auto" w:sz="4" w:space="0"/>
            </w:tcBorders>
            <w:vAlign w:val="center"/>
          </w:tcPr>
          <w:p>
            <w:pPr>
              <w:widowControl/>
              <w:rPr>
                <w:rFonts w:ascii="仿宋" w:hAnsi="仿宋" w:eastAsia="仿宋" w:cs="宋体"/>
                <w:kern w:val="0"/>
                <w:sz w:val="32"/>
                <w:szCs w:val="32"/>
              </w:rPr>
            </w:pPr>
            <w:r>
              <w:rPr>
                <w:rFonts w:hint="eastAsia" w:ascii="仿宋" w:hAnsi="仿宋" w:eastAsia="仿宋" w:cs="宋体"/>
                <w:kern w:val="0"/>
                <w:sz w:val="32"/>
                <w:szCs w:val="32"/>
              </w:rPr>
              <w:t>2、车辆（台、辆）</w:t>
            </w:r>
          </w:p>
        </w:tc>
        <w:tc>
          <w:tcPr>
            <w:tcW w:w="2983" w:type="dxa"/>
            <w:tcBorders>
              <w:top w:val="nil"/>
              <w:left w:val="nil"/>
              <w:bottom w:val="single" w:color="auto" w:sz="4" w:space="0"/>
              <w:right w:val="single" w:color="auto" w:sz="4" w:space="0"/>
            </w:tcBorders>
            <w:vAlign w:val="center"/>
          </w:tcPr>
          <w:p>
            <w:pPr>
              <w:widowControl/>
              <w:rPr>
                <w:rFonts w:ascii="仿宋" w:hAnsi="仿宋" w:eastAsia="仿宋" w:cs="宋体"/>
                <w:kern w:val="0"/>
                <w:sz w:val="32"/>
                <w:szCs w:val="32"/>
              </w:rPr>
            </w:pPr>
            <w:r>
              <w:rPr>
                <w:rFonts w:hint="eastAsia" w:ascii="仿宋" w:hAnsi="仿宋" w:eastAsia="仿宋" w:cs="宋体"/>
                <w:kern w:val="0"/>
                <w:sz w:val="32"/>
                <w:szCs w:val="32"/>
              </w:rPr>
              <w:t>2</w:t>
            </w:r>
          </w:p>
        </w:tc>
        <w:tc>
          <w:tcPr>
            <w:tcW w:w="4359" w:type="dxa"/>
            <w:tcBorders>
              <w:top w:val="nil"/>
              <w:left w:val="nil"/>
              <w:bottom w:val="single" w:color="auto" w:sz="4" w:space="0"/>
              <w:right w:val="single" w:color="auto" w:sz="4" w:space="0"/>
            </w:tcBorders>
            <w:vAlign w:val="center"/>
          </w:tcPr>
          <w:p>
            <w:pPr>
              <w:widowControl/>
              <w:rPr>
                <w:rFonts w:ascii="仿宋" w:hAnsi="仿宋" w:eastAsia="仿宋" w:cs="宋体"/>
                <w:kern w:val="0"/>
                <w:sz w:val="32"/>
                <w:szCs w:val="32"/>
              </w:rPr>
            </w:pPr>
            <w:r>
              <w:rPr>
                <w:rFonts w:hint="eastAsia" w:ascii="仿宋" w:hAnsi="仿宋" w:eastAsia="仿宋" w:cs="宋体"/>
                <w:kern w:val="0"/>
                <w:sz w:val="32"/>
                <w:szCs w:val="32"/>
              </w:rPr>
              <w:t>18.33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4" w:hRule="atLeast"/>
        </w:trPr>
        <w:tc>
          <w:tcPr>
            <w:tcW w:w="6663" w:type="dxa"/>
            <w:tcBorders>
              <w:top w:val="nil"/>
              <w:left w:val="single" w:color="auto" w:sz="4" w:space="0"/>
              <w:bottom w:val="single" w:color="auto" w:sz="4" w:space="0"/>
              <w:right w:val="single" w:color="auto" w:sz="4" w:space="0"/>
            </w:tcBorders>
            <w:vAlign w:val="center"/>
          </w:tcPr>
          <w:p>
            <w:pPr>
              <w:widowControl/>
              <w:rPr>
                <w:rFonts w:ascii="仿宋" w:hAnsi="仿宋" w:eastAsia="仿宋" w:cs="宋体"/>
                <w:kern w:val="0"/>
                <w:sz w:val="32"/>
                <w:szCs w:val="32"/>
              </w:rPr>
            </w:pPr>
            <w:r>
              <w:rPr>
                <w:rFonts w:hint="eastAsia" w:ascii="仿宋" w:hAnsi="仿宋" w:eastAsia="仿宋" w:cs="宋体"/>
                <w:kern w:val="0"/>
                <w:sz w:val="32"/>
                <w:szCs w:val="32"/>
              </w:rPr>
              <w:t>3、单价在20万元以上设备</w:t>
            </w:r>
          </w:p>
        </w:tc>
        <w:tc>
          <w:tcPr>
            <w:tcW w:w="2983" w:type="dxa"/>
            <w:tcBorders>
              <w:top w:val="nil"/>
              <w:left w:val="nil"/>
              <w:bottom w:val="single" w:color="auto" w:sz="4" w:space="0"/>
              <w:right w:val="single" w:color="auto" w:sz="4" w:space="0"/>
            </w:tcBorders>
            <w:vAlign w:val="center"/>
          </w:tcPr>
          <w:p>
            <w:pPr>
              <w:widowControl/>
              <w:rPr>
                <w:rFonts w:ascii="仿宋" w:hAnsi="仿宋" w:eastAsia="仿宋" w:cs="宋体"/>
                <w:kern w:val="0"/>
                <w:sz w:val="32"/>
                <w:szCs w:val="32"/>
              </w:rPr>
            </w:pPr>
            <w:r>
              <w:rPr>
                <w:rFonts w:hint="eastAsia" w:ascii="仿宋" w:hAnsi="仿宋" w:eastAsia="仿宋" w:cs="宋体"/>
                <w:kern w:val="0"/>
                <w:sz w:val="32"/>
                <w:szCs w:val="32"/>
              </w:rPr>
              <w:t>——</w:t>
            </w:r>
          </w:p>
        </w:tc>
        <w:tc>
          <w:tcPr>
            <w:tcW w:w="4359" w:type="dxa"/>
            <w:tcBorders>
              <w:top w:val="nil"/>
              <w:left w:val="nil"/>
              <w:bottom w:val="single" w:color="auto" w:sz="4" w:space="0"/>
              <w:right w:val="single" w:color="auto" w:sz="4" w:space="0"/>
            </w:tcBorders>
            <w:vAlign w:val="center"/>
          </w:tcPr>
          <w:p>
            <w:pPr>
              <w:widowControl/>
              <w:rPr>
                <w:rFonts w:ascii="仿宋" w:hAnsi="仿宋" w:eastAsia="仿宋" w:cs="宋体"/>
                <w:kern w:val="0"/>
                <w:sz w:val="32"/>
                <w:szCs w:val="3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2" w:hRule="atLeast"/>
        </w:trPr>
        <w:tc>
          <w:tcPr>
            <w:tcW w:w="6663" w:type="dxa"/>
            <w:tcBorders>
              <w:top w:val="nil"/>
              <w:left w:val="single" w:color="auto" w:sz="4" w:space="0"/>
              <w:bottom w:val="single" w:color="auto" w:sz="4" w:space="0"/>
              <w:right w:val="single" w:color="auto" w:sz="4" w:space="0"/>
            </w:tcBorders>
            <w:vAlign w:val="center"/>
          </w:tcPr>
          <w:p>
            <w:pPr>
              <w:widowControl/>
              <w:rPr>
                <w:rFonts w:ascii="仿宋" w:hAnsi="仿宋" w:eastAsia="仿宋" w:cs="宋体"/>
                <w:kern w:val="0"/>
                <w:sz w:val="32"/>
                <w:szCs w:val="32"/>
              </w:rPr>
            </w:pPr>
            <w:r>
              <w:rPr>
                <w:rFonts w:hint="eastAsia" w:ascii="仿宋" w:hAnsi="仿宋" w:eastAsia="仿宋" w:cs="宋体"/>
                <w:kern w:val="0"/>
                <w:sz w:val="32"/>
                <w:szCs w:val="32"/>
              </w:rPr>
              <w:t>4、其他固定资产</w:t>
            </w:r>
          </w:p>
        </w:tc>
        <w:tc>
          <w:tcPr>
            <w:tcW w:w="2983" w:type="dxa"/>
            <w:tcBorders>
              <w:top w:val="nil"/>
              <w:left w:val="nil"/>
              <w:bottom w:val="single" w:color="auto" w:sz="4" w:space="0"/>
              <w:right w:val="single" w:color="auto" w:sz="4" w:space="0"/>
            </w:tcBorders>
            <w:vAlign w:val="center"/>
          </w:tcPr>
          <w:p>
            <w:pPr>
              <w:widowControl/>
              <w:rPr>
                <w:rFonts w:ascii="仿宋" w:hAnsi="仿宋" w:eastAsia="仿宋" w:cs="宋体"/>
                <w:kern w:val="0"/>
                <w:sz w:val="32"/>
                <w:szCs w:val="32"/>
              </w:rPr>
            </w:pPr>
            <w:r>
              <w:rPr>
                <w:rFonts w:hint="eastAsia" w:ascii="仿宋" w:hAnsi="仿宋" w:eastAsia="仿宋" w:cs="宋体"/>
                <w:kern w:val="0"/>
                <w:sz w:val="32"/>
                <w:szCs w:val="32"/>
              </w:rPr>
              <w:t>——</w:t>
            </w:r>
          </w:p>
        </w:tc>
        <w:tc>
          <w:tcPr>
            <w:tcW w:w="4359" w:type="dxa"/>
            <w:tcBorders>
              <w:top w:val="nil"/>
              <w:left w:val="nil"/>
              <w:bottom w:val="single" w:color="auto" w:sz="4" w:space="0"/>
              <w:right w:val="single" w:color="auto" w:sz="4" w:space="0"/>
            </w:tcBorders>
            <w:vAlign w:val="center"/>
          </w:tcPr>
          <w:p>
            <w:pPr>
              <w:widowControl/>
              <w:rPr>
                <w:rFonts w:ascii="仿宋" w:hAnsi="仿宋" w:eastAsia="仿宋" w:cs="宋体"/>
                <w:kern w:val="0"/>
                <w:sz w:val="32"/>
                <w:szCs w:val="32"/>
              </w:rPr>
            </w:pPr>
            <w:r>
              <w:rPr>
                <w:rFonts w:hint="eastAsia" w:ascii="仿宋" w:hAnsi="仿宋" w:eastAsia="仿宋" w:cs="宋体"/>
                <w:kern w:val="0"/>
                <w:sz w:val="32"/>
                <w:szCs w:val="32"/>
              </w:rPr>
              <w:t>212.417445</w:t>
            </w:r>
          </w:p>
        </w:tc>
      </w:tr>
    </w:tbl>
    <w:p/>
    <w:p>
      <w:pPr>
        <w:autoSpaceDE w:val="0"/>
        <w:autoSpaceDN w:val="0"/>
        <w:adjustRightInd w:val="0"/>
        <w:ind w:left="420" w:leftChars="200"/>
        <w:jc w:val="center"/>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楷体" w:hAnsi="楷体" w:eastAsia="楷体"/>
          <w:b/>
          <w:sz w:val="32"/>
          <w:szCs w:val="32"/>
        </w:rPr>
      </w:pPr>
      <w:r>
        <w:rPr>
          <w:rFonts w:hint="eastAsia" w:ascii="楷体" w:hAnsi="楷体" w:eastAsia="楷体"/>
          <w:b/>
          <w:sz w:val="32"/>
          <w:szCs w:val="32"/>
        </w:rPr>
        <w:t>1.财政拨款收入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楷体" w:hAnsi="楷体" w:eastAsia="楷体"/>
          <w:b/>
          <w:sz w:val="32"/>
          <w:szCs w:val="32"/>
        </w:rPr>
      </w:pPr>
      <w:r>
        <w:rPr>
          <w:rFonts w:hint="eastAsia" w:ascii="楷体" w:hAnsi="楷体" w:eastAsia="楷体"/>
          <w:b/>
          <w:sz w:val="32"/>
          <w:szCs w:val="32"/>
        </w:rPr>
        <w:t>2.基本支出、项目支出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楷体" w:hAnsi="楷体" w:eastAsia="楷体"/>
          <w:b/>
          <w:sz w:val="32"/>
          <w:szCs w:val="32"/>
        </w:rPr>
      </w:pPr>
      <w:r>
        <w:rPr>
          <w:rFonts w:hint="eastAsia" w:ascii="楷体" w:hAnsi="楷体" w:eastAsia="楷体"/>
          <w:b/>
          <w:sz w:val="32"/>
          <w:szCs w:val="32"/>
        </w:rPr>
        <w:t>3.一般公共服务支出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楷体" w:hAnsi="楷体" w:eastAsia="楷体"/>
          <w:b/>
          <w:sz w:val="32"/>
          <w:szCs w:val="32"/>
        </w:rPr>
      </w:pPr>
      <w:r>
        <w:rPr>
          <w:rFonts w:hint="eastAsia" w:ascii="楷体" w:hAnsi="楷体" w:eastAsia="楷体"/>
          <w:b/>
          <w:sz w:val="32"/>
          <w:szCs w:val="32"/>
        </w:rPr>
        <w:t>4.文化体育与传媒支出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楷体" w:hAnsi="楷体" w:eastAsia="楷体"/>
          <w:b/>
          <w:sz w:val="32"/>
          <w:szCs w:val="32"/>
        </w:rPr>
      </w:pPr>
      <w:r>
        <w:rPr>
          <w:rFonts w:hint="eastAsia" w:ascii="楷体" w:hAnsi="楷体" w:eastAsia="楷体"/>
          <w:b/>
          <w:sz w:val="32"/>
          <w:szCs w:val="32"/>
        </w:rPr>
        <w:t>5.社会保障和就业支出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楷体" w:hAnsi="楷体" w:eastAsia="楷体"/>
          <w:b/>
          <w:sz w:val="32"/>
          <w:szCs w:val="32"/>
        </w:rPr>
      </w:pPr>
      <w:r>
        <w:rPr>
          <w:rFonts w:hint="eastAsia" w:ascii="楷体" w:hAnsi="楷体" w:eastAsia="楷体"/>
          <w:b/>
          <w:sz w:val="32"/>
          <w:szCs w:val="32"/>
        </w:rPr>
        <w:t>6.机关运行经费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楷体" w:hAnsi="楷体" w:eastAsia="楷体"/>
          <w:b/>
          <w:sz w:val="32"/>
          <w:szCs w:val="32"/>
        </w:rPr>
      </w:pPr>
      <w:r>
        <w:rPr>
          <w:rFonts w:hint="eastAsia" w:ascii="楷体" w:hAnsi="楷体" w:eastAsia="楷体"/>
          <w:b/>
          <w:sz w:val="32"/>
          <w:szCs w:val="32"/>
        </w:rPr>
        <w:t>7.“三公”经费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无。</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_GBK">
    <w:altName w:val="宋体"/>
    <w:panose1 w:val="00000000000000000000"/>
    <w:charset w:val="86"/>
    <w:family w:val="auto"/>
    <w:pitch w:val="default"/>
    <w:sig w:usb0="00000000" w:usb1="00000000" w:usb2="00000010" w:usb3="00000000" w:csb0="00040000" w:csb1="00000000"/>
  </w:font>
  <w:font w:name="方正书宋_GBK">
    <w:altName w:val="宋体"/>
    <w:panose1 w:val="00000000000000000000"/>
    <w:charset w:val="86"/>
    <w:family w:val="auto"/>
    <w:pitch w:val="default"/>
    <w:sig w:usb0="00000000" w:usb1="00000000" w:usb2="00000000"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tentative="0">
      <w:start w:val="1"/>
      <w:numFmt w:val="japaneseCounting"/>
      <w:lvlText w:val="（%1）"/>
      <w:lvlJc w:val="left"/>
      <w:pPr>
        <w:ind w:left="1680" w:hanging="1080"/>
      </w:pPr>
      <w:rPr>
        <w:rFonts w:hint="default"/>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abstractNum w:abstractNumId="1">
    <w:nsid w:val="00000002"/>
    <w:multiLevelType w:val="singleLevel"/>
    <w:tmpl w:val="00000002"/>
    <w:lvl w:ilvl="0" w:tentative="0">
      <w:start w:val="10"/>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26D25A9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link w:val="8"/>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7"/>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customStyle="1" w:styleId="6">
    <w:name w:val="List Paragraph"/>
    <w:basedOn w:val="1"/>
    <w:uiPriority w:val="0"/>
    <w:pPr>
      <w:ind w:firstLine="420" w:firstLineChars="200"/>
    </w:pPr>
  </w:style>
  <w:style w:type="character" w:customStyle="1" w:styleId="7">
    <w:name w:val="页眉 字符"/>
    <w:basedOn w:val="5"/>
    <w:link w:val="3"/>
    <w:semiHidden/>
    <w:uiPriority w:val="0"/>
    <w:rPr>
      <w:rFonts w:ascii="Times New Roman" w:hAnsi="Times New Roman" w:eastAsia="宋体" w:cs="Times New Roman"/>
      <w:sz w:val="18"/>
      <w:szCs w:val="18"/>
    </w:rPr>
  </w:style>
  <w:style w:type="character" w:customStyle="1" w:styleId="8">
    <w:name w:val="页脚 字符"/>
    <w:basedOn w:val="5"/>
    <w:link w:val="2"/>
    <w:semiHidden/>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18</Pages>
  <Words>1260</Words>
  <Characters>7188</Characters>
  <Lines>59</Lines>
  <Paragraphs>16</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2017-08-21T17:42:00Z</dcterms:created>
  <dc:creator>微软用户</dc:creator>
  <cp:lastModifiedBy>Administrator</cp:lastModifiedBy>
  <dcterms:modified xsi:type="dcterms:W3CDTF">2024-01-16T02:39:43Z</dcterms:modified>
  <dc:title>谷 峰</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