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adjustRightInd w:val="0"/>
        <w:snapToGrid w:val="0"/>
        <w:jc w:val="center"/>
        <w:rPr>
          <w:rFonts w:ascii="方正小标宋_GBK" w:hAnsi="Times New Roman" w:eastAsia="方正小标宋_GBK" w:cs="Times New Roman"/>
          <w:bCs/>
          <w:sz w:val="44"/>
          <w:szCs w:val="44"/>
        </w:rPr>
      </w:pPr>
      <w:bookmarkStart w:id="16" w:name="_GoBack"/>
      <w:bookmarkEnd w:id="16"/>
      <w:r>
        <w:rPr>
          <w:rFonts w:hint="eastAsia" w:ascii="方正小标宋_GBK" w:hAnsi="Times New Roman" w:eastAsia="方正小标宋_GBK" w:cs="Times New Roman"/>
          <w:bCs/>
          <w:sz w:val="44"/>
          <w:szCs w:val="44"/>
        </w:rPr>
        <w:t>无极县交通运输局</w:t>
      </w:r>
    </w:p>
    <w:p>
      <w:pPr>
        <w:adjustRightInd w:val="0"/>
        <w:snapToGrid w:val="0"/>
        <w:jc w:val="center"/>
        <w:rPr>
          <w:rFonts w:ascii="方正小标宋_GBK" w:hAnsi="Times New Roman" w:eastAsia="方正小标宋_GBK" w:cs="Times New Roman"/>
          <w:bCs/>
          <w:sz w:val="44"/>
          <w:szCs w:val="44"/>
        </w:rPr>
      </w:pPr>
      <w:r>
        <w:rPr>
          <w:rFonts w:hint="eastAsia" w:ascii="方正小标宋_GBK" w:hAnsi="Times New Roman" w:eastAsia="方正小标宋_GBK" w:cs="Times New Roman"/>
          <w:bCs/>
          <w:sz w:val="44"/>
          <w:szCs w:val="44"/>
        </w:rPr>
        <w:t>2020年部门预算信息公开情况说明</w:t>
      </w:r>
    </w:p>
    <w:p>
      <w:pPr>
        <w:ind w:firstLine="640"/>
        <w:rPr>
          <w:rFonts w:ascii="Times New Roman" w:hAnsi="Times New Roman" w:eastAsia="仿宋" w:cs="Times New Roman"/>
          <w:sz w:val="32"/>
          <w:szCs w:val="32"/>
        </w:rPr>
      </w:pP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按照</w:t>
      </w:r>
      <w:r>
        <w:rPr>
          <w:rFonts w:hint="eastAsia" w:ascii="仿宋_GB2312" w:hAnsi="仿宋" w:eastAsia="仿宋_GB2312" w:cs="仿宋"/>
          <w:sz w:val="32"/>
          <w:szCs w:val="32"/>
          <w:lang w:eastAsia="zh-CN"/>
        </w:rPr>
        <w:t>《中华人民共和国预算法》</w:t>
      </w:r>
      <w:r>
        <w:rPr>
          <w:rFonts w:hint="eastAsia" w:ascii="仿宋_GB2312" w:hAnsi="仿宋" w:eastAsia="仿宋_GB2312" w:cs="仿宋"/>
          <w:sz w:val="32"/>
          <w:szCs w:val="32"/>
        </w:rPr>
        <w:t>、《地方预决算公开操作规程》和《河北省省级预算公开办法》规定，现将无极县交通运输局2020年部门预算公开如下：</w:t>
      </w:r>
    </w:p>
    <w:p>
      <w:pPr>
        <w:ind w:firstLine="640"/>
        <w:rPr>
          <w:rFonts w:ascii="黑体" w:hAnsi="黑体" w:eastAsia="黑体" w:cs="Times New Roman"/>
          <w:sz w:val="32"/>
          <w:szCs w:val="32"/>
        </w:rPr>
      </w:pPr>
      <w:r>
        <w:rPr>
          <w:rFonts w:hint="eastAsia" w:ascii="黑体" w:hAnsi="黑体" w:eastAsia="黑体" w:cs="Times New Roman"/>
          <w:sz w:val="32"/>
          <w:szCs w:val="32"/>
        </w:rPr>
        <w:t>一、部门职责及机构设置情况</w:t>
      </w:r>
    </w:p>
    <w:p>
      <w:pPr>
        <w:ind w:firstLine="640"/>
        <w:rPr>
          <w:rFonts w:ascii="仿宋" w:hAnsi="仿宋" w:eastAsia="仿宋" w:cs="Times New Roman"/>
          <w:b/>
          <w:sz w:val="32"/>
          <w:szCs w:val="32"/>
        </w:rPr>
      </w:pPr>
      <w:r>
        <w:rPr>
          <w:rFonts w:hint="eastAsia" w:ascii="仿宋" w:hAnsi="仿宋" w:eastAsia="仿宋" w:cs="Times New Roman"/>
          <w:b/>
          <w:sz w:val="32"/>
          <w:szCs w:val="32"/>
        </w:rPr>
        <w:t>部门</w:t>
      </w:r>
      <w:r>
        <w:rPr>
          <w:rFonts w:ascii="仿宋" w:hAnsi="仿宋" w:eastAsia="仿宋" w:cs="Times New Roman"/>
          <w:b/>
          <w:sz w:val="32"/>
          <w:szCs w:val="32"/>
        </w:rPr>
        <w:t>职责：</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(一)拟订全县交通运输行业发展规划并组织实施;参与拟订有关物流业发展规划并监督实施。</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二)会同有关部门编制全县综合运输体系发展规划并组织实施。协调规划全县综合运输体系建设,组织协调相关运输方式的合理布局和有效衔接;建立完善交通运输行业联运服务体系。拟订全县公路建设、城市公共交通(不含轨道交通、下同)建设和道路(含水路,下同)运输中长期发展规划,拟订公路建设与养护年度指令性计划并组织实施;负责交通运输枢纽规划和管理。</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三)承担全县公路建设市场监管责任。负责全县国省干线公路(含国防公路)的规划、建设、养护、管理,依法维护路产路权、保护公路设施,开发公路用地;依法查处超限超载运输车辆;负责交通运输工程建设、工程质量和安全生产的监管;负责全县交通基本建设项目招投标活动的监督管理;负责全县收费公路管理;配合做好国防交通有关工作。</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四)承担道路运输市场监管责任。负责道路运输经营、道路运输相关业务和城市公共交通等行业管理工作;负责县内公交站、场、点的规划、建设和管理,依法保护和支持合法经营取缔非法运输;指导城乡客运及有关设施规划和管理;承担有关物流市场管理。</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(五)承担管辖水域交通安全监管责任。负责全县渔船检验和监督管理工作,会同有关部门,依法组织或参与事故调查处理。</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六)负责提出全县交通运输行业固定资产投资规模和方向、县财政性资金安排意见;负责监督县本级交通运输系统国有资产经营管理工作;负责全县交通运输资金的管理、使用和投资开发工作;指导交通系统内部审计工作;承担交通运输行业财政预算资金的绩效监督和管理工作。</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(七)制订全县交通运输行业科技发展规划,组织行业科</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技创新应用,推动行业科技进步。负责交通运输行业信息化建设,监测分析运行情况,开展相关统计工作。指导交通运输行业环境保护和节能减排。</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(八)负责全县交通运输综合行政执法和队伍建设有关工作;统筹协调交通运输综合行政执法工作;负责交通运输行业体制改革工作。</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(九)负责交通运输系统安全生产和应急管理工作;牵头负责铁路沿线环境安全监管职责;按规定组织协调国家、省、市、县重点物资和紧急客货运输;负责县内高速公路及国、省重点于线公路网运行监测和协调工作。</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(十)负责全县交通运输行业的涉外事宜,指导利用外资,开展交通运输经济技术合作与交流。</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(十一)推进京津冀协同发展交通一体化工作。</w:t>
      </w:r>
    </w:p>
    <w:p>
      <w:pPr>
        <w:ind w:firstLine="480" w:firstLineChars="150"/>
        <w:rPr>
          <w:rFonts w:hint="eastAsia" w:ascii="仿宋_GB2312" w:hAnsi="仿宋" w:eastAsia="仿宋_GB2312" w:cs="仿宋"/>
          <w:sz w:val="32"/>
          <w:szCs w:val="32"/>
        </w:rPr>
      </w:pPr>
      <w:r>
        <w:rPr>
          <w:rFonts w:hint="eastAsia" w:ascii="仿宋_GB2312" w:hAnsi="仿宋" w:eastAsia="仿宋_GB2312" w:cs="仿宋"/>
          <w:sz w:val="32"/>
          <w:szCs w:val="32"/>
        </w:rPr>
        <w:t>(十二)完成县委、县政府交办的其他任务。</w:t>
      </w:r>
    </w:p>
    <w:p>
      <w:pPr>
        <w:ind w:firstLine="482" w:firstLineChars="150"/>
        <w:rPr>
          <w:rFonts w:ascii="仿宋_GB2312" w:hAnsi="仿宋" w:eastAsia="仿宋_GB2312" w:cs="仿宋"/>
          <w:sz w:val="32"/>
          <w:szCs w:val="32"/>
        </w:rPr>
      </w:pPr>
      <w:r>
        <w:rPr>
          <w:rFonts w:hint="eastAsia" w:ascii="仿宋_GB2312" w:hAnsi="仿宋" w:eastAsia="仿宋_GB2312" w:cs="仿宋"/>
          <w:b/>
          <w:bCs/>
          <w:sz w:val="32"/>
          <w:szCs w:val="32"/>
        </w:rPr>
        <w:t>公路站主要职责</w:t>
      </w:r>
      <w:r>
        <w:rPr>
          <w:rFonts w:hint="eastAsia" w:ascii="仿宋_GB2312" w:hAnsi="仿宋" w:eastAsia="仿宋_GB2312" w:cs="仿宋"/>
          <w:sz w:val="32"/>
          <w:szCs w:val="32"/>
        </w:rPr>
        <w:t>：担负着国省62.144公里干线公路的日常养护、绿化工作、保持干线公路的畅、洁、绿、美。负责大中修工程、干线大中修的图纸设计，组织施工及工程档案的归档工作。公路行业信息管理等工作。编制全县农村公路建设计划，组织实施已审批立项县乡村级公路建设项目，负责制定县乡道路养护计划，组织实施日常养护工作定期召开养护例会，负责依法治理辖区的公路三乱现象，维护辖区内的路产路权，定期巡查辖区内的路，发现问题及时解决。</w:t>
      </w:r>
    </w:p>
    <w:p>
      <w:pPr>
        <w:pStyle w:val="14"/>
        <w:spacing w:after="0"/>
        <w:ind w:firstLine="482" w:firstLineChars="150"/>
        <w:rPr>
          <w:rFonts w:ascii="仿宋_GB2312" w:hAnsi="仿宋" w:eastAsia="仿宋_GB2312" w:cs="仿宋"/>
          <w:sz w:val="32"/>
          <w:szCs w:val="32"/>
        </w:rPr>
      </w:pPr>
      <w:r>
        <w:rPr>
          <w:rFonts w:hint="eastAsia" w:ascii="仿宋_GB2312" w:hAnsi="仿宋" w:eastAsia="仿宋_GB2312" w:cs="仿宋"/>
          <w:b/>
          <w:bCs/>
          <w:sz w:val="32"/>
          <w:szCs w:val="32"/>
        </w:rPr>
        <w:t>交通运输综合执法大队主要职责：</w:t>
      </w:r>
      <w:r>
        <w:rPr>
          <w:rFonts w:hint="eastAsia" w:ascii="仿宋_GB2312" w:hAnsi="仿宋" w:eastAsia="仿宋_GB2312" w:cs="仿宋"/>
          <w:sz w:val="32"/>
          <w:szCs w:val="32"/>
        </w:rPr>
        <w:t>执行国家及省市有关道路运输方针、政策、法规。根据管理权限，审批道路客货运输、运输服务和三类汽车维修业户的开业、停业及年度审验，核发经营许可证、道路运输证，审批县境内客货运输线路，执行好客运工作，具体负责道路运政管理机构统一制定的证照及票据的分发、回收、管理。具体负责执行对道路运输市场的运输质量、经营行为、价格执行及使用的证照、票据等进行日常性监督检查，并对违章者进行处罚，处理日常性商务事故。</w:t>
      </w:r>
    </w:p>
    <w:p>
      <w:pPr>
        <w:ind w:firstLine="643" w:firstLineChars="200"/>
        <w:rPr>
          <w:rFonts w:ascii="仿宋" w:hAnsi="仿宋" w:eastAsia="仿宋" w:cs="Times New Roman"/>
          <w:b/>
          <w:sz w:val="32"/>
          <w:szCs w:val="32"/>
        </w:rPr>
      </w:pPr>
      <w:r>
        <w:rPr>
          <w:rFonts w:hint="eastAsia" w:ascii="仿宋_GB2312" w:eastAsia="仿宋_GB2312"/>
          <w:b/>
          <w:bCs/>
          <w:sz w:val="32"/>
          <w:szCs w:val="32"/>
        </w:rPr>
        <w:t>客运中心主要职责</w:t>
      </w:r>
      <w:r>
        <w:rPr>
          <w:rFonts w:hint="eastAsia" w:ascii="仿宋_GB2312" w:eastAsia="仿宋_GB2312"/>
          <w:sz w:val="32"/>
          <w:szCs w:val="32"/>
        </w:rPr>
        <w:t>：负责对客运站进行站务管理；负责进站车辆的安全管理；负责客运车辆调度及应急保障车辆的调配；负责为进站旅客、车主提供安全、便捷、优质服务；负责为客运经营者合理安排班次，公布其运输线路、起止经停站点、运输班次、始发班次、始发时间、票价、疏导旅客、维持上下车秩序。</w:t>
      </w:r>
    </w:p>
    <w:p>
      <w:pPr>
        <w:ind w:firstLine="643" w:firstLineChars="200"/>
        <w:rPr>
          <w:rFonts w:ascii="仿宋" w:hAnsi="仿宋" w:eastAsia="仿宋" w:cs="Times New Roman"/>
          <w:b/>
          <w:sz w:val="32"/>
          <w:szCs w:val="32"/>
        </w:rPr>
      </w:pPr>
      <w:r>
        <w:rPr>
          <w:rFonts w:hint="eastAsia" w:ascii="仿宋" w:hAnsi="仿宋" w:eastAsia="仿宋" w:cs="Times New Roman"/>
          <w:b/>
          <w:sz w:val="32"/>
          <w:szCs w:val="32"/>
        </w:rPr>
        <w:t>机构设置：</w:t>
      </w:r>
    </w:p>
    <w:p>
      <w:pPr>
        <w:jc w:val="center"/>
        <w:outlineLvl w:val="0"/>
        <w:rPr>
          <w:rFonts w:ascii="Times New Roman" w:hAnsi="Times New Roman" w:eastAsia="方正小标宋_GBK" w:cs="Times New Roman"/>
          <w:sz w:val="32"/>
          <w:szCs w:val="24"/>
        </w:rPr>
      </w:pPr>
      <w:r>
        <w:rPr>
          <w:rFonts w:ascii="Times New Roman" w:hAnsi="Times New Roman" w:eastAsia="方正小标宋_GBK" w:cs="Times New Roman"/>
          <w:sz w:val="32"/>
          <w:szCs w:val="24"/>
        </w:rPr>
        <w:t>部门</w:t>
      </w:r>
      <w:r>
        <w:rPr>
          <w:rFonts w:hint="eastAsia" w:ascii="Times New Roman" w:hAnsi="Times New Roman" w:eastAsia="方正小标宋_GBK" w:cs="Times New Roman"/>
          <w:sz w:val="32"/>
          <w:szCs w:val="24"/>
        </w:rPr>
        <w:t>机构设置情况</w:t>
      </w:r>
    </w:p>
    <w:tbl>
      <w:tblPr>
        <w:tblStyle w:val="7"/>
        <w:tblW w:w="9729"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4417"/>
        <w:gridCol w:w="1134"/>
        <w:gridCol w:w="1276"/>
        <w:gridCol w:w="290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单位名称</w:t>
            </w:r>
          </w:p>
        </w:tc>
        <w:tc>
          <w:tcPr>
            <w:tcW w:w="1134"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单位性质</w:t>
            </w:r>
          </w:p>
        </w:tc>
        <w:tc>
          <w:tcPr>
            <w:tcW w:w="1276"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单位规格</w:t>
            </w:r>
          </w:p>
        </w:tc>
        <w:tc>
          <w:tcPr>
            <w:tcW w:w="2902" w:type="dxa"/>
            <w:vMerge w:val="restart"/>
            <w:vAlign w:val="center"/>
          </w:tcPr>
          <w:p>
            <w:pPr>
              <w:spacing w:line="300" w:lineRule="exact"/>
              <w:jc w:val="center"/>
              <w:rPr>
                <w:rFonts w:ascii="Times New Roman" w:hAnsi="Times New Roman" w:eastAsia="方正书宋_GBK" w:cs="Times New Roman"/>
                <w:b/>
                <w:szCs w:val="24"/>
              </w:rPr>
            </w:pPr>
            <w:r>
              <w:rPr>
                <w:rFonts w:ascii="Times New Roman" w:hAnsi="Times New Roman" w:eastAsia="方正书宋_GBK" w:cs="Times New Roman"/>
                <w:b/>
                <w:szCs w:val="24"/>
              </w:rP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00" w:hRule="atLeast"/>
          <w:tblHeader/>
          <w:jc w:val="center"/>
        </w:trPr>
        <w:tc>
          <w:tcPr>
            <w:tcW w:w="4417" w:type="dxa"/>
            <w:vMerge w:val="continue"/>
            <w:vAlign w:val="center"/>
          </w:tcPr>
          <w:p>
            <w:pPr>
              <w:spacing w:line="300" w:lineRule="exact"/>
              <w:jc w:val="left"/>
              <w:outlineLvl w:val="0"/>
              <w:rPr>
                <w:rFonts w:ascii="Times New Roman" w:hAnsi="Times New Roman" w:cs="Times New Roman"/>
                <w:szCs w:val="24"/>
              </w:rPr>
            </w:pPr>
          </w:p>
        </w:tc>
        <w:tc>
          <w:tcPr>
            <w:tcW w:w="1134" w:type="dxa"/>
            <w:vMerge w:val="continue"/>
            <w:vAlign w:val="center"/>
          </w:tcPr>
          <w:p>
            <w:pPr>
              <w:spacing w:line="300" w:lineRule="exact"/>
              <w:jc w:val="left"/>
              <w:outlineLvl w:val="0"/>
              <w:rPr>
                <w:rFonts w:ascii="Times New Roman" w:hAnsi="Times New Roman" w:cs="Times New Roman"/>
                <w:szCs w:val="24"/>
              </w:rPr>
            </w:pPr>
          </w:p>
        </w:tc>
        <w:tc>
          <w:tcPr>
            <w:tcW w:w="1276" w:type="dxa"/>
            <w:vMerge w:val="continue"/>
            <w:vAlign w:val="center"/>
          </w:tcPr>
          <w:p>
            <w:pPr>
              <w:spacing w:line="300" w:lineRule="exact"/>
              <w:jc w:val="left"/>
              <w:outlineLvl w:val="0"/>
              <w:rPr>
                <w:rFonts w:ascii="Times New Roman" w:hAnsi="Times New Roman" w:cs="Times New Roman"/>
                <w:szCs w:val="24"/>
              </w:rPr>
            </w:pPr>
          </w:p>
        </w:tc>
        <w:tc>
          <w:tcPr>
            <w:tcW w:w="2902" w:type="dxa"/>
            <w:vMerge w:val="continue"/>
            <w:vAlign w:val="center"/>
          </w:tcPr>
          <w:p>
            <w:pPr>
              <w:spacing w:line="300" w:lineRule="exact"/>
              <w:jc w:val="left"/>
              <w:outlineLvl w:val="0"/>
              <w:rPr>
                <w:rFonts w:ascii="Times New Roman" w:hAnsi="Times New Roman" w:cs="Times New Roman"/>
                <w:szCs w:val="24"/>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无极县交通运输局</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行政</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正科级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无极县公路站</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股级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无极县交通运输综合执法大队</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副科级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227" w:hRule="atLeast"/>
          <w:jc w:val="center"/>
        </w:trPr>
        <w:tc>
          <w:tcPr>
            <w:tcW w:w="4417" w:type="dxa"/>
            <w:vAlign w:val="center"/>
          </w:tcPr>
          <w:p>
            <w:pPr>
              <w:spacing w:line="300" w:lineRule="exact"/>
              <w:jc w:val="left"/>
              <w:rPr>
                <w:rFonts w:ascii="Times New Roman" w:hAnsi="Times New Roman" w:eastAsia="方正书宋_GBK" w:cs="Times New Roman"/>
                <w:szCs w:val="24"/>
              </w:rPr>
            </w:pPr>
            <w:r>
              <w:rPr>
                <w:rFonts w:hint="eastAsia" w:ascii="方正书宋_GBK" w:eastAsia="方正书宋_GBK"/>
              </w:rPr>
              <w:t>无极县客运中心</w:t>
            </w:r>
          </w:p>
        </w:tc>
        <w:tc>
          <w:tcPr>
            <w:tcW w:w="1134"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事业</w:t>
            </w:r>
          </w:p>
        </w:tc>
        <w:tc>
          <w:tcPr>
            <w:tcW w:w="1276"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股级</w:t>
            </w:r>
          </w:p>
        </w:tc>
        <w:tc>
          <w:tcPr>
            <w:tcW w:w="2902" w:type="dxa"/>
            <w:vAlign w:val="center"/>
          </w:tcPr>
          <w:p>
            <w:pPr>
              <w:spacing w:line="300" w:lineRule="exact"/>
              <w:jc w:val="center"/>
              <w:rPr>
                <w:rFonts w:ascii="Times New Roman" w:hAnsi="Times New Roman" w:eastAsia="方正书宋_GBK" w:cs="Times New Roman"/>
                <w:szCs w:val="24"/>
              </w:rPr>
            </w:pPr>
            <w:r>
              <w:rPr>
                <w:rFonts w:hint="eastAsia" w:ascii="方正书宋_GBK" w:eastAsia="方正书宋_GBK"/>
              </w:rPr>
              <w:t>财政性资金基本保证</w:t>
            </w:r>
          </w:p>
        </w:tc>
      </w:tr>
    </w:tbl>
    <w:p>
      <w:pPr>
        <w:rPr>
          <w:rFonts w:ascii="Times New Roman" w:hAnsi="Times New Roman" w:eastAsia="仿宋" w:cs="Times New Roman"/>
          <w:sz w:val="32"/>
          <w:szCs w:val="32"/>
        </w:rPr>
      </w:pPr>
    </w:p>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二、部门预算安排的总体情况</w:t>
      </w:r>
    </w:p>
    <w:p>
      <w:pPr>
        <w:ind w:firstLine="640" w:firstLineChars="200"/>
        <w:rPr>
          <w:rFonts w:hint="eastAsia" w:ascii="仿宋_GB2312" w:eastAsia="仿宋_GB2312"/>
          <w:sz w:val="32"/>
          <w:szCs w:val="32"/>
        </w:rPr>
      </w:pPr>
      <w:r>
        <w:rPr>
          <w:rFonts w:hint="eastAsia" w:ascii="仿宋_GB2312" w:eastAsia="仿宋_GB2312"/>
          <w:sz w:val="32"/>
          <w:szCs w:val="32"/>
        </w:rPr>
        <w:t>按照预算管理有关规定，目前我县部门预算的编制实行综合预算制度，即全部收入和支出都反映在预算里，我部门及所属单位所有收支都包含在部门预算中。</w:t>
      </w:r>
    </w:p>
    <w:p>
      <w:pPr>
        <w:ind w:firstLine="600" w:firstLineChars="200"/>
        <w:rPr>
          <w:rFonts w:ascii="楷体" w:hAnsi="楷体" w:eastAsia="楷体" w:cs="仿宋_GB2312"/>
          <w:sz w:val="30"/>
          <w:szCs w:val="30"/>
        </w:rPr>
      </w:pPr>
      <w:r>
        <w:rPr>
          <w:rFonts w:hint="eastAsia" w:ascii="楷体" w:hAnsi="楷体" w:eastAsia="楷体" w:cs="仿宋_GB2312"/>
          <w:sz w:val="30"/>
          <w:szCs w:val="30"/>
        </w:rPr>
        <w:t>（一）收入说明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hAnsi="仿宋_GB2312" w:eastAsia="仿宋_GB2312" w:cs="仿宋_GB2312"/>
          <w:sz w:val="32"/>
          <w:szCs w:val="32"/>
        </w:rPr>
        <w:t>反映本部门当年全部收入，</w:t>
      </w:r>
      <w:r>
        <w:rPr>
          <w:rFonts w:hint="eastAsia" w:ascii="仿宋_GB2312" w:eastAsia="仿宋_GB2312" w:cs="仿宋_GB2312"/>
          <w:bCs/>
          <w:sz w:val="32"/>
          <w:szCs w:val="32"/>
        </w:rPr>
        <w:t>无极县交通运输局2020年预算收入总计5377.67万元。其中，一般公共预算收入5377.67万元、政府性基金收入0万元、财政专户核拨收入0万元，其他来源收入0万元。</w:t>
      </w:r>
    </w:p>
    <w:p>
      <w:pPr>
        <w:ind w:firstLine="640" w:firstLineChars="200"/>
        <w:rPr>
          <w:rFonts w:ascii="楷体" w:hAnsi="楷体" w:eastAsia="楷体"/>
          <w:sz w:val="32"/>
          <w:szCs w:val="32"/>
        </w:rPr>
      </w:pPr>
      <w:r>
        <w:rPr>
          <w:rFonts w:hint="eastAsia" w:ascii="楷体" w:hAnsi="楷体" w:eastAsia="楷体"/>
          <w:sz w:val="32"/>
          <w:szCs w:val="32"/>
        </w:rPr>
        <w:t>（二）支出说明</w:t>
      </w:r>
    </w:p>
    <w:p>
      <w:pPr>
        <w:adjustRightInd w:val="0"/>
        <w:snapToGrid w:val="0"/>
        <w:spacing w:line="600" w:lineRule="exact"/>
        <w:ind w:firstLine="640" w:firstLineChars="200"/>
        <w:jc w:val="left"/>
        <w:rPr>
          <w:rFonts w:ascii="仿宋_GB2312" w:eastAsia="仿宋_GB2312" w:cs="仿宋_GB2312"/>
          <w:bCs/>
          <w:sz w:val="32"/>
          <w:szCs w:val="32"/>
        </w:rPr>
      </w:pPr>
      <w:r>
        <w:rPr>
          <w:rFonts w:hint="eastAsia" w:ascii="仿宋_GB2312" w:hAnsi="仿宋_GB2312" w:eastAsia="仿宋_GB2312" w:cs="仿宋_GB2312"/>
          <w:sz w:val="32"/>
          <w:szCs w:val="32"/>
        </w:rPr>
        <w:t>收支预算总表支出栏、基本支出表、项目支出表按经济分类和支出功能分类科目编制，反映无极县交通运输局年度部门预算中支出预算的总体情况。</w:t>
      </w:r>
      <w:r>
        <w:rPr>
          <w:rFonts w:hint="eastAsia" w:ascii="仿宋_GB2312" w:eastAsia="仿宋_GB2312" w:cs="仿宋_GB2312"/>
          <w:bCs/>
          <w:sz w:val="32"/>
          <w:szCs w:val="32"/>
        </w:rPr>
        <w:t>2020年预算支出5377.67万元。其中，人员经费支出2066.65万元，正常公用经费314.5万元，项目支出2996.52万元。</w:t>
      </w:r>
    </w:p>
    <w:p>
      <w:pPr>
        <w:ind w:firstLine="640" w:firstLineChars="200"/>
        <w:rPr>
          <w:rFonts w:ascii="楷体" w:hAnsi="楷体" w:eastAsia="楷体"/>
          <w:sz w:val="32"/>
          <w:szCs w:val="32"/>
        </w:rPr>
      </w:pPr>
      <w:r>
        <w:rPr>
          <w:rFonts w:hint="eastAsia" w:ascii="楷体" w:hAnsi="楷体" w:eastAsia="楷体"/>
          <w:sz w:val="32"/>
          <w:szCs w:val="32"/>
        </w:rPr>
        <w:t>（三）比上年增减情况</w:t>
      </w:r>
    </w:p>
    <w:p>
      <w:pPr>
        <w:adjustRightInd w:val="0"/>
        <w:snapToGrid w:val="0"/>
        <w:spacing w:line="600" w:lineRule="exact"/>
        <w:ind w:firstLine="600" w:firstLineChars="200"/>
        <w:jc w:val="left"/>
        <w:rPr>
          <w:rFonts w:ascii="仿宋_GB2312" w:hAnsi="仿宋" w:eastAsia="仿宋_GB2312" w:cs="仿宋_GB2312"/>
          <w:sz w:val="30"/>
          <w:szCs w:val="30"/>
        </w:rPr>
      </w:pPr>
      <w:r>
        <w:rPr>
          <w:rFonts w:hint="eastAsia" w:ascii="仿宋_GB2312" w:hAnsi="仿宋" w:eastAsia="仿宋_GB2312" w:cs="仿宋_GB2312"/>
          <w:sz w:val="30"/>
          <w:szCs w:val="30"/>
        </w:rPr>
        <w:t>2020年部门预算较2019年增加1868.66万元，其中：基本支出增加755.98万元，主要是人员变动；项目支出增加1112.68万元，主要上级财政项目安排增加。</w:t>
      </w:r>
    </w:p>
    <w:p>
      <w:pPr>
        <w:adjustRightInd w:val="0"/>
        <w:snapToGrid w:val="0"/>
        <w:spacing w:line="600" w:lineRule="exact"/>
        <w:ind w:firstLine="960" w:firstLineChars="300"/>
        <w:jc w:val="left"/>
        <w:rPr>
          <w:rFonts w:ascii="黑体" w:hAnsi="黑体" w:eastAsia="黑体" w:cs="Times New Roman"/>
          <w:sz w:val="32"/>
          <w:szCs w:val="32"/>
        </w:rPr>
      </w:pPr>
      <w:r>
        <w:rPr>
          <w:rFonts w:hint="eastAsia" w:ascii="黑体" w:hAnsi="黑体" w:eastAsia="黑体" w:cs="Times New Roman"/>
          <w:sz w:val="32"/>
          <w:szCs w:val="32"/>
        </w:rPr>
        <w:t>三、机关运行经费安排情况</w:t>
      </w:r>
    </w:p>
    <w:p>
      <w:pPr>
        <w:autoSpaceDE w:val="0"/>
        <w:autoSpaceDN w:val="0"/>
        <w:adjustRightInd w:val="0"/>
        <w:ind w:left="198" w:firstLine="640" w:firstLineChars="200"/>
        <w:jc w:val="left"/>
        <w:rPr>
          <w:rFonts w:ascii="仿宋_GB2312" w:hAnsi="仿宋_GB2312" w:eastAsia="仿宋_GB2312" w:cs="仿宋_GB2312"/>
          <w:sz w:val="32"/>
          <w:szCs w:val="32"/>
        </w:rPr>
      </w:pPr>
      <w:r>
        <w:rPr>
          <w:rFonts w:hint="eastAsia" w:ascii="Times New Roman" w:hAnsi="Times New Roman" w:eastAsia="仿宋" w:cs="Times New Roman"/>
          <w:sz w:val="32"/>
          <w:szCs w:val="32"/>
        </w:rPr>
        <w:t>2</w:t>
      </w:r>
      <w:r>
        <w:rPr>
          <w:rFonts w:hint="eastAsia" w:ascii="仿宋_GB2312" w:hAnsi="仿宋_GB2312" w:eastAsia="仿宋_GB2312" w:cs="仿宋_GB2312"/>
          <w:sz w:val="32"/>
          <w:szCs w:val="32"/>
        </w:rPr>
        <w:t>020年我部门机关运行经费共计安排</w:t>
      </w:r>
      <w:r>
        <w:rPr>
          <w:rFonts w:hint="eastAsia" w:ascii="仿宋_GB2312" w:eastAsia="仿宋_GB2312" w:cs="仿宋_GB2312"/>
          <w:bCs/>
          <w:sz w:val="32"/>
          <w:szCs w:val="32"/>
        </w:rPr>
        <w:t>314.5</w:t>
      </w:r>
      <w:r>
        <w:rPr>
          <w:rFonts w:hint="eastAsia" w:ascii="仿宋_GB2312" w:hAnsi="仿宋_GB2312" w:eastAsia="仿宋_GB2312" w:cs="仿宋_GB2312"/>
          <w:sz w:val="32"/>
          <w:szCs w:val="32"/>
        </w:rPr>
        <w:t>万元，主要用于保证机关正常运转的办公及印刷费、邮电费、差旅费、会议费、福利费、专用材料及一般设备购置费、办公用房水电费、办公用房取暖费、日常维修费、办公楼物业管理费、公务车运行维护费等支出。</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四、财政拨款</w:t>
      </w:r>
      <w:r>
        <w:rPr>
          <w:rFonts w:ascii="黑体" w:hAnsi="黑体" w:eastAsia="黑体" w:cs="Times New Roman"/>
          <w:sz w:val="32"/>
          <w:szCs w:val="32"/>
        </w:rPr>
        <w:t>“</w:t>
      </w:r>
      <w:r>
        <w:rPr>
          <w:rFonts w:hint="eastAsia" w:ascii="黑体" w:hAnsi="黑体" w:eastAsia="黑体" w:cs="Times New Roman"/>
          <w:sz w:val="32"/>
          <w:szCs w:val="32"/>
        </w:rPr>
        <w:t>三公</w:t>
      </w:r>
      <w:r>
        <w:rPr>
          <w:rFonts w:ascii="黑体" w:hAnsi="黑体" w:eastAsia="黑体" w:cs="Times New Roman"/>
          <w:sz w:val="32"/>
          <w:szCs w:val="32"/>
        </w:rPr>
        <w:t>”</w:t>
      </w:r>
      <w:r>
        <w:rPr>
          <w:rFonts w:hint="eastAsia" w:ascii="黑体" w:hAnsi="黑体" w:eastAsia="黑体" w:cs="Times New Roman"/>
          <w:sz w:val="32"/>
          <w:szCs w:val="32"/>
        </w:rPr>
        <w:t>经费预算情况及增减变化原因</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2020年本部门安排“三公”经费 3万元。2020年本部门三公经费与2019年相比减少25万元。其中：</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1、因公出国（境）费0万元，与上年持平，无增减变化。</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2、公务用车购置0万元，与上年持平，无增减变化；公车运行维护费3万元，与2019年相比减少25万元</w:t>
      </w:r>
      <w:r>
        <w:rPr>
          <w:rFonts w:hint="eastAsia" w:ascii="仿宋_GB2312" w:hAnsi="仿宋" w:eastAsia="仿宋_GB2312"/>
          <w:sz w:val="32"/>
          <w:szCs w:val="32"/>
          <w:lang w:eastAsia="zh-CN"/>
        </w:rPr>
        <w:t>，原因是车辆改革减少</w:t>
      </w:r>
      <w:r>
        <w:rPr>
          <w:rFonts w:hint="eastAsia" w:ascii="仿宋_GB2312" w:hAnsi="仿宋" w:eastAsia="仿宋_GB2312"/>
          <w:sz w:val="32"/>
          <w:szCs w:val="32"/>
        </w:rPr>
        <w:t>。</w:t>
      </w:r>
    </w:p>
    <w:p>
      <w:pPr>
        <w:ind w:firstLine="640" w:firstLineChars="200"/>
        <w:outlineLvl w:val="0"/>
        <w:rPr>
          <w:rFonts w:ascii="仿宋_GB2312" w:hAnsi="仿宋" w:eastAsia="仿宋_GB2312"/>
          <w:sz w:val="32"/>
          <w:szCs w:val="32"/>
        </w:rPr>
      </w:pPr>
      <w:r>
        <w:rPr>
          <w:rFonts w:hint="eastAsia" w:ascii="仿宋_GB2312" w:hAnsi="仿宋" w:eastAsia="仿宋_GB2312"/>
          <w:sz w:val="32"/>
          <w:szCs w:val="32"/>
        </w:rPr>
        <w:t>3、公务接待费0万元，与上年相比无增减变化。</w:t>
      </w:r>
    </w:p>
    <w:p>
      <w:pPr>
        <w:autoSpaceDE w:val="0"/>
        <w:autoSpaceDN w:val="0"/>
        <w:adjustRightInd w:val="0"/>
        <w:ind w:left="198" w:firstLine="640" w:firstLineChars="200"/>
        <w:jc w:val="left"/>
        <w:rPr>
          <w:rFonts w:ascii="黑体" w:hAnsi="黑体" w:eastAsia="黑体" w:cs="Times New Roman"/>
          <w:sz w:val="32"/>
          <w:szCs w:val="32"/>
        </w:rPr>
      </w:pPr>
      <w:r>
        <w:rPr>
          <w:rFonts w:hint="eastAsia" w:ascii="黑体" w:hAnsi="黑体" w:eastAsia="黑体" w:cs="Times New Roman"/>
          <w:sz w:val="32"/>
          <w:szCs w:val="32"/>
        </w:rPr>
        <w:t>五、预算绩效信息</w:t>
      </w:r>
    </w:p>
    <w:p>
      <w:pPr>
        <w:autoSpaceDE w:val="0"/>
        <w:autoSpaceDN w:val="0"/>
        <w:adjustRightInd w:val="0"/>
        <w:ind w:left="198" w:firstLine="640" w:firstLineChars="200"/>
        <w:jc w:val="left"/>
        <w:rPr>
          <w:rFonts w:ascii="Times New Roman" w:hAnsi="Times New Roman" w:eastAsia="仿宋" w:cs="Times New Roman"/>
          <w:sz w:val="32"/>
          <w:szCs w:val="32"/>
        </w:rPr>
      </w:pPr>
      <w:bookmarkStart w:id="0" w:name="_Toc471398463"/>
      <w:r>
        <w:rPr>
          <w:rFonts w:hint="eastAsia" w:ascii="Times New Roman" w:hAnsi="Times New Roman" w:eastAsia="仿宋" w:cs="Times New Roman"/>
          <w:sz w:val="32"/>
          <w:szCs w:val="32"/>
        </w:rPr>
        <w:t>第一部分  部门整体绩效目标</w:t>
      </w:r>
    </w:p>
    <w:p>
      <w:pPr>
        <w:autoSpaceDE w:val="0"/>
        <w:autoSpaceDN w:val="0"/>
        <w:adjustRightInd w:val="0"/>
        <w:ind w:left="198"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（一）总体绩效目标</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仿宋_GB2312" w:hAnsi="仿宋" w:eastAsia="仿宋_GB2312"/>
          <w:sz w:val="32"/>
          <w:szCs w:val="32"/>
        </w:rPr>
        <w:t>无极县交通运输局负责贯彻落实上级交通的政策，负责组织和领导全市交通道路运输行业管理工作，提高道路公路质量，逐步形成以无极县为中心、以国省干线为中心向各乡镇放射，由乡镇向各行政村放射，形成一个纵横交错、四通八达的公路网体系，充分考虑农村经济发展，使公路交通成为无极县进一步改革开放、内引外联发展经济的重要支柱。加强我市客货运输市场管理，加强我市汽车维修、搬运装卸等运输相关市场管理，提高市场管理水平。维护全市境内国省干线公路及地方道路的路产路权，严厉查出超限超载运输车辆，并保证道路运输市场稳定，加强交通运输市场安全管理，提高运输管理行业服务水平。严厉打击公路建设中存在的违法行为，提高公路建设质量，更好维护公路建设市场竞争的市场秩序</w:t>
      </w:r>
      <w:r>
        <w:rPr>
          <w:rFonts w:hint="eastAsia" w:ascii="Times New Roman" w:hAnsi="Times New Roman" w:eastAsia="仿宋" w:cs="Times New Roman"/>
          <w:sz w:val="32"/>
          <w:szCs w:val="32"/>
        </w:rPr>
        <w:t>。</w:t>
      </w:r>
    </w:p>
    <w:p>
      <w:pPr>
        <w:autoSpaceDE w:val="0"/>
        <w:autoSpaceDN w:val="0"/>
        <w:adjustRightInd w:val="0"/>
        <w:ind w:firstLine="640" w:firstLineChars="200"/>
        <w:jc w:val="left"/>
        <w:rPr>
          <w:rFonts w:ascii="Times New Roman" w:hAnsi="Times New Roman" w:eastAsia="仿宋" w:cs="Times New Roman"/>
          <w:sz w:val="32"/>
          <w:szCs w:val="32"/>
        </w:rPr>
      </w:pPr>
      <w:r>
        <w:rPr>
          <w:rFonts w:hint="eastAsia" w:ascii="Times New Roman" w:hAnsi="Times New Roman" w:eastAsia="仿宋" w:cs="Times New Roman"/>
          <w:sz w:val="32"/>
          <w:szCs w:val="32"/>
        </w:rPr>
        <w:t>（二）分项绩效目标</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1、加强交通运输综合体系建设管理</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无极县交通运输局负责交通运输综合交通运输体系建设，综合业务管理和综合事物管理。提高公路建设项目立项、审批、开工等工作效率，严厉打击公路建设中存在的违法问题，更好维护公路建设市场竞争秩序。</w:t>
      </w:r>
      <w:r>
        <w:rPr>
          <w:rFonts w:hint="eastAsia" w:ascii="仿宋_GB2312" w:hAnsi="仿宋" w:eastAsia="仿宋_GB2312"/>
          <w:sz w:val="32"/>
          <w:szCs w:val="32"/>
        </w:rPr>
        <w:tab/>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（1）保障各项业务工作畅通绩效目标按综合业务保障率进行考核，根据综合业务按年度计划完成情况，分优良中差。其中：优要求达到95%-100%；良要求达到80%-95%；中要求达到65%-80%；差要求达到65%以下。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（2）审批完成率按公路建设项目申报审批完成情况进行考核，分优良中差。其中：优要求达到95%-100%；良要求达到80%-95%；中要求达到65%-80%；差要求达到65%以下。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2、国省干线公路和地方道路养护</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绩效目标：确保公路技术状况指标，有效提高通行能力和行车舒适性，保证沿线人民出行需要，按工作质量(完成工作或任务达到的效果)、项目质量和工程完成率进行绩效管理</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工作质量(完成工作或任务达到的效果)按综合业务按年度计划完成情况，分优良中差。按时完成工作，质量高为优；按时完成工作，质量一般为良；基本完成工作为中；未按时完成工作为差。</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项目质量按按综合业务按年度计划完成情况，分优良中差。合格为优；基本合格为良；一般合格为中；合格为差。</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工程完成率按年度计划完成情况，分优良中差。其中：优要求达到95%-100%；良要求达到80%-95%；中要求达到65%-80%；差要求达到65%以下。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3、加强交通运政管理，提高运输市场秩序</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保障道路运输行业管理业务顺利开展，按时完成工作，保障行业稳定，源头治理超限运输，保障通行能力，运输行业统计数据科学准确，提高行业服务水平。分综合业务保障率、安全生产维稳控制目标、运输统计工作完成率和乘客满意率</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综合业务保障率按行业管理各项任务完成情况进行考核，分优良中差。其中：优要求达到95%-100%；良要求达到80%-95%；中要求达到65%-80%；差要求达到65%以下。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安全生产维稳控制目标按不发生重大安全生产责任事故进行考核，其中：实现不发生重大安全生产责任事故为优；没有实现不发生重大安全生产责任事故为差。</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运输统计工作完成率按统计数据报送及时进行考核，分优良中差。其中：优要求达到95%-100%；良要求达到80%-95%；中要求达到65%-80%；差要求达到65%以下。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乘客满意率按旅客满意度抽样调查进行考核，分优良中差。其中：优要求达到95%-100%；良要求达到80%-95%；中要求达到65%-80%；差要求达到65%以下。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4、加强公路路政管理，维护路产路权</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绩效目标：提高公路等级水平，缓解繁忙路段交通压力；维护路产路权，治理超限运输，保障通行能力，提高服务水平。按安全生产控制目标、审批完成率、超限率</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安全生产控制目标按年度计划完成情况，分优差。其中实现年度目标为优，未实现年度目标为差。</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审批完成率按按综合业务按年度计划完成情况，分优良中差。其中：优要求达到95%-100%；良要求达到80%-95%；中要求达到65%-80%；差要求达到65%以下。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超限率按按综合业务按年度计划完成情况，分优良中差。其中：优要求达到2.5%以下；良要求达到2.5%-3%；中要求达到3%-3.5%；差要求达到3.5%以下。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5、组织完成大外环绿化建设</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 xml:space="preserve">绩效目标：组织完成大外环绿化建设。   </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绩效指标：绿化成活率。根据成活情况分优良中差。其中：优要求达到95%-100%；良要求达到80%-95%；中要求达到65%-80%；差要求达到65%以下。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6、无极县易官线S234赵户至东罗尚段改建工程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绩效目标：项目长10.2公里，路基宽12米，路面宽11.4米。业主单位为市交通局工程处，目前已完成施工招标。待条件成熟启动征迁工作，并开工建设。</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绩效指标：建设投资完成率。根据计划完成情况，分优良中差。其中：优要求达到95%-100%；良要求达到80%-95%；中要求达到65%-80%；差要求达到65%以下。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7、争取启动北外环西段定魏线至津石高速连接线公路工程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绩效目标：该项目长2.37公里，路基宽28米，已完成施工图设计，并组织专家进行了图纸评审，下步经县领导组织对施工图设计审查通过后，再实施施工招标工作。</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绩效指标：建设投资完成率。根据计划完成情况，分优良中差。其中：优要求达到95%-100%；良要求达到80%-95%；中要求达到65%-80%；差要求达到65%以下。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8、争取启动无极县北外环东段定魏线至易官线公路新建工程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该项目长4.856公里，路基宽28米，目前施工图设计已经县长办公会审查通过，待县政府安排财政评审、资金到位后进行施工招标。同时，我们正在争取市局支持利用高速建设施工便道的条件，先行按8米路面、按设计标准建设。</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绩效指标：建设投资完成率。根据计划完成情况，分优良中差。其中：优要求达到95%-100%；良要求达到80%-95%；中要求达到65%-80%；差要求达到65%以下。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9、争取启动无极县外环路王村至东罗尚段改建工程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该项目为易官线王村至东罗尚段的加宽部分，与改建后的易官线合并为路基宽28米、路面宽26米的一级公路，该线将解决过境货车绕城问题。该项目长2.986公里，路基宽28米，目前已由县行政审批局批复项目建议书，可行性研究报告已编制完成，下一步经自然资源和规划部门出具土地预审意见和项目选址意见后，报县行政审批局申请可研批复。</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绩效指标：建设投资完成率。根据计划完成情况，分优良中差。其中：优要求达到95%-100%；良要求达到80%-95%；中要求达到65%-80%；差要求达到65%以下。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10、无极县外环路定魏线至东朱村段拓宽改建工程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绩效目标：县政府主要领导指示，计划对外环路定魏线至东朱村段进行拓宽改建，该项目长4.3公里，估算投资约8000万元，目前还在谋划中。</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绩效指标：建设投资完成率。根据计划完成情况，分优良中差。其中：优要求达到95%-100%；良要求达到80%-95%；中要求达到65%-80%；差要求达到65%以下。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11、无极大南环东朱村至东罗尚段改建工程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该项目总长约10公里，建设标准为一级公路，双向四车道，路基宽26米，路面25.5米。已纳入市四环路网规划，我们正在争取市局支持，依托四环规划独立跑办无极段项目前期，已经与市局有关领导进行了沟通。</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绩效指标：建设投资完成率。根据计划完成情况，分优良中差。其中：优要求达到95%-100%；良要求达到80%-95%；中要求达到65%-80%；差要求达到65%以下。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12、完成无极县汽车客运站建设</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目标：该项目投资4530万元，占地60亩，建筑面积10731.89平方米，工期2年。2018年9月15日开工，目前客运综合楼主体完工，正进行内部装修。明年计划进行站前广场、停车场等配套设施施工，预计2020年10月完工投入使用。</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绩效指标：建设投资完成率。根据计划完成情况，分优良中差。其中：优要求达到95%-100%；良要求达到80%-95%；中要求达到65%-80%；差要求达到65%以下。</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（三）工作保障措施</w:t>
      </w:r>
      <w:r>
        <w:rPr>
          <w:rFonts w:hint="eastAsia" w:ascii="仿宋_GB2312" w:hAnsi="仿宋" w:eastAsia="仿宋_GB2312"/>
          <w:sz w:val="32"/>
          <w:szCs w:val="32"/>
        </w:rPr>
        <w:fldChar w:fldCharType="begin"/>
      </w:r>
      <w:r>
        <w:rPr>
          <w:rFonts w:hint="eastAsia" w:ascii="仿宋_GB2312" w:hAnsi="仿宋" w:eastAsia="仿宋_GB2312"/>
          <w:sz w:val="32"/>
          <w:szCs w:val="32"/>
        </w:rPr>
        <w:instrText xml:space="preserve"> TC </w:instrText>
      </w:r>
      <w:bookmarkStart w:id="1" w:name="_Toc29484630"/>
      <w:r>
        <w:rPr>
          <w:rFonts w:hint="eastAsia" w:ascii="仿宋_GB2312" w:hAnsi="仿宋" w:eastAsia="仿宋_GB2312"/>
          <w:sz w:val="32"/>
          <w:szCs w:val="32"/>
        </w:rPr>
        <w:instrText xml:space="preserve">工作保障措施</w:instrText>
      </w:r>
      <w:bookmarkEnd w:id="1"/>
      <w:r>
        <w:rPr>
          <w:rFonts w:hint="eastAsia" w:ascii="仿宋_GB2312" w:hAnsi="仿宋" w:eastAsia="仿宋_GB2312"/>
          <w:sz w:val="32"/>
          <w:szCs w:val="32"/>
        </w:rPr>
        <w:instrText xml:space="preserve"> \f A \l 1 </w:instrText>
      </w:r>
      <w:r>
        <w:rPr>
          <w:rFonts w:hint="eastAsia" w:ascii="仿宋_GB2312" w:hAnsi="仿宋" w:eastAsia="仿宋_GB2312"/>
          <w:sz w:val="32"/>
          <w:szCs w:val="32"/>
        </w:rPr>
        <w:fldChar w:fldCharType="end"/>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1、加强制度建设。建立健全机关预算绩效管理制度，为全年预算绩效目标的实现奠定制度基础。</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2、规范财务管理。进一步完善财务管理制度，通过科学编制预算、优化支出结构、加快政府采购、加快项目建设、及时拨付资金，确保经费支出进度达到规定标准。</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3、加强内部监督。加强内部监督制度建设，对绩效运行、重大支出事项、资产处置及其他重要经济业务事项决策和执行进行监督，定期开展财务内部审计，确保财政资金使用安全合规。</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4、加强绩效监控。积极开展绩效运行监控，发现问题及时采取措施，确保绩效目标如期保质实现。</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5、做好绩效自评。按要求开展部门预算绩效自评和重点项目评价工作，对评价中发现的问题及时整改。</w:t>
      </w:r>
    </w:p>
    <w:p>
      <w:pPr>
        <w:autoSpaceDE w:val="0"/>
        <w:autoSpaceDN w:val="0"/>
        <w:adjustRightInd w:val="0"/>
        <w:ind w:firstLine="640" w:firstLineChars="200"/>
        <w:jc w:val="left"/>
        <w:rPr>
          <w:rFonts w:hint="eastAsia" w:ascii="仿宋_GB2312" w:hAnsi="仿宋" w:eastAsia="仿宋_GB2312"/>
          <w:sz w:val="32"/>
          <w:szCs w:val="32"/>
        </w:rPr>
      </w:pPr>
      <w:r>
        <w:rPr>
          <w:rFonts w:hint="eastAsia" w:ascii="仿宋_GB2312" w:hAnsi="仿宋" w:eastAsia="仿宋_GB2312"/>
          <w:sz w:val="32"/>
          <w:szCs w:val="32"/>
        </w:rPr>
        <w:t>6、加强宣传培训。加强人员培训，加大宣传力度，强化预算绩效管理意识，促进预算绩效管理水平提升。</w:t>
      </w:r>
    </w:p>
    <w:p>
      <w:pPr>
        <w:autoSpaceDE w:val="0"/>
        <w:autoSpaceDN w:val="0"/>
        <w:adjustRightInd w:val="0"/>
        <w:ind w:left="198" w:firstLine="643" w:firstLineChars="200"/>
        <w:jc w:val="left"/>
        <w:rPr>
          <w:rFonts w:hAnsi="宋体"/>
        </w:rPr>
      </w:pPr>
      <w:r>
        <w:rPr>
          <w:rFonts w:hint="eastAsia" w:ascii="Times New Roman" w:hAnsi="Times New Roman" w:eastAsia="方正仿宋_GBK" w:cs="Times New Roman"/>
          <w:b/>
          <w:sz w:val="32"/>
          <w:szCs w:val="32"/>
        </w:rPr>
        <w:t>第二部分  预算项目绩效目标</w:t>
      </w:r>
    </w:p>
    <w:p>
      <w:pPr>
        <w:jc w:val="center"/>
      </w:pPr>
    </w:p>
    <w:p>
      <w:pPr>
        <w:ind w:firstLine="643" w:firstLineChars="200"/>
        <w:jc w:val="left"/>
        <w:outlineLvl w:val="1"/>
        <w:rPr>
          <w:rFonts w:hint="eastAsia" w:ascii="仿宋_GB2312" w:hAnsi="仿宋_GB2312" w:eastAsia="仿宋_GB2312" w:cs="仿宋_GB2312"/>
          <w:b/>
          <w:sz w:val="32"/>
          <w:szCs w:val="32"/>
        </w:rPr>
      </w:pPr>
      <w:r>
        <w:rPr>
          <w:rFonts w:hint="eastAsia" w:ascii="仿宋_GB2312" w:hAnsi="仿宋_GB2312" w:eastAsia="仿宋_GB2312" w:cs="仿宋_GB2312"/>
          <w:b/>
          <w:sz w:val="32"/>
          <w:szCs w:val="32"/>
        </w:rPr>
        <w:t>1、工役制人员补助资金绩效目标表</w:t>
      </w:r>
      <w:r>
        <w:rPr>
          <w:rFonts w:hint="eastAsia" w:ascii="仿宋_GB2312" w:hAnsi="仿宋_GB2312" w:eastAsia="仿宋_GB2312" w:cs="仿宋_GB2312"/>
          <w:sz w:val="32"/>
          <w:szCs w:val="32"/>
        </w:rPr>
        <w:fldChar w:fldCharType="begin"/>
      </w:r>
      <w:r>
        <w:rPr>
          <w:rFonts w:hint="eastAsia" w:ascii="仿宋_GB2312" w:hAnsi="仿宋_GB2312" w:eastAsia="仿宋_GB2312" w:cs="仿宋_GB2312"/>
          <w:b/>
          <w:sz w:val="32"/>
          <w:szCs w:val="32"/>
        </w:rPr>
        <w:instrText xml:space="preserve">TC </w:instrText>
      </w:r>
      <w:bookmarkStart w:id="2" w:name="_Toc34954858"/>
      <w:r>
        <w:rPr>
          <w:rFonts w:hint="eastAsia" w:ascii="仿宋_GB2312" w:hAnsi="仿宋_GB2312" w:eastAsia="仿宋_GB2312" w:cs="仿宋_GB2312"/>
          <w:b/>
          <w:sz w:val="32"/>
          <w:szCs w:val="32"/>
        </w:rPr>
        <w:instrText xml:space="preserve">1、工役制人员补助资金绩效目标表</w:instrText>
      </w:r>
      <w:bookmarkEnd w:id="2"/>
      <w:r>
        <w:rPr>
          <w:rFonts w:hint="eastAsia" w:ascii="仿宋_GB2312" w:hAnsi="仿宋_GB2312" w:eastAsia="仿宋_GB2312" w:cs="仿宋_GB2312"/>
          <w:b/>
          <w:sz w:val="32"/>
          <w:szCs w:val="32"/>
        </w:rPr>
        <w:instrText xml:space="preserve"> \f C \l 1</w:instrText>
      </w:r>
      <w:r>
        <w:rPr>
          <w:rFonts w:hint="eastAsia" w:ascii="仿宋_GB2312" w:hAnsi="仿宋_GB2312" w:eastAsia="仿宋_GB2312" w:cs="仿宋_GB2312"/>
          <w:b/>
          <w:sz w:val="32"/>
          <w:szCs w:val="32"/>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无极县交通运输局</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348-0502-JXN-CMNT</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妥善解决国防公路建设工役制人员生活困难的问题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、对我县</w:t>
            </w:r>
            <w:r>
              <w:rPr>
                <w:rFonts w:ascii="方正书宋_GBK" w:eastAsia="方正书宋_GBK"/>
              </w:rPr>
              <w:t>1965-1966</w:t>
            </w:r>
            <w:r>
              <w:rPr>
                <w:rFonts w:hint="eastAsia" w:ascii="方正书宋_GBK" w:eastAsia="方正书宋_GBK"/>
              </w:rPr>
              <w:t>年国防公路建设工役制人员进行专项补贴</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、对我县</w:t>
            </w:r>
            <w:r>
              <w:rPr>
                <w:rFonts w:ascii="方正书宋_GBK" w:eastAsia="方正书宋_GBK"/>
              </w:rPr>
              <w:t>1965-1966</w:t>
            </w:r>
            <w:r>
              <w:rPr>
                <w:rFonts w:hint="eastAsia" w:ascii="方正书宋_GBK" w:eastAsia="方正书宋_GBK"/>
              </w:rPr>
              <w:t>年国防公路建设工役制人员遗属进行专项补贴</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工役制人员补贴</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工役制人员补贴发放到位</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按要求发放</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工役制人员遗属补贴</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工役制人员遗属补贴发放到位</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按要求发放</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工役制人员医疗补贴</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医疗补贴发放到位</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按要求发放</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工役制人员补贴每月</w:t>
            </w:r>
            <w:r>
              <w:rPr>
                <w:rFonts w:ascii="方正书宋_GBK" w:eastAsia="方正书宋_GBK"/>
              </w:rPr>
              <w:t>600</w:t>
            </w:r>
            <w:r>
              <w:rPr>
                <w:rFonts w:hint="eastAsia" w:ascii="方正书宋_GBK" w:eastAsia="方正书宋_GBK"/>
              </w:rPr>
              <w:t>月</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及时发放工役制人员补贴每月</w:t>
            </w:r>
            <w:r>
              <w:rPr>
                <w:rFonts w:ascii="方正书宋_GBK" w:eastAsia="方正书宋_GBK"/>
              </w:rPr>
              <w:t>600</w:t>
            </w:r>
            <w:r>
              <w:rPr>
                <w:rFonts w:hint="eastAsia" w:ascii="方正书宋_GBK" w:eastAsia="方正书宋_GBK"/>
              </w:rPr>
              <w:t>月</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按要求发放</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工役制离世人员的遗属补贴</w:t>
            </w:r>
            <w:r>
              <w:rPr>
                <w:rFonts w:ascii="方正书宋_GBK" w:eastAsia="方正书宋_GBK"/>
              </w:rPr>
              <w:t>200</w:t>
            </w:r>
            <w:r>
              <w:rPr>
                <w:rFonts w:hint="eastAsia" w:ascii="方正书宋_GBK" w:eastAsia="方正书宋_GBK"/>
              </w:rPr>
              <w:t>元</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及时发放工役制离世人员的遗属</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按要求发放</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工役制医疗补贴</w:t>
            </w:r>
            <w:r>
              <w:rPr>
                <w:rFonts w:ascii="方正书宋_GBK" w:eastAsia="方正书宋_GBK"/>
              </w:rPr>
              <w:t>200</w:t>
            </w:r>
            <w:r>
              <w:rPr>
                <w:rFonts w:hint="eastAsia" w:ascii="方正书宋_GBK" w:eastAsia="方正书宋_GBK"/>
              </w:rPr>
              <w:t>元</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及时发放工役制医疗补贴</w:t>
            </w:r>
            <w:r>
              <w:rPr>
                <w:rFonts w:ascii="方正书宋_GBK" w:eastAsia="方正书宋_GBK"/>
              </w:rPr>
              <w:t>200</w:t>
            </w:r>
            <w:r>
              <w:rPr>
                <w:rFonts w:hint="eastAsia" w:ascii="方正书宋_GBK" w:eastAsia="方正书宋_GBK"/>
              </w:rPr>
              <w:t>元</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按要求发放</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工役制人员补贴按要求发放</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按要求发放</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工役制人员遗属补贴按要求发放</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按要求发放</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根据政策执行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工役制人员满意度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医疗补贴按要求发放</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按要求发放</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根据政策执行</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2、租赁费（公用）绩效目标表</w:t>
      </w:r>
      <w:r>
        <w:fldChar w:fldCharType="begin"/>
      </w:r>
      <w:r>
        <w:rPr>
          <w:rFonts w:hint="eastAsia" w:ascii="方正仿宋_GBK" w:eastAsia="方正仿宋_GBK"/>
          <w:b/>
          <w:sz w:val="28"/>
        </w:rPr>
        <w:instrText xml:space="preserve">TC </w:instrText>
      </w:r>
      <w:bookmarkStart w:id="3" w:name="_Toc34954859"/>
      <w:r>
        <w:rPr>
          <w:rFonts w:hint="eastAsia" w:ascii="方正仿宋_GBK" w:eastAsia="方正仿宋_GBK"/>
          <w:b/>
          <w:sz w:val="28"/>
        </w:rPr>
        <w:instrText xml:space="preserve">2、租赁费（公用）绩效目标表</w:instrText>
      </w:r>
      <w:bookmarkEnd w:id="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348002</w:t>
            </w:r>
            <w:r>
              <w:rPr>
                <w:rFonts w:hint="eastAsia" w:ascii="方正书宋_GBK" w:eastAsia="方正书宋_GBK"/>
                <w:b/>
              </w:rPr>
              <w:t>无极县交通运输局</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348-0502-JXN-GOXW</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租赁费（公用）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20.00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20.00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局机关租赁了办公用房</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、为了保障单位各项工作的顺利开展</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、职工办公场所的稳定</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局机关的办公场所</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局机关的办公场所的稳定</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办公场所的稳定</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单位各项工作的开展</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各项工作的顺利开展</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工作顺利开展</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及时开展工作</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工作及时性</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办公场所的稳定</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保证了办公场所的稳定</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办公场所的稳定</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各项工作的顺利开展</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及时满足了各项工作的顺利开展</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工作顺利开展</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确保完成各项工作任务</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便于各项工作任务的完成</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工作及时性</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职工有了固定的办公场所</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职工办公场所的稳定</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办公场所的稳定</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开展工作的顺利</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各项工作的顺利开展</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工作顺利开展</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便于工作的及时性</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及时开展工作</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工作及时性</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3、关于提前下达2020年成品油用于2020年治理超限超载资金绩效目标表</w:t>
      </w:r>
      <w:r>
        <w:fldChar w:fldCharType="begin"/>
      </w:r>
      <w:r>
        <w:rPr>
          <w:rFonts w:hint="eastAsia" w:ascii="方正仿宋_GBK" w:eastAsia="方正仿宋_GBK"/>
          <w:b/>
          <w:sz w:val="28"/>
        </w:rPr>
        <w:instrText xml:space="preserve">TC </w:instrText>
      </w:r>
      <w:bookmarkStart w:id="4" w:name="_Toc34954860"/>
      <w:r>
        <w:rPr>
          <w:rFonts w:hint="eastAsia" w:ascii="方正仿宋_GBK" w:eastAsia="方正仿宋_GBK"/>
          <w:b/>
          <w:sz w:val="28"/>
        </w:rPr>
        <w:instrText xml:space="preserve">3、关于提前下达2020年成品油用于2020年治理超限超载资金绩效目标表</w:instrText>
      </w:r>
      <w:bookmarkEnd w:id="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无极县交通运输综合执法大队</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348-0302-YSN-NYLK</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年成品油用于</w:t>
            </w:r>
            <w:r>
              <w:rPr>
                <w:rFonts w:ascii="方正书宋_GBK" w:eastAsia="方正书宋_GBK"/>
              </w:rPr>
              <w:t>2020</w:t>
            </w:r>
            <w:r>
              <w:rPr>
                <w:rFonts w:hint="eastAsia" w:ascii="方正书宋_GBK" w:eastAsia="方正书宋_GBK"/>
              </w:rPr>
              <w:t>年治理超限超载资金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40.00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40.00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冀交财函【</w:t>
            </w:r>
            <w:r>
              <w:rPr>
                <w:rFonts w:ascii="方正书宋_GBK" w:eastAsia="方正书宋_GBK"/>
              </w:rPr>
              <w:t>2019</w:t>
            </w:r>
            <w:r>
              <w:rPr>
                <w:rFonts w:hint="eastAsia" w:ascii="方正书宋_GBK" w:eastAsia="方正书宋_GBK"/>
              </w:rPr>
              <w:t>】</w:t>
            </w:r>
            <w:r>
              <w:rPr>
                <w:rFonts w:ascii="方正书宋_GBK" w:eastAsia="方正书宋_GBK"/>
              </w:rPr>
              <w:t>1864</w:t>
            </w:r>
            <w:r>
              <w:rPr>
                <w:rFonts w:hint="eastAsia" w:ascii="方正书宋_GBK" w:eastAsia="方正书宋_GBK"/>
              </w:rPr>
              <w:t>号），提前下达</w:t>
            </w:r>
            <w:r>
              <w:rPr>
                <w:rFonts w:ascii="方正书宋_GBK" w:eastAsia="方正书宋_GBK"/>
              </w:rPr>
              <w:t>2020</w:t>
            </w:r>
            <w:r>
              <w:rPr>
                <w:rFonts w:hint="eastAsia" w:ascii="方正书宋_GBK" w:eastAsia="方正书宋_GBK"/>
              </w:rPr>
              <w:t>年普通国省干线公路建设养护发展专项资金，提前下达</w:t>
            </w:r>
            <w:r>
              <w:rPr>
                <w:rFonts w:ascii="方正书宋_GBK" w:eastAsia="方正书宋_GBK"/>
              </w:rPr>
              <w:t>2019</w:t>
            </w:r>
            <w:r>
              <w:rPr>
                <w:rFonts w:hint="eastAsia" w:ascii="方正书宋_GBK" w:eastAsia="方正书宋_GBK"/>
              </w:rPr>
              <w:t>年成品油价格和税费改革转移支付资金</w:t>
            </w:r>
            <w:r>
              <w:rPr>
                <w:rFonts w:ascii="方正书宋_GBK" w:eastAsia="方正书宋_GBK"/>
              </w:rPr>
              <w:t>40</w:t>
            </w:r>
            <w:r>
              <w:rPr>
                <w:rFonts w:hint="eastAsia" w:ascii="方正书宋_GBK" w:eastAsia="方正书宋_GBK"/>
              </w:rPr>
              <w:t>万元</w:t>
            </w:r>
            <w:r>
              <w:rPr>
                <w:rFonts w:ascii="方正书宋_GBK" w:eastAsia="方正书宋_GBK"/>
              </w:rPr>
              <w:t>,</w:t>
            </w:r>
            <w:r>
              <w:rPr>
                <w:rFonts w:hint="eastAsia" w:ascii="方正书宋_GBK" w:eastAsia="方正书宋_GBK"/>
              </w:rPr>
              <w:t>用于超限超载车辆治理</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w:t>
            </w:r>
            <w:r>
              <w:rPr>
                <w:rFonts w:ascii="方正书宋_GBK" w:eastAsia="方正书宋_GBK"/>
              </w:rPr>
              <w:t>1</w:t>
            </w:r>
            <w:r>
              <w:rPr>
                <w:rFonts w:hint="eastAsia" w:ascii="方正书宋_GBK" w:eastAsia="方正书宋_GBK"/>
              </w:rPr>
              <w:t>、</w:t>
            </w:r>
            <w:r>
              <w:rPr>
                <w:rFonts w:ascii="方正书宋_GBK" w:eastAsia="方正书宋_GBK"/>
              </w:rPr>
              <w:tab/>
            </w:r>
            <w:r>
              <w:rPr>
                <w:rFonts w:hint="eastAsia" w:ascii="方正书宋_GBK" w:eastAsia="方正书宋_GBK"/>
              </w:rPr>
              <w:t>超限检测站正常运行</w:t>
            </w:r>
            <w:r>
              <w:rPr>
                <w:rFonts w:ascii="方正书宋_GBK" w:eastAsia="方正书宋_GBK"/>
              </w:rPr>
              <w:t xml:space="preserve">  2</w:t>
            </w:r>
            <w:r>
              <w:rPr>
                <w:rFonts w:hint="eastAsia" w:ascii="方正书宋_GBK" w:eastAsia="方正书宋_GBK"/>
              </w:rPr>
              <w:t>、从源头上治理超限超载车辆，切实维护车辆安全，为大家创造一个安全的出行环境。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w:t>
            </w:r>
            <w:r>
              <w:rPr>
                <w:rFonts w:ascii="方正书宋_GBK" w:eastAsia="方正书宋_GBK"/>
              </w:rPr>
              <w:t>2</w:t>
            </w:r>
            <w:r>
              <w:rPr>
                <w:rFonts w:hint="eastAsia" w:ascii="方正书宋_GBK" w:eastAsia="方正书宋_GBK"/>
              </w:rPr>
              <w:t>、</w:t>
            </w:r>
            <w:r>
              <w:rPr>
                <w:rFonts w:ascii="方正书宋_GBK" w:eastAsia="方正书宋_GBK"/>
              </w:rPr>
              <w:tab/>
            </w:r>
            <w:r>
              <w:rPr>
                <w:rFonts w:hint="eastAsia" w:ascii="方正书宋_GBK" w:eastAsia="方正书宋_GBK"/>
              </w:rPr>
              <w:t>超限检测站检测环境整洁各项检测设备运行良好检测车辆进出顺畅检测车辆能够顺利检测。</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超限检测站正常运行</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超限检测站正常运行维护车辆安全</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对每一辆车进行检测</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维护车辆安全</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车辆快速安全通过</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加快检测，使车辆安全通过</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从源头治理超限超载</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超限超载车辆治理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为大家创造安全出行环境</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使群众出行安全</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出行安全，减少超限超载</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切实从源头治理超限、超载，减少污染</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道路更安全，更洁净</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保护行人安全，减少超限超载。</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4、提前下达2020年节能减排补助资金用于2018年度节能与新能源公交车运营补助清算绩效目标表</w:t>
      </w:r>
      <w:r>
        <w:fldChar w:fldCharType="begin"/>
      </w:r>
      <w:r>
        <w:rPr>
          <w:rFonts w:hint="eastAsia" w:ascii="方正仿宋_GBK" w:eastAsia="方正仿宋_GBK"/>
          <w:b/>
          <w:sz w:val="28"/>
        </w:rPr>
        <w:instrText xml:space="preserve">TC </w:instrText>
      </w:r>
      <w:bookmarkStart w:id="5" w:name="_Toc34954861"/>
      <w:r>
        <w:rPr>
          <w:rFonts w:hint="eastAsia" w:ascii="方正仿宋_GBK" w:eastAsia="方正仿宋_GBK"/>
          <w:b/>
          <w:sz w:val="28"/>
        </w:rPr>
        <w:instrText xml:space="preserve">4、提前下达2020年节能减排补助资金用于2018年度节能与新能源公交车运营补助清算绩效目标表</w:instrText>
      </w:r>
      <w:bookmarkEnd w:id="5"/>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348003</w:t>
            </w:r>
            <w:r>
              <w:rPr>
                <w:rFonts w:hint="eastAsia" w:ascii="方正书宋_GBK" w:eastAsia="方正书宋_GBK"/>
                <w:b/>
              </w:rPr>
              <w:t>无极县交通运输综合执法大队</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348-0302-YSN-T56E</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2020</w:t>
            </w:r>
            <w:r>
              <w:rPr>
                <w:rFonts w:hint="eastAsia" w:ascii="方正书宋_GBK" w:eastAsia="方正书宋_GBK"/>
              </w:rPr>
              <w:t>年节能减排补助资金用于</w:t>
            </w:r>
            <w:r>
              <w:rPr>
                <w:rFonts w:ascii="方正书宋_GBK" w:eastAsia="方正书宋_GBK"/>
              </w:rPr>
              <w:t>2018</w:t>
            </w:r>
            <w:r>
              <w:rPr>
                <w:rFonts w:hint="eastAsia" w:ascii="方正书宋_GBK" w:eastAsia="方正书宋_GBK"/>
              </w:rPr>
              <w:t>年度节能与新能源公交车运营补助清算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396.00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396.00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关于下达</w:t>
            </w:r>
            <w:r>
              <w:rPr>
                <w:rFonts w:ascii="方正书宋_GBK" w:eastAsia="方正书宋_GBK"/>
              </w:rPr>
              <w:t>2018</w:t>
            </w:r>
            <w:r>
              <w:rPr>
                <w:rFonts w:hint="eastAsia" w:ascii="方正书宋_GBK" w:eastAsia="方正书宋_GBK"/>
              </w:rPr>
              <w:t>年节能减排补助资金</w:t>
            </w:r>
            <w:r>
              <w:rPr>
                <w:rFonts w:ascii="方正书宋_GBK" w:eastAsia="方正书宋_GBK"/>
              </w:rPr>
              <w:t>(</w:t>
            </w:r>
            <w:r>
              <w:rPr>
                <w:rFonts w:hint="eastAsia" w:ascii="方正书宋_GBK" w:eastAsia="方正书宋_GBK"/>
              </w:rPr>
              <w:t>节能与新能源公交车运营补助</w:t>
            </w:r>
            <w:r>
              <w:rPr>
                <w:rFonts w:ascii="方正书宋_GBK" w:eastAsia="方正书宋_GBK"/>
              </w:rPr>
              <w:t>)</w:t>
            </w:r>
            <w:r>
              <w:rPr>
                <w:rFonts w:hint="eastAsia" w:ascii="方正书宋_GBK" w:eastAsia="方正书宋_GBK"/>
              </w:rPr>
              <w:t>的通知，节能减排补助资金用于</w:t>
            </w:r>
            <w:r>
              <w:rPr>
                <w:rFonts w:ascii="方正书宋_GBK" w:eastAsia="方正书宋_GBK"/>
              </w:rPr>
              <w:t>2018</w:t>
            </w:r>
            <w:r>
              <w:rPr>
                <w:rFonts w:hint="eastAsia" w:ascii="方正书宋_GBK" w:eastAsia="方正书宋_GBK"/>
              </w:rPr>
              <w:t>年度节能与新能公交车运营补助资金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、杜绝燃油车上路；鼓励公交公司加大能与车投入，促进公交行业节能减排，为大气污染防治</w:t>
            </w:r>
            <w:r>
              <w:rPr>
                <w:rFonts w:hint="eastAsia" w:ascii="方正书宋_GBK" w:eastAsia="方正书宋_GBK"/>
                <w:lang w:eastAsia="zh-CN"/>
              </w:rPr>
              <w:t>作出贡献</w:t>
            </w:r>
            <w:r>
              <w:rPr>
                <w:rFonts w:hint="eastAsia"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、新能源公交车出行便利，公众节能减排意识提升公众出行体验改善</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申请运营补贴节能与新能源公交车产品符合国家相关标准比例</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100100%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资金拨付进度</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按照年度计划</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noWrap/>
            <w:vAlign w:val="center"/>
          </w:tcPr>
          <w:p>
            <w:pPr>
              <w:spacing w:line="300" w:lineRule="exact"/>
              <w:jc w:val="left"/>
              <w:rPr>
                <w:rFonts w:ascii="方正书宋_GBK" w:eastAsia="方正书宋_GBK"/>
              </w:rPr>
            </w:pP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公共交通节能减排效果</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有所提升</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运输企业满意度</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r>
              <w:rPr>
                <w:rFonts w:hint="eastAsia" w:ascii="方正书宋_GBK" w:eastAsia="方正书宋_GBK"/>
              </w:rPr>
              <w:t>大于等于</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文件规定</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5、关于提前下达2020年农村公路建设养护发展专项资金的通知绩效目标表</w:t>
      </w:r>
      <w:r>
        <w:fldChar w:fldCharType="begin"/>
      </w:r>
      <w:r>
        <w:rPr>
          <w:rFonts w:hint="eastAsia" w:ascii="方正仿宋_GBK" w:eastAsia="方正仿宋_GBK"/>
          <w:b/>
          <w:sz w:val="28"/>
        </w:rPr>
        <w:instrText xml:space="preserve">TC </w:instrText>
      </w:r>
      <w:bookmarkStart w:id="6" w:name="_Toc34954862"/>
      <w:r>
        <w:rPr>
          <w:rFonts w:hint="eastAsia" w:ascii="方正仿宋_GBK" w:eastAsia="方正仿宋_GBK"/>
          <w:b/>
          <w:sz w:val="28"/>
        </w:rPr>
        <w:instrText xml:space="preserve">5、关于提前下达2020年农村公路建设养护发展专项资金的通知绩效目标表</w:instrText>
      </w:r>
      <w:bookmarkEnd w:id="6"/>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348005</w:t>
            </w:r>
            <w:r>
              <w:rPr>
                <w:rFonts w:hint="eastAsia" w:ascii="方正书宋_GBK" w:eastAsia="方正书宋_GBK"/>
                <w:b/>
              </w:rPr>
              <w:t>无极县公路站</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348-0202-YBN-C23A</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年农村公路建设养护发展专项资金的通知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78.00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78.00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年完成</w:t>
            </w:r>
            <w:r>
              <w:rPr>
                <w:rFonts w:ascii="方正书宋_GBK" w:eastAsia="方正书宋_GBK"/>
              </w:rPr>
              <w:t>1</w:t>
            </w:r>
            <w:r>
              <w:rPr>
                <w:rFonts w:hint="eastAsia" w:ascii="方正书宋_GBK" w:eastAsia="方正书宋_GBK"/>
              </w:rPr>
              <w:t>、预防性养护：新建排水沟、边沟、泄水槽；路面灌缝、防水、抗老化表面处治；桥梁护栏的更新；桥梁病害的维修。</w:t>
            </w:r>
            <w:r>
              <w:rPr>
                <w:rFonts w:ascii="方正书宋_GBK" w:eastAsia="方正书宋_GBK"/>
              </w:rPr>
              <w:t>2</w:t>
            </w:r>
            <w:r>
              <w:rPr>
                <w:rFonts w:hint="eastAsia" w:ascii="方正书宋_GBK" w:eastAsia="方正书宋_GBK"/>
              </w:rPr>
              <w:t>、修复性养护：路面挖补、新建和调整标志标线和减速标志。</w:t>
            </w:r>
            <w:r>
              <w:rPr>
                <w:rFonts w:ascii="方正书宋_GBK" w:eastAsia="方正书宋_GBK"/>
              </w:rPr>
              <w:t>3</w:t>
            </w:r>
            <w:r>
              <w:rPr>
                <w:rFonts w:hint="eastAsia" w:ascii="方正书宋_GBK" w:eastAsia="方正书宋_GBK"/>
              </w:rPr>
              <w:t>应急养护：障碍物清理损毁抢修等。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、完成养护工程项目，提高农村公路养护质量。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、保障农村公路畅洁绿美。</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公路绿化美化</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实施于羊曲线、果王线、铁九线公路两侧绿化美化</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公路整修工程</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路肩平整密实，边坡顺适</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公路安全防护工程</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实施于羊曲线、果王线、铁九线</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标志标牌齐全</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安置示警桩、公路指示牌、安全警示牌、标线施划</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公路路面平整顺畅</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路面平整度达</w:t>
            </w:r>
            <w:r>
              <w:rPr>
                <w:rFonts w:ascii="方正书宋_GBK" w:eastAsia="方正书宋_GBK"/>
              </w:rPr>
              <w:t>95%</w:t>
            </w:r>
            <w:r>
              <w:rPr>
                <w:rFonts w:hint="eastAsia" w:ascii="方正书宋_GBK" w:eastAsia="方正书宋_GBK"/>
              </w:rPr>
              <w:t>以上</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公路绿化美化达标</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公路绿化率达</w:t>
            </w:r>
            <w:r>
              <w:rPr>
                <w:rFonts w:ascii="方正书宋_GBK" w:eastAsia="方正书宋_GBK"/>
              </w:rPr>
              <w:t>80%</w:t>
            </w:r>
            <w:r>
              <w:rPr>
                <w:rFonts w:hint="eastAsia" w:ascii="方正书宋_GBK" w:eastAsia="方正书宋_GBK"/>
              </w:rPr>
              <w:t>以上</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90%</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90%</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90%</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6、关于提前下达2020年农村公路建设养护发展专项资金的通知绩效目标表</w:t>
      </w:r>
      <w:r>
        <w:fldChar w:fldCharType="begin"/>
      </w:r>
      <w:r>
        <w:rPr>
          <w:rFonts w:hint="eastAsia" w:ascii="方正仿宋_GBK" w:eastAsia="方正仿宋_GBK"/>
          <w:b/>
          <w:sz w:val="28"/>
        </w:rPr>
        <w:instrText xml:space="preserve">TC </w:instrText>
      </w:r>
      <w:bookmarkStart w:id="7" w:name="_Toc34954863"/>
      <w:r>
        <w:rPr>
          <w:rFonts w:hint="eastAsia" w:ascii="方正仿宋_GBK" w:eastAsia="方正仿宋_GBK"/>
          <w:b/>
          <w:sz w:val="28"/>
        </w:rPr>
        <w:instrText xml:space="preserve">6、关于提前下达2020年农村公路建设养护发展专项资金的通知绩效目标表</w:instrText>
      </w:r>
      <w:bookmarkEnd w:id="7"/>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348005</w:t>
            </w:r>
            <w:r>
              <w:rPr>
                <w:rFonts w:hint="eastAsia" w:ascii="方正书宋_GBK" w:eastAsia="方正书宋_GBK"/>
                <w:b/>
              </w:rPr>
              <w:t>无极县公路站</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348-0202-YBN-5KGT</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年农村公路建设养护发展专项资金的通知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51.00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51.00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年度完成县道大修工程及县级公路绿化管护工程、路面修复工程、设施的更新工程、道路标线的施化等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、完成养护工程建设项目，提高农村公路养护质量。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、保障农村公路畅洁绿美。</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公路整修项目</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路肩平整密实，边坡顺适</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公路安全防护工程</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实施于羊曲线、果王线、铁九线</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公路绿化美化</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实施于羊曲线、果王线、铁九线公路两侧绿化美化</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公路路面平整顺畅</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路面平整度达</w:t>
            </w:r>
            <w:r>
              <w:rPr>
                <w:rFonts w:ascii="方正书宋_GBK" w:eastAsia="方正书宋_GBK"/>
              </w:rPr>
              <w:t>95%</w:t>
            </w:r>
            <w:r>
              <w:rPr>
                <w:rFonts w:hint="eastAsia" w:ascii="方正书宋_GBK" w:eastAsia="方正书宋_GBK"/>
              </w:rPr>
              <w:t>以上</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标志标牌齐全</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安置示警桩、公路指示牌、安全警示牌、标线施划，确保安全畅通</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公路绿化美化达标</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公路绿化率达</w:t>
            </w:r>
            <w:r>
              <w:rPr>
                <w:rFonts w:ascii="方正书宋_GBK" w:eastAsia="方正书宋_GBK"/>
              </w:rPr>
              <w:t>80%</w:t>
            </w:r>
            <w:r>
              <w:rPr>
                <w:rFonts w:hint="eastAsia" w:ascii="方正书宋_GBK" w:eastAsia="方正书宋_GBK"/>
              </w:rPr>
              <w:t>以上</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85%</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90%</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75%</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jc w:val="left"/>
        <w:outlineLvl w:val="1"/>
        <w:rPr>
          <w:rFonts w:hAnsi="宋体"/>
          <w:b/>
          <w:sz w:val="28"/>
        </w:rPr>
      </w:pPr>
      <w:r>
        <w:rPr>
          <w:rFonts w:hint="eastAsia" w:ascii="方正仿宋_GBK" w:eastAsia="方正仿宋_GBK"/>
          <w:b/>
          <w:sz w:val="28"/>
        </w:rPr>
        <w:t>7、关于提前下达2020年中央对地方成品油税费改革转移支付绩效目标表</w:t>
      </w:r>
      <w:r>
        <w:fldChar w:fldCharType="begin"/>
      </w:r>
      <w:r>
        <w:rPr>
          <w:rFonts w:hint="eastAsia" w:ascii="方正仿宋_GBK" w:eastAsia="方正仿宋_GBK"/>
          <w:b/>
          <w:sz w:val="28"/>
        </w:rPr>
        <w:instrText xml:space="preserve">TC </w:instrText>
      </w:r>
      <w:bookmarkStart w:id="8" w:name="_Toc34954864"/>
      <w:r>
        <w:rPr>
          <w:rFonts w:hint="eastAsia" w:ascii="方正仿宋_GBK" w:eastAsia="方正仿宋_GBK"/>
          <w:b/>
          <w:sz w:val="28"/>
        </w:rPr>
        <w:instrText xml:space="preserve">7、关于提前下达2020年中央对地方成品油税费改革转移支付绩效目标表</w:instrText>
      </w:r>
      <w:bookmarkEnd w:id="8"/>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348005</w:t>
            </w:r>
            <w:r>
              <w:rPr>
                <w:rFonts w:hint="eastAsia" w:ascii="方正书宋_GBK" w:eastAsia="方正书宋_GBK"/>
                <w:b/>
              </w:rPr>
              <w:t>无极县公路站</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348-0201-JXN-TLG1</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关于提前下达</w:t>
            </w:r>
            <w:r>
              <w:rPr>
                <w:rFonts w:ascii="方正书宋_GBK" w:eastAsia="方正书宋_GBK"/>
              </w:rPr>
              <w:t>2020</w:t>
            </w:r>
            <w:r>
              <w:rPr>
                <w:rFonts w:hint="eastAsia" w:ascii="方正书宋_GBK" w:eastAsia="方正书宋_GBK"/>
              </w:rPr>
              <w:t>年中央对地方成品油税费改革转移支付</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110.00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110.00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主要用于公路日常养护、路面小修挖补、绿化管护、养护设施维护等。及时处置影响行车的油包、坑槽、沉陷、车辙等主要病害，保持路面行车舒适顺畅，积极开展预防性养护工作，对适宜路段路面裂缝进行灌缝处理。同时对损坏的公路沿线设施及时进行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、干线公路畅、洁、美，提高交通环境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、美化公路环境，方便群众出行。</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公路绿化树木管理</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定期对路树浇水、喷洒农药及路路圈红刷白</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路面日常清扫</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加强路面日常人工清扫保养，定期机械清扫，清理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路肩边坡整治</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对路肩及边坡进行整修治理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路树无病虫害，生长茂盛</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使路树成活率提高，减少病虫害，茂盛生长</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路面干净整洁</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保持路面无垃圾、无杂物、无障碍物</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路肓边坡平整，无高草</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保持路肩边坡顺适、无高草、无杂物</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方便群众出行</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8、农村公路日常养护资金绩效目标表</w:t>
      </w:r>
      <w:r>
        <w:fldChar w:fldCharType="begin"/>
      </w:r>
      <w:r>
        <w:rPr>
          <w:rFonts w:hint="eastAsia" w:ascii="方正仿宋_GBK" w:eastAsia="方正仿宋_GBK"/>
          <w:b/>
          <w:sz w:val="28"/>
        </w:rPr>
        <w:instrText xml:space="preserve">TC </w:instrText>
      </w:r>
      <w:bookmarkStart w:id="9" w:name="_Toc34954865"/>
      <w:r>
        <w:rPr>
          <w:rFonts w:hint="eastAsia" w:ascii="方正仿宋_GBK" w:eastAsia="方正仿宋_GBK"/>
          <w:b/>
          <w:sz w:val="28"/>
        </w:rPr>
        <w:instrText xml:space="preserve">8、农村公路日常养护资金绩效目标表</w:instrText>
      </w:r>
      <w:bookmarkEnd w:id="9"/>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348005</w:t>
            </w:r>
            <w:r>
              <w:rPr>
                <w:rFonts w:hint="eastAsia" w:ascii="方正书宋_GBK" w:eastAsia="方正书宋_GBK"/>
                <w:b/>
              </w:rPr>
              <w:t>无极县公路站</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348-0202-YBN-ZK0Z</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农村公路日常养护资金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281.34</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281.34</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整理路肩、疏通过沟、清除杂草、道路修补坑槽、修剪路树花草、绿化、清洗交通标志、修复更新百米桩、里程碑；道路标线划施、公示牌的设立；桥梁范围内的垃圾清运及维修维护。</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、确保农村公路整洁，干净、畅通、公路两侧路树无病虫害、提高路树成活率，使农村公路整洁绿化美化达标。</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、使农村公路整洁绿化美化达标</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路面日常清扫</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加强路面日常人工清扫保养，定期机械清扫，清理</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路肩边坡整治</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对路肩及边坡进行整修治理</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公路绿化树木管理</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定期对路树浇水、喷洒农药及路路圈红刷白</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路树无病虫害，生长茂盛</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使路树成活率提高，减少病虫害，茂盛生长</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路面干净整洁</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保持路面无垃圾、无杂物、无障碍物</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75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路肓边坡平整，无高草</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保持路肩边坡顺适、无高草、无杂物</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90%</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92%</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90%</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92</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9、农村公路养护工程资金绩效目标表</w:t>
      </w:r>
      <w:r>
        <w:fldChar w:fldCharType="begin"/>
      </w:r>
      <w:r>
        <w:rPr>
          <w:rFonts w:hint="eastAsia" w:ascii="方正仿宋_GBK" w:eastAsia="方正仿宋_GBK"/>
          <w:b/>
          <w:sz w:val="28"/>
        </w:rPr>
        <w:instrText xml:space="preserve">TC </w:instrText>
      </w:r>
      <w:bookmarkStart w:id="10" w:name="_Toc34954866"/>
      <w:r>
        <w:rPr>
          <w:rFonts w:hint="eastAsia" w:ascii="方正仿宋_GBK" w:eastAsia="方正仿宋_GBK"/>
          <w:b/>
          <w:sz w:val="28"/>
        </w:rPr>
        <w:instrText xml:space="preserve">9、农村公路养护工程资金绩效目标表</w:instrText>
      </w:r>
      <w:bookmarkEnd w:id="10"/>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348005</w:t>
            </w:r>
            <w:r>
              <w:rPr>
                <w:rFonts w:hint="eastAsia" w:ascii="方正书宋_GBK" w:eastAsia="方正书宋_GBK"/>
                <w:b/>
              </w:rPr>
              <w:t>无极县公路站</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348-0202-YBN-8M6T</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农村公路养护工程资金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179.00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179.00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ascii="方正书宋_GBK" w:eastAsia="方正书宋_GBK"/>
              </w:rPr>
              <w:t>2020</w:t>
            </w:r>
            <w:r>
              <w:rPr>
                <w:rFonts w:hint="eastAsia" w:ascii="方正书宋_GBK" w:eastAsia="方正书宋_GBK"/>
              </w:rPr>
              <w:t>年完成</w:t>
            </w:r>
            <w:r>
              <w:rPr>
                <w:rFonts w:ascii="方正书宋_GBK" w:eastAsia="方正书宋_GBK"/>
              </w:rPr>
              <w:t>1</w:t>
            </w:r>
            <w:r>
              <w:rPr>
                <w:rFonts w:hint="eastAsia" w:ascii="方正书宋_GBK" w:eastAsia="方正书宋_GBK"/>
              </w:rPr>
              <w:t>、预防性养护：新建排水沟、边沟、泄水槽；路面灌缝、防水、抗老化表面处治；桥梁护栏的更新；桥梁病害的维修。</w:t>
            </w:r>
            <w:r>
              <w:rPr>
                <w:rFonts w:ascii="方正书宋_GBK" w:eastAsia="方正书宋_GBK"/>
              </w:rPr>
              <w:t>2</w:t>
            </w:r>
            <w:r>
              <w:rPr>
                <w:rFonts w:hint="eastAsia" w:ascii="方正书宋_GBK" w:eastAsia="方正书宋_GBK"/>
              </w:rPr>
              <w:t>、修复性养护：路面挖补、新建和调整标志标线和减速标志。</w:t>
            </w:r>
            <w:r>
              <w:rPr>
                <w:rFonts w:ascii="方正书宋_GBK" w:eastAsia="方正书宋_GBK"/>
              </w:rPr>
              <w:t>3</w:t>
            </w:r>
            <w:r>
              <w:rPr>
                <w:rFonts w:hint="eastAsia" w:ascii="方正书宋_GBK" w:eastAsia="方正书宋_GBK"/>
              </w:rPr>
              <w:t>应急养护：障碍物清理损毁抢修等。</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20.00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90.00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、完成养护工程项目，提高农村公路养护质量。</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、保障农村公路畅洁绿美。</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公路绿化美化</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实施于羊曲线、果王线、铁九线公路两侧绿化美化</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公路整修工程</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路肩平整密实，边坡顺适</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公路安全防护工程</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实施于羊曲线、果王线、铁九线</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标志标牌齐全</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安置示警桩、公路指示牌、安全警示牌、标线施划</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公路路面平整顺畅</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路面平整度达</w:t>
            </w:r>
            <w:r>
              <w:rPr>
                <w:rFonts w:ascii="方正书宋_GBK" w:eastAsia="方正书宋_GBK"/>
              </w:rPr>
              <w:t>95%</w:t>
            </w:r>
            <w:r>
              <w:rPr>
                <w:rFonts w:hint="eastAsia" w:ascii="方正书宋_GBK" w:eastAsia="方正书宋_GBK"/>
              </w:rPr>
              <w:t>以上</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公路绿化美化达标</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公路绿化率达</w:t>
            </w:r>
            <w:r>
              <w:rPr>
                <w:rFonts w:ascii="方正书宋_GBK" w:eastAsia="方正书宋_GBK"/>
              </w:rPr>
              <w:t>80%</w:t>
            </w:r>
            <w:r>
              <w:rPr>
                <w:rFonts w:hint="eastAsia" w:ascii="方正书宋_GBK" w:eastAsia="方正书宋_GBK"/>
              </w:rPr>
              <w:t>以上</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农村公路养护技术规范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90%</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85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90%</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90</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群众满意数量占总数的</w:t>
            </w:r>
            <w:r>
              <w:rPr>
                <w:rFonts w:ascii="方正书宋_GBK" w:eastAsia="方正书宋_GBK"/>
              </w:rPr>
              <w:t>90%</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w:t>
            </w:r>
            <w:r>
              <w:rPr>
                <w:rFonts w:ascii="方正书宋_GBK" w:eastAsia="方正书宋_GBK"/>
              </w:rPr>
              <w:t>95</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群众满意度调查</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10、提前下达2019年中央成品油价格和税费改革转移支付（国省干线养护经费）绩效目标表</w:t>
      </w:r>
      <w:r>
        <w:fldChar w:fldCharType="begin"/>
      </w:r>
      <w:r>
        <w:rPr>
          <w:rFonts w:hint="eastAsia" w:ascii="方正仿宋_GBK" w:eastAsia="方正仿宋_GBK"/>
          <w:b/>
          <w:sz w:val="28"/>
        </w:rPr>
        <w:instrText xml:space="preserve">TC </w:instrText>
      </w:r>
      <w:bookmarkStart w:id="11" w:name="_Toc34954867"/>
      <w:r>
        <w:rPr>
          <w:rFonts w:hint="eastAsia" w:ascii="方正仿宋_GBK" w:eastAsia="方正仿宋_GBK"/>
          <w:b/>
          <w:sz w:val="28"/>
        </w:rPr>
        <w:instrText xml:space="preserve">10、提前下达2019年中央成品油价格和税费改革转移支付（国省干线养护经费）绩效目标表</w:instrText>
      </w:r>
      <w:bookmarkEnd w:id="11"/>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348005</w:t>
            </w:r>
            <w:r>
              <w:rPr>
                <w:rFonts w:hint="eastAsia" w:ascii="方正书宋_GBK" w:eastAsia="方正书宋_GBK"/>
                <w:b/>
              </w:rPr>
              <w:t>无极县公路站</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348-0201-JXN-48BV</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提前下达</w:t>
            </w:r>
            <w:r>
              <w:rPr>
                <w:rFonts w:ascii="方正书宋_GBK" w:eastAsia="方正书宋_GBK"/>
              </w:rPr>
              <w:t>2019</w:t>
            </w:r>
            <w:r>
              <w:rPr>
                <w:rFonts w:hint="eastAsia" w:ascii="方正书宋_GBK" w:eastAsia="方正书宋_GBK"/>
              </w:rPr>
              <w:t>年中央成品油价格和税费改革转移支付（国省干线养护经费）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446.00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446.00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主要用于公路日常养护、路面小修挖补、绿化管护、养护设施维护等。及时处置影响行车的油包、坑槽、沉陷、车辙等主要病害，保持路面行车舒适顺畅，积极开展预防性养护工作，对适宜路段路面裂缝进行灌缝处理。同时对损坏的公路沿线设施及时进行维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、干线公路畅、洁、美，美化交通环境。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、美化公路环境、方便群众出行。</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公路绿化树木管理</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定期对路树浇水、喷洒农药及路路圈红刷白</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路面日常清扫</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加强路面日常人工清扫保养，定期机械清扫，清理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路肩边坡整治</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对路肩及边坡进行整修治理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路树无病虫害，生长茂盛</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使路树成活率提高，减少病虫害，茂盛生长</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路面干净整洁</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保持路面无垃圾、无杂物、无障碍物</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可持续影响指标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路肓边坡平整，无高草</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保持路肩边坡顺适、无高草、无杂物</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方便群众出行</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11、无极县国省干线等公路洗扫保洁洒水降尘购买服务绩效目标表</w:t>
      </w:r>
      <w:r>
        <w:fldChar w:fldCharType="begin"/>
      </w:r>
      <w:r>
        <w:rPr>
          <w:rFonts w:hint="eastAsia" w:ascii="方正仿宋_GBK" w:eastAsia="方正仿宋_GBK"/>
          <w:b/>
          <w:sz w:val="28"/>
        </w:rPr>
        <w:instrText xml:space="preserve">TC </w:instrText>
      </w:r>
      <w:bookmarkStart w:id="12" w:name="_Toc34954868"/>
      <w:r>
        <w:rPr>
          <w:rFonts w:hint="eastAsia" w:ascii="方正仿宋_GBK" w:eastAsia="方正仿宋_GBK"/>
          <w:b/>
          <w:sz w:val="28"/>
        </w:rPr>
        <w:instrText xml:space="preserve">11、无极县国省干线等公路洗扫保洁洒水降尘购买服务绩效目标表</w:instrText>
      </w:r>
      <w:bookmarkEnd w:id="12"/>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348005</w:t>
            </w:r>
            <w:r>
              <w:rPr>
                <w:rFonts w:hint="eastAsia" w:ascii="方正书宋_GBK" w:eastAsia="方正书宋_GBK"/>
                <w:b/>
              </w:rPr>
              <w:t>无极县公路站</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348-0201-JXN-IF7C</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无极县国省干线等公路洗扫保洁洒水降尘购买服务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1349.18</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1349.18</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我县国省干线等公路洗扫、保洁、洒水、降尘等政府购买服务。</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、美化公路环境。</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、方便群众出行</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数量指标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公路绿化树木管理</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定期对路树浇水、喷洒农药及路路圈红刷白</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路面日常清扫</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加强路面日常人工清扫保养，定期机械清扫，清理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质量指标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路肩边坡整治</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对路肩及边坡进行整修治理</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经济效益指标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路树无病虫害，生长茂盛</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使路树成活率提高，减少病虫害，茂盛生长</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路面干净整洁</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保持路面无垃圾、无杂物、无障碍物</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生态效益指标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路肓边坡平整，无高草</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保持路肩边坡顺适、无高草、无杂物</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依据养护管理办法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群众满意度</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方便群众出行</w:t>
            </w:r>
          </w:p>
        </w:tc>
        <w:tc>
          <w:tcPr>
            <w:tcW w:w="1276" w:type="dxa"/>
            <w:shd w:val="clear" w:color="auto" w:fill="auto"/>
            <w:noWrap/>
            <w:vAlign w:val="center"/>
          </w:tcPr>
          <w:p>
            <w:pPr>
              <w:spacing w:line="300" w:lineRule="exact"/>
              <w:jc w:val="left"/>
              <w:rPr>
                <w:rFonts w:ascii="方正书宋_GBK" w:eastAsia="方正书宋_GBK"/>
              </w:rPr>
            </w:pPr>
          </w:p>
        </w:tc>
        <w:tc>
          <w:tcPr>
            <w:tcW w:w="1701" w:type="dxa"/>
            <w:shd w:val="clear" w:color="auto" w:fill="auto"/>
            <w:noWrap/>
            <w:vAlign w:val="center"/>
          </w:tcPr>
          <w:p>
            <w:pPr>
              <w:spacing w:line="300" w:lineRule="exact"/>
              <w:jc w:val="left"/>
              <w:rPr>
                <w:rFonts w:ascii="方正书宋_GBK" w:eastAsia="方正书宋_GBK"/>
              </w:rPr>
            </w:pP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12、租赁费（公用）绩效目标表</w:t>
      </w:r>
      <w:r>
        <w:fldChar w:fldCharType="begin"/>
      </w:r>
      <w:r>
        <w:rPr>
          <w:rFonts w:hint="eastAsia" w:ascii="方正仿宋_GBK" w:eastAsia="方正仿宋_GBK"/>
          <w:b/>
          <w:sz w:val="28"/>
        </w:rPr>
        <w:instrText xml:space="preserve">TC </w:instrText>
      </w:r>
      <w:bookmarkStart w:id="13" w:name="_Toc34954869"/>
      <w:r>
        <w:rPr>
          <w:rFonts w:hint="eastAsia" w:ascii="方正仿宋_GBK" w:eastAsia="方正仿宋_GBK"/>
          <w:b/>
          <w:sz w:val="28"/>
        </w:rPr>
        <w:instrText xml:space="preserve">12、租赁费（公用）绩效目标表</w:instrText>
      </w:r>
      <w:bookmarkEnd w:id="13"/>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348005</w:t>
            </w:r>
            <w:r>
              <w:rPr>
                <w:rFonts w:hint="eastAsia" w:ascii="方正书宋_GBK" w:eastAsia="方正书宋_GBK"/>
                <w:b/>
              </w:rPr>
              <w:t>无极县公路站</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348-0202-YBN-RQ95</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租赁费（公用）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为保障单位各项工作的顺利开展</w:t>
            </w:r>
            <w:r>
              <w:rPr>
                <w:rFonts w:ascii="方正书宋_GBK" w:eastAsia="方正书宋_GBK"/>
              </w:rPr>
              <w:t>,</w:t>
            </w:r>
            <w:r>
              <w:rPr>
                <w:rFonts w:hint="eastAsia" w:ascii="方正书宋_GBK" w:eastAsia="方正书宋_GBK"/>
              </w:rPr>
              <w:t>职工办公场所的稳定</w:t>
            </w:r>
            <w:r>
              <w:rPr>
                <w:rFonts w:ascii="方正书宋_GBK" w:eastAsia="方正书宋_GBK"/>
              </w:rPr>
              <w:t>,</w:t>
            </w:r>
            <w:r>
              <w:rPr>
                <w:rFonts w:hint="eastAsia" w:ascii="方正书宋_GBK" w:eastAsia="方正书宋_GBK"/>
              </w:rPr>
              <w:t>单位租赁了的办公用房</w:t>
            </w:r>
            <w:r>
              <w:rPr>
                <w:rFonts w:ascii="方正书宋_GBK" w:eastAsia="方正书宋_GBK"/>
              </w:rPr>
              <w:t>,</w:t>
            </w:r>
            <w:r>
              <w:rPr>
                <w:rFonts w:hint="eastAsia" w:ascii="方正书宋_GBK" w:eastAsia="方正书宋_GBK"/>
              </w:rPr>
              <w:t>用于租赁房屋的费用</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、为了保障单位各项工作的顺利开展</w:t>
            </w:r>
            <w:r>
              <w:rPr>
                <w:rFonts w:ascii="方正书宋_GBK" w:eastAsia="方正书宋_GBK"/>
              </w:rPr>
              <w:t>,</w:t>
            </w:r>
            <w:r>
              <w:rPr>
                <w:rFonts w:hint="eastAsia" w:ascii="方正书宋_GBK" w:eastAsia="方正书宋_GBK"/>
              </w:rPr>
              <w:t>职工办公场所的稳定</w:t>
            </w:r>
            <w:r>
              <w:rPr>
                <w:rFonts w:ascii="方正书宋_GBK" w:eastAsia="方正书宋_GBK"/>
              </w:rPr>
              <w:t>.</w:t>
            </w:r>
          </w:p>
          <w:p>
            <w:pPr>
              <w:spacing w:line="300" w:lineRule="exact"/>
              <w:jc w:val="left"/>
              <w:rPr>
                <w:rFonts w:ascii="方正书宋_GBK" w:eastAsia="方正书宋_GBK"/>
              </w:rPr>
            </w:pPr>
            <w:r>
              <w:rPr>
                <w:rFonts w:hint="eastAsia" w:ascii="方正书宋_GBK" w:eastAsia="方正书宋_GBK"/>
              </w:rPr>
              <w:t>为了保障单位各项工作的顺利开展</w:t>
            </w:r>
            <w:r>
              <w:rPr>
                <w:rFonts w:ascii="方正书宋_GBK" w:eastAsia="方正书宋_GBK"/>
              </w:rPr>
              <w:t>,</w:t>
            </w:r>
            <w:r>
              <w:rPr>
                <w:rFonts w:hint="eastAsia" w:ascii="方正书宋_GBK" w:eastAsia="方正书宋_GBK"/>
              </w:rPr>
              <w:t>职工办公场所的稳定</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、为了保障单位正常办公</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局机关的办公场所</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局机关的办公场所的稳定</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办公场所的稳定</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单位各项工作的开展</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各项工作的顺利开展</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工作顺利开展</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及时开展工作</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工作及时性</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办公场所的稳定</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保证了办公场所的稳定</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办公场所的稳定</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各项工作的顺利开展</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及时满足了各项工作的顺利开展</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工作顺利开展</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确保完成各项工作任务</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便于各项工作任务的完成</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工作及时性</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职工有了固定的办公场所</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职工办公场所的稳定</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办公场所的稳定</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开展工作的顺利</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各项工作的顺利开展</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工作顺利开展</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便于工作的及时性</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及时开展工作</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工作及时性</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p>
      <w:pPr>
        <w:spacing w:line="300" w:lineRule="exact"/>
        <w:ind w:firstLine="420" w:firstLineChars="200"/>
        <w:jc w:val="left"/>
      </w:pPr>
    </w:p>
    <w:p>
      <w:pPr>
        <w:ind w:firstLine="562" w:firstLineChars="200"/>
        <w:jc w:val="left"/>
        <w:outlineLvl w:val="1"/>
        <w:rPr>
          <w:rFonts w:hAnsi="宋体"/>
          <w:b/>
          <w:sz w:val="28"/>
        </w:rPr>
      </w:pPr>
      <w:r>
        <w:rPr>
          <w:rFonts w:hint="eastAsia" w:ascii="方正仿宋_GBK" w:eastAsia="方正仿宋_GBK"/>
          <w:b/>
          <w:sz w:val="28"/>
        </w:rPr>
        <w:t>13、租赁费（公用）绩效目标表</w:t>
      </w:r>
      <w:r>
        <w:fldChar w:fldCharType="begin"/>
      </w:r>
      <w:r>
        <w:rPr>
          <w:rFonts w:hint="eastAsia" w:ascii="方正仿宋_GBK" w:eastAsia="方正仿宋_GBK"/>
          <w:b/>
          <w:sz w:val="28"/>
        </w:rPr>
        <w:instrText xml:space="preserve">TC </w:instrText>
      </w:r>
      <w:bookmarkStart w:id="14" w:name="_Toc34954870"/>
      <w:r>
        <w:rPr>
          <w:rFonts w:hint="eastAsia" w:ascii="方正仿宋_GBK" w:eastAsia="方正仿宋_GBK"/>
          <w:b/>
          <w:sz w:val="28"/>
        </w:rPr>
        <w:instrText xml:space="preserve">13、租赁费（公用）绩效目标表</w:instrText>
      </w:r>
      <w:bookmarkEnd w:id="14"/>
      <w:r>
        <w:rPr>
          <w:rFonts w:hint="eastAsia" w:ascii="方正仿宋_GBK" w:eastAsia="方正仿宋_GBK"/>
          <w:b/>
          <w:sz w:val="28"/>
        </w:rPr>
        <w:instrText xml:space="preserve"> \f C \l 1</w:instrText>
      </w:r>
      <w:r>
        <w:rPr>
          <w:rFonts w:ascii="方正仿宋_GBK" w:eastAsia="方正仿宋_GBK"/>
          <w:b/>
          <w:sz w:val="28"/>
        </w:rPr>
        <w:fldChar w:fldCharType="end"/>
      </w: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1587"/>
        <w:gridCol w:w="1304"/>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7711" w:type="dxa"/>
            <w:gridSpan w:val="6"/>
            <w:tcBorders>
              <w:top w:val="single" w:color="FFFFFF" w:sz="6" w:space="0"/>
              <w:left w:val="single" w:color="FFFFFF" w:sz="6" w:space="0"/>
              <w:right w:val="single" w:color="FFFFFF" w:sz="6" w:space="0"/>
            </w:tcBorders>
            <w:shd w:val="clear" w:color="auto" w:fill="auto"/>
            <w:noWrap/>
            <w:vAlign w:val="center"/>
          </w:tcPr>
          <w:p>
            <w:pPr>
              <w:spacing w:line="300" w:lineRule="exact"/>
              <w:jc w:val="left"/>
              <w:rPr>
                <w:rFonts w:ascii="方正书宋_GBK" w:eastAsia="方正书宋_GBK"/>
                <w:b/>
              </w:rPr>
            </w:pPr>
            <w:r>
              <w:rPr>
                <w:rFonts w:ascii="方正书宋_GBK" w:eastAsia="方正书宋_GBK"/>
                <w:b/>
              </w:rPr>
              <w:t>348007</w:t>
            </w:r>
            <w:r>
              <w:rPr>
                <w:rFonts w:hint="eastAsia" w:ascii="方正书宋_GBK" w:eastAsia="方正书宋_GBK"/>
                <w:b/>
              </w:rPr>
              <w:t>无极县客运中心</w:t>
            </w:r>
          </w:p>
        </w:tc>
        <w:tc>
          <w:tcPr>
            <w:tcW w:w="1701" w:type="dxa"/>
            <w:tcBorders>
              <w:top w:val="single" w:color="FFFFFF" w:sz="6" w:space="0"/>
              <w:left w:val="single" w:color="FFFFFF" w:sz="6" w:space="0"/>
              <w:right w:val="single" w:color="FFFFFF" w:sz="6" w:space="0"/>
            </w:tcBorders>
            <w:shd w:val="clear" w:color="auto" w:fill="auto"/>
            <w:noWrap/>
            <w:vAlign w:val="center"/>
          </w:tcPr>
          <w:p>
            <w:pPr>
              <w:spacing w:line="300" w:lineRule="exact"/>
              <w:jc w:val="right"/>
              <w:rPr>
                <w:rFonts w:ascii="方正书宋_GBK" w:eastAsia="方正书宋_GBK"/>
              </w:rPr>
            </w:pPr>
            <w:r>
              <w:rPr>
                <w:rFonts w:hint="eastAsia" w:ascii="方正书宋_GBK" w:eastAsia="方正书宋_GBK"/>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项目编码</w:t>
            </w:r>
          </w:p>
        </w:tc>
        <w:tc>
          <w:tcPr>
            <w:tcW w:w="2410" w:type="dxa"/>
            <w:gridSpan w:val="2"/>
            <w:shd w:val="clear" w:color="auto" w:fill="auto"/>
            <w:noWrap/>
            <w:vAlign w:val="center"/>
          </w:tcPr>
          <w:p>
            <w:pPr>
              <w:spacing w:line="300" w:lineRule="exact"/>
              <w:jc w:val="left"/>
              <w:rPr>
                <w:rFonts w:ascii="方正书宋_GBK" w:eastAsia="方正书宋_GBK"/>
              </w:rPr>
            </w:pPr>
            <w:r>
              <w:rPr>
                <w:rFonts w:ascii="方正书宋_GBK" w:eastAsia="方正书宋_GBK"/>
              </w:rPr>
              <w:t>348-0104-JXN-4EB5</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4281" w:type="dxa"/>
            <w:gridSpan w:val="3"/>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租赁费（公用）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预算规模及资金用途</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预算数</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18.00</w:t>
            </w:r>
          </w:p>
        </w:tc>
        <w:tc>
          <w:tcPr>
            <w:tcW w:w="1587"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其中：财政资金</w:t>
            </w:r>
          </w:p>
        </w:tc>
        <w:tc>
          <w:tcPr>
            <w:tcW w:w="1304" w:type="dxa"/>
            <w:shd w:val="clear" w:color="auto" w:fill="auto"/>
            <w:noWrap/>
            <w:vAlign w:val="center"/>
          </w:tcPr>
          <w:p>
            <w:pPr>
              <w:spacing w:line="300" w:lineRule="exact"/>
              <w:jc w:val="left"/>
              <w:rPr>
                <w:rFonts w:ascii="方正书宋_GBK" w:eastAsia="方正书宋_GBK"/>
              </w:rPr>
            </w:pPr>
            <w:r>
              <w:rPr>
                <w:rFonts w:ascii="方正书宋_GBK" w:eastAsia="方正书宋_GBK"/>
              </w:rPr>
              <w:t>18.00</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其他资金</w:t>
            </w:r>
          </w:p>
        </w:tc>
        <w:tc>
          <w:tcPr>
            <w:tcW w:w="1701" w:type="dxa"/>
            <w:shd w:val="clear" w:color="auto" w:fill="auto"/>
            <w:noWrap/>
            <w:vAlign w:val="center"/>
          </w:tcPr>
          <w:p>
            <w:pPr>
              <w:spacing w:line="300" w:lineRule="exact"/>
              <w:jc w:val="left"/>
              <w:rPr>
                <w:rFonts w:ascii="方正书宋_GBK" w:eastAsia="方正书宋_GBK"/>
              </w:rPr>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shd w:val="clear" w:color="auto" w:fill="auto"/>
            <w:noWrap/>
            <w:vAlign w:val="center"/>
          </w:tcPr>
          <w:p>
            <w:pPr>
              <w:spacing w:line="300" w:lineRule="exact"/>
              <w:jc w:val="left"/>
              <w:outlineLvl w:val="1"/>
            </w:pPr>
          </w:p>
        </w:tc>
        <w:tc>
          <w:tcPr>
            <w:tcW w:w="8278" w:type="dxa"/>
            <w:gridSpan w:val="6"/>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为保障单位各项工作的顺利开展</w:t>
            </w:r>
            <w:r>
              <w:rPr>
                <w:rFonts w:ascii="方正书宋_GBK" w:eastAsia="方正书宋_GBK"/>
              </w:rPr>
              <w:t>,</w:t>
            </w:r>
            <w:r>
              <w:rPr>
                <w:rFonts w:hint="eastAsia" w:ascii="方正书宋_GBK" w:eastAsia="方正书宋_GBK"/>
              </w:rPr>
              <w:t>职工办公场所的稳定</w:t>
            </w:r>
            <w:r>
              <w:rPr>
                <w:rFonts w:ascii="方正书宋_GBK" w:eastAsia="方正书宋_GBK"/>
              </w:rPr>
              <w:t>,</w:t>
            </w:r>
            <w:r>
              <w:rPr>
                <w:rFonts w:hint="eastAsia" w:ascii="方正书宋_GBK" w:eastAsia="方正书宋_GBK"/>
              </w:rPr>
              <w:t>单位租赁了的办公用房</w:t>
            </w:r>
            <w:r>
              <w:rPr>
                <w:rFonts w:ascii="方正书宋_GBK" w:eastAsia="方正书宋_GBK"/>
              </w:rPr>
              <w:t>,</w:t>
            </w:r>
            <w:r>
              <w:rPr>
                <w:rFonts w:hint="eastAsia" w:ascii="方正书宋_GBK" w:eastAsia="方正书宋_GBK"/>
              </w:rPr>
              <w:t>用于租赁房屋的费用</w:t>
            </w:r>
            <w:r>
              <w:rPr>
                <w:rFonts w:ascii="方正书宋_GBK" w:eastAsia="方正书宋_GBK"/>
              </w:rPr>
              <w:t>.</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资金支出计划（</w:t>
            </w:r>
            <w:r>
              <w:rPr>
                <w:rFonts w:ascii="方正书宋_GBK" w:eastAsia="方正书宋_GBK"/>
                <w:b/>
              </w:rPr>
              <w:t>%</w:t>
            </w:r>
            <w:r>
              <w:rPr>
                <w:rFonts w:hint="eastAsia" w:ascii="方正书宋_GBK" w:eastAsia="方正书宋_GBK"/>
                <w:b/>
              </w:rPr>
              <w:t>）</w:t>
            </w:r>
          </w:p>
        </w:tc>
        <w:tc>
          <w:tcPr>
            <w:tcW w:w="2410"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3</w:t>
            </w:r>
            <w:r>
              <w:rPr>
                <w:rFonts w:hint="eastAsia" w:ascii="方正书宋_GBK" w:eastAsia="方正书宋_GBK"/>
                <w:b/>
              </w:rPr>
              <w:t>月底</w:t>
            </w:r>
          </w:p>
        </w:tc>
        <w:tc>
          <w:tcPr>
            <w:tcW w:w="1587"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6</w:t>
            </w:r>
            <w:r>
              <w:rPr>
                <w:rFonts w:hint="eastAsia" w:ascii="方正书宋_GBK" w:eastAsia="方正书宋_GBK"/>
                <w:b/>
              </w:rPr>
              <w:t>月底</w:t>
            </w:r>
          </w:p>
        </w:tc>
        <w:tc>
          <w:tcPr>
            <w:tcW w:w="1304" w:type="dxa"/>
            <w:shd w:val="clear" w:color="auto" w:fill="auto"/>
            <w:noWrap/>
            <w:vAlign w:val="center"/>
          </w:tcPr>
          <w:p>
            <w:pPr>
              <w:spacing w:line="300" w:lineRule="exact"/>
              <w:jc w:val="center"/>
              <w:rPr>
                <w:rFonts w:ascii="方正书宋_GBK" w:eastAsia="方正书宋_GBK"/>
                <w:b/>
              </w:rPr>
            </w:pPr>
            <w:r>
              <w:rPr>
                <w:rFonts w:ascii="方正书宋_GBK" w:eastAsia="方正书宋_GBK"/>
                <w:b/>
              </w:rPr>
              <w:t>10</w:t>
            </w:r>
            <w:r>
              <w:rPr>
                <w:rFonts w:hint="eastAsia" w:ascii="方正书宋_GBK" w:eastAsia="方正书宋_GBK"/>
                <w:b/>
              </w:rPr>
              <w:t>月底</w:t>
            </w:r>
          </w:p>
        </w:tc>
        <w:tc>
          <w:tcPr>
            <w:tcW w:w="2977" w:type="dxa"/>
            <w:gridSpan w:val="2"/>
            <w:shd w:val="clear" w:color="auto" w:fill="auto"/>
            <w:noWrap/>
            <w:vAlign w:val="center"/>
          </w:tcPr>
          <w:p>
            <w:pPr>
              <w:spacing w:line="300" w:lineRule="exact"/>
              <w:jc w:val="center"/>
              <w:rPr>
                <w:rFonts w:ascii="方正书宋_GBK" w:eastAsia="方正书宋_GBK"/>
                <w:b/>
              </w:rPr>
            </w:pPr>
            <w:r>
              <w:rPr>
                <w:rFonts w:ascii="方正书宋_GBK" w:eastAsia="方正书宋_GBK"/>
                <w:b/>
              </w:rPr>
              <w:t>12</w:t>
            </w:r>
            <w:r>
              <w:rPr>
                <w:rFonts w:hint="eastAsia" w:ascii="方正书宋_GBK" w:eastAsia="方正书宋_GBK"/>
                <w:b/>
              </w:rPr>
              <w:t>月底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vMerge w:val="continue"/>
            <w:tcBorders>
              <w:bottom w:val="single" w:color="000000" w:sz="6" w:space="0"/>
            </w:tcBorders>
            <w:shd w:val="clear" w:color="auto" w:fill="auto"/>
            <w:noWrap/>
            <w:vAlign w:val="center"/>
          </w:tcPr>
          <w:p>
            <w:pPr>
              <w:spacing w:line="300" w:lineRule="exact"/>
              <w:jc w:val="left"/>
              <w:outlineLvl w:val="1"/>
            </w:pPr>
          </w:p>
        </w:tc>
        <w:tc>
          <w:tcPr>
            <w:tcW w:w="2410"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25.00</w:t>
            </w:r>
          </w:p>
        </w:tc>
        <w:tc>
          <w:tcPr>
            <w:tcW w:w="1587"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50.00</w:t>
            </w:r>
          </w:p>
        </w:tc>
        <w:tc>
          <w:tcPr>
            <w:tcW w:w="1304" w:type="dxa"/>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75.00</w:t>
            </w:r>
          </w:p>
        </w:tc>
        <w:tc>
          <w:tcPr>
            <w:tcW w:w="2977" w:type="dxa"/>
            <w:gridSpan w:val="2"/>
            <w:tcBorders>
              <w:bottom w:val="single" w:color="000000" w:sz="6" w:space="0"/>
            </w:tcBorders>
            <w:shd w:val="clear" w:color="auto" w:fill="auto"/>
            <w:noWrap/>
            <w:vAlign w:val="center"/>
          </w:tcPr>
          <w:p>
            <w:pPr>
              <w:spacing w:line="300" w:lineRule="exact"/>
              <w:jc w:val="center"/>
              <w:rPr>
                <w:rFonts w:ascii="方正书宋_GBK" w:eastAsia="方正书宋_GBK"/>
              </w:rPr>
            </w:pPr>
            <w:r>
              <w:rPr>
                <w:rFonts w:ascii="方正书宋_GBK" w:eastAsia="方正书宋_GBK"/>
              </w:rPr>
              <w:t>100.00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134" w:type="dxa"/>
            <w:tcBorders>
              <w:bottom w:val="nil"/>
            </w:tcBorders>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绩效目标</w:t>
            </w:r>
          </w:p>
        </w:tc>
        <w:tc>
          <w:tcPr>
            <w:tcW w:w="8278" w:type="dxa"/>
            <w:gridSpan w:val="6"/>
            <w:tcBorders>
              <w:bottom w:val="nil"/>
            </w:tcBorders>
            <w:shd w:val="clear" w:color="auto" w:fill="auto"/>
            <w:noWrap/>
            <w:vAlign w:val="center"/>
          </w:tcPr>
          <w:p>
            <w:pPr>
              <w:spacing w:line="300" w:lineRule="exact"/>
              <w:jc w:val="left"/>
              <w:rPr>
                <w:rFonts w:ascii="方正书宋_GBK" w:eastAsia="方正书宋_GBK"/>
              </w:rPr>
            </w:pPr>
            <w:r>
              <w:rPr>
                <w:rFonts w:ascii="方正书宋_GBK" w:eastAsia="方正书宋_GBK"/>
              </w:rPr>
              <w:t>1</w:t>
            </w:r>
            <w:r>
              <w:rPr>
                <w:rFonts w:hint="eastAsia" w:ascii="方正书宋_GBK" w:eastAsia="方正书宋_GBK"/>
              </w:rPr>
              <w:t>、为了保障单位各项工作的顺利开展</w:t>
            </w:r>
            <w:r>
              <w:rPr>
                <w:rFonts w:ascii="方正书宋_GBK" w:eastAsia="方正书宋_GBK"/>
              </w:rPr>
              <w:t>,</w:t>
            </w:r>
            <w:r>
              <w:rPr>
                <w:rFonts w:hint="eastAsia" w:ascii="方正书宋_GBK" w:eastAsia="方正书宋_GBK"/>
              </w:rPr>
              <w:t>职工办公场所的稳定</w:t>
            </w:r>
            <w:r>
              <w:rPr>
                <w:rFonts w:ascii="方正书宋_GBK" w:eastAsia="方正书宋_GBK"/>
              </w:rPr>
              <w:t>.</w:t>
            </w:r>
          </w:p>
          <w:p>
            <w:pPr>
              <w:spacing w:line="300" w:lineRule="exact"/>
              <w:jc w:val="left"/>
              <w:rPr>
                <w:rFonts w:ascii="方正书宋_GBK" w:eastAsia="方正书宋_GBK"/>
              </w:rPr>
            </w:pPr>
            <w:r>
              <w:rPr>
                <w:rFonts w:hint="eastAsia" w:ascii="方正书宋_GBK" w:eastAsia="方正书宋_GBK"/>
              </w:rPr>
              <w:t>为了保障单位各项工作的顺利开展</w:t>
            </w:r>
            <w:r>
              <w:rPr>
                <w:rFonts w:ascii="方正书宋_GBK" w:eastAsia="方正书宋_GBK"/>
              </w:rPr>
              <w:t>,</w:t>
            </w:r>
            <w:r>
              <w:rPr>
                <w:rFonts w:hint="eastAsia" w:ascii="方正书宋_GBK" w:eastAsia="方正书宋_GBK"/>
              </w:rPr>
              <w:t>职工办公场所的稳定</w:t>
            </w:r>
            <w:r>
              <w:rPr>
                <w:rFonts w:ascii="方正书宋_GBK" w:eastAsia="方正书宋_GBK"/>
              </w:rPr>
              <w:t>.</w:t>
            </w:r>
          </w:p>
          <w:p>
            <w:pPr>
              <w:spacing w:line="300" w:lineRule="exact"/>
              <w:jc w:val="left"/>
              <w:rPr>
                <w:rFonts w:ascii="方正书宋_GBK" w:eastAsia="方正书宋_GBK"/>
              </w:rPr>
            </w:pPr>
            <w:r>
              <w:rPr>
                <w:rFonts w:ascii="方正书宋_GBK" w:eastAsia="方正书宋_GBK"/>
              </w:rPr>
              <w:t>2</w:t>
            </w:r>
            <w:r>
              <w:rPr>
                <w:rFonts w:hint="eastAsia" w:ascii="方正书宋_GBK" w:eastAsia="方正书宋_GBK"/>
              </w:rPr>
              <w:t>、为了保障单位正常办公</w:t>
            </w:r>
          </w:p>
        </w:tc>
      </w:tr>
    </w:tbl>
    <w:p>
      <w:pPr>
        <w:spacing w:line="14" w:lineRule="exact"/>
        <w:ind w:firstLine="420" w:firstLineChars="200"/>
        <w:jc w:val="center"/>
        <w:rPr>
          <w:rFonts w:hAnsi="宋体"/>
        </w:rPr>
      </w:pPr>
    </w:p>
    <w:tbl>
      <w:tblPr>
        <w:tblStyle w:val="7"/>
        <w:tblW w:w="9412"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134"/>
        <w:gridCol w:w="1134"/>
        <w:gridCol w:w="1276"/>
        <w:gridCol w:w="2891"/>
        <w:gridCol w:w="1276"/>
        <w:gridCol w:w="170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97" w:hRule="atLeast"/>
          <w:tblHeader/>
          <w:jc w:val="center"/>
        </w:trPr>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一级指标</w:t>
            </w:r>
          </w:p>
        </w:tc>
        <w:tc>
          <w:tcPr>
            <w:tcW w:w="1134"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二级指标</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三级指标</w:t>
            </w:r>
          </w:p>
        </w:tc>
        <w:tc>
          <w:tcPr>
            <w:tcW w:w="289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绩效指标描述</w:t>
            </w:r>
          </w:p>
        </w:tc>
        <w:tc>
          <w:tcPr>
            <w:tcW w:w="1276"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w:t>
            </w:r>
          </w:p>
        </w:tc>
        <w:tc>
          <w:tcPr>
            <w:tcW w:w="1701" w:type="dxa"/>
            <w:shd w:val="clear" w:color="auto" w:fill="auto"/>
            <w:noWrap/>
            <w:vAlign w:val="center"/>
          </w:tcPr>
          <w:p>
            <w:pPr>
              <w:spacing w:line="300" w:lineRule="exact"/>
              <w:jc w:val="center"/>
              <w:rPr>
                <w:rFonts w:ascii="方正书宋_GBK" w:eastAsia="方正书宋_GBK"/>
                <w:b/>
              </w:rPr>
            </w:pPr>
            <w:r>
              <w:rPr>
                <w:rFonts w:hint="eastAsia" w:ascii="方正书宋_GBK" w:eastAsia="方正书宋_GBK"/>
                <w:b/>
              </w:rP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产出指标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局机关的办公场所</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局机关的办公场所的稳定</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办公场所的稳定</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单位各项工作的开展</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各项工作的顺利开展</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工作顺利开展</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时效指标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设备购置</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及时开展工作</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工作及时性</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效果指标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办公场所的稳定</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保证了办公场所的稳定</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办公场所的稳定</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各项工作的顺利开展</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及时满足了各项工作的顺利开展</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工作顺利开展</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社会效益指标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确保完成各项工作任务</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便于各项工作任务的完成</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工作及时性</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restart"/>
            <w:shd w:val="clear" w:color="auto" w:fill="auto"/>
            <w:noWrap/>
            <w:vAlign w:val="center"/>
          </w:tcPr>
          <w:p>
            <w:pPr>
              <w:spacing w:line="300" w:lineRule="exact"/>
              <w:jc w:val="center"/>
              <w:rPr>
                <w:rFonts w:ascii="方正书宋_GBK" w:eastAsia="方正书宋_GBK"/>
              </w:rPr>
            </w:pPr>
            <w:r>
              <w:rPr>
                <w:rFonts w:hint="eastAsia" w:ascii="方正书宋_GBK" w:eastAsia="方正书宋_GBK"/>
              </w:rPr>
              <w:t>满意度指标</w:t>
            </w: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职工有了固定的办公场所</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职工办公场所的稳定</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办公场所的稳定</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开展工作的顺利</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各项工作的顺利开展</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工作顺利开展</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rHeight w:val="369" w:hRule="atLeast"/>
          <w:jc w:val="center"/>
        </w:trPr>
        <w:tc>
          <w:tcPr>
            <w:tcW w:w="1134" w:type="dxa"/>
            <w:vMerge w:val="continue"/>
            <w:shd w:val="clear" w:color="auto" w:fill="auto"/>
            <w:noWrap/>
            <w:vAlign w:val="center"/>
          </w:tcPr>
          <w:p>
            <w:pPr>
              <w:spacing w:line="300" w:lineRule="exact"/>
              <w:jc w:val="center"/>
              <w:rPr>
                <w:rFonts w:ascii="方正书宋_GBK" w:eastAsia="方正书宋_GBK"/>
              </w:rPr>
            </w:pPr>
          </w:p>
        </w:tc>
        <w:tc>
          <w:tcPr>
            <w:tcW w:w="1134"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服务对象满意度指标</w:t>
            </w:r>
          </w:p>
        </w:tc>
        <w:tc>
          <w:tcPr>
            <w:tcW w:w="1276"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便于工作的及时性</w:t>
            </w:r>
          </w:p>
        </w:tc>
        <w:tc>
          <w:tcPr>
            <w:tcW w:w="289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及时开展工作</w:t>
            </w:r>
          </w:p>
        </w:tc>
        <w:tc>
          <w:tcPr>
            <w:tcW w:w="1276" w:type="dxa"/>
            <w:shd w:val="clear" w:color="auto" w:fill="auto"/>
            <w:noWrap/>
            <w:vAlign w:val="center"/>
          </w:tcPr>
          <w:p>
            <w:pPr>
              <w:spacing w:line="300" w:lineRule="exact"/>
              <w:jc w:val="left"/>
              <w:rPr>
                <w:rFonts w:ascii="方正书宋_GBK" w:eastAsia="方正书宋_GBK"/>
              </w:rPr>
            </w:pPr>
            <w:r>
              <w:rPr>
                <w:rFonts w:ascii="方正书宋_GBK" w:eastAsia="方正书宋_GBK"/>
              </w:rPr>
              <w:t>100</w:t>
            </w:r>
            <w:r>
              <w:rPr>
                <w:rFonts w:hint="eastAsia" w:ascii="方正书宋_GBK" w:eastAsia="方正书宋_GBK"/>
              </w:rPr>
              <w:t>工作及时性</w:t>
            </w:r>
          </w:p>
        </w:tc>
        <w:tc>
          <w:tcPr>
            <w:tcW w:w="1701" w:type="dxa"/>
            <w:shd w:val="clear" w:color="auto" w:fill="auto"/>
            <w:noWrap/>
            <w:vAlign w:val="center"/>
          </w:tcPr>
          <w:p>
            <w:pPr>
              <w:spacing w:line="300" w:lineRule="exact"/>
              <w:jc w:val="left"/>
              <w:rPr>
                <w:rFonts w:ascii="方正书宋_GBK" w:eastAsia="方正书宋_GBK"/>
              </w:rPr>
            </w:pPr>
            <w:r>
              <w:rPr>
                <w:rFonts w:hint="eastAsia" w:ascii="方正书宋_GBK" w:eastAsia="方正书宋_GBK"/>
              </w:rPr>
              <w:t>根据实际情况</w:t>
            </w:r>
          </w:p>
        </w:tc>
      </w:tr>
    </w:tbl>
    <w:p>
      <w:pPr>
        <w:spacing w:line="300" w:lineRule="exact"/>
        <w:ind w:firstLine="420" w:firstLineChars="200"/>
        <w:jc w:val="left"/>
        <w:sectPr>
          <w:pgSz w:w="11907" w:h="16839"/>
          <w:pgMar w:top="1984" w:right="1304" w:bottom="1134" w:left="1304" w:header="851" w:footer="992" w:gutter="0"/>
          <w:cols w:space="425" w:num="1"/>
          <w:docGrid w:type="lines" w:linePitch="312" w:charSpace="0"/>
        </w:sectPr>
      </w:pPr>
    </w:p>
    <w:bookmarkEnd w:id="0"/>
    <w:p>
      <w:pPr>
        <w:autoSpaceDE w:val="0"/>
        <w:autoSpaceDN w:val="0"/>
        <w:adjustRightInd w:val="0"/>
        <w:ind w:firstLine="640" w:firstLineChars="200"/>
        <w:jc w:val="left"/>
        <w:rPr>
          <w:rFonts w:ascii="黑体" w:hAnsi="黑体" w:eastAsia="黑体" w:cs="Times New Roman"/>
          <w:sz w:val="32"/>
          <w:szCs w:val="32"/>
        </w:rPr>
      </w:pPr>
      <w:r>
        <w:rPr>
          <w:rFonts w:hint="eastAsia" w:ascii="黑体" w:hAnsi="黑体" w:eastAsia="黑体" w:cs="Times New Roman"/>
          <w:sz w:val="32"/>
          <w:szCs w:val="32"/>
        </w:rPr>
        <w:t>六、政府采购预算情况</w:t>
      </w:r>
    </w:p>
    <w:p>
      <w:pPr>
        <w:autoSpaceDE w:val="0"/>
        <w:autoSpaceDN w:val="0"/>
        <w:adjustRightInd w:val="0"/>
        <w:ind w:firstLine="640" w:firstLineChars="200"/>
        <w:jc w:val="left"/>
        <w:rPr>
          <w:rFonts w:hint="eastAsia" w:ascii="仿宋_GB2312" w:eastAsia="仿宋_GB2312"/>
          <w:sz w:val="32"/>
          <w:szCs w:val="32"/>
          <w:lang w:eastAsia="zh-CN"/>
        </w:rPr>
      </w:pPr>
      <w:bookmarkStart w:id="15" w:name="_Toc471398468"/>
      <w:r>
        <w:rPr>
          <w:rFonts w:hint="eastAsia" w:ascii="仿宋_GB2312" w:eastAsia="仿宋_GB2312"/>
          <w:sz w:val="32"/>
          <w:szCs w:val="32"/>
        </w:rPr>
        <w:t>2020年我部门安排政府采购预算0万元。</w:t>
      </w:r>
      <w:r>
        <w:rPr>
          <w:rFonts w:hint="eastAsia" w:ascii="仿宋_GB2312" w:eastAsia="仿宋_GB2312"/>
          <w:sz w:val="32"/>
          <w:szCs w:val="32"/>
          <w:lang w:eastAsia="zh-CN"/>
        </w:rPr>
        <w:t>具体内容见下表。</w:t>
      </w:r>
    </w:p>
    <w:p>
      <w:pPr>
        <w:jc w:val="center"/>
        <w:rPr>
          <w:rFonts w:ascii="方正小标宋_GBK" w:eastAsia="方正小标宋_GBK"/>
          <w:sz w:val="32"/>
          <w:szCs w:val="32"/>
        </w:rPr>
      </w:pPr>
      <w:r>
        <w:rPr>
          <w:rFonts w:hint="eastAsia" w:ascii="仿宋_GB2312" w:eastAsia="仿宋_GB2312"/>
          <w:sz w:val="32"/>
          <w:szCs w:val="32"/>
        </w:rPr>
        <w:t xml:space="preserve">     </w:t>
      </w:r>
      <w:r>
        <w:rPr>
          <w:rFonts w:hint="eastAsia" w:ascii="方正小标宋_GBK" w:eastAsia="方正小标宋_GBK"/>
          <w:sz w:val="32"/>
          <w:szCs w:val="32"/>
        </w:rPr>
        <w:t>部门政府采购预算</w:t>
      </w:r>
    </w:p>
    <w:tbl>
      <w:tblPr>
        <w:tblStyle w:val="7"/>
        <w:tblW w:w="14113" w:type="dxa"/>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81"/>
        <w:gridCol w:w="1134"/>
        <w:gridCol w:w="1417"/>
        <w:gridCol w:w="1159"/>
        <w:gridCol w:w="844"/>
        <w:gridCol w:w="776"/>
        <w:gridCol w:w="1038"/>
        <w:gridCol w:w="1134"/>
        <w:gridCol w:w="1134"/>
        <w:gridCol w:w="1134"/>
        <w:gridCol w:w="1134"/>
        <w:gridCol w:w="1134"/>
        <w:gridCol w:w="79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649" w:type="dxa"/>
            <w:gridSpan w:val="7"/>
            <w:tcBorders>
              <w:top w:val="single" w:color="FFFFFF" w:sz="6" w:space="0"/>
              <w:left w:val="single" w:color="FFFFFF" w:sz="6" w:space="0"/>
              <w:right w:val="single" w:color="FFFFFF" w:sz="6" w:space="0"/>
            </w:tcBorders>
            <w:shd w:val="clear" w:color="auto" w:fill="auto"/>
            <w:vAlign w:val="center"/>
          </w:tcPr>
          <w:p>
            <w:pPr>
              <w:spacing w:line="300" w:lineRule="exact"/>
              <w:jc w:val="left"/>
              <w:rPr>
                <w:rFonts w:ascii="方正小标宋_GBK" w:eastAsia="方正小标宋_GBK"/>
                <w:sz w:val="24"/>
              </w:rPr>
            </w:pPr>
          </w:p>
        </w:tc>
        <w:tc>
          <w:tcPr>
            <w:tcW w:w="6464" w:type="dxa"/>
            <w:gridSpan w:val="6"/>
            <w:tcBorders>
              <w:top w:val="single" w:color="FFFFFF" w:sz="6" w:space="0"/>
              <w:left w:val="single" w:color="FFFFFF" w:sz="6" w:space="0"/>
              <w:right w:val="single" w:color="FFFFFF" w:sz="6" w:space="0"/>
            </w:tcBorders>
            <w:shd w:val="clear" w:color="auto" w:fill="auto"/>
            <w:vAlign w:val="center"/>
          </w:tcPr>
          <w:p>
            <w:pPr>
              <w:spacing w:line="300" w:lineRule="exact"/>
              <w:jc w:val="right"/>
              <w:rPr>
                <w:rFonts w:ascii="方正小标宋_GBK" w:eastAsia="方正小标宋_GBK"/>
                <w:sz w:val="24"/>
              </w:rPr>
            </w:pPr>
            <w:r>
              <w:rPr>
                <w:rFonts w:hint="eastAsia" w:ascii="方正小标宋_GBK" w:eastAsia="方正小标宋_GBK"/>
                <w:sz w:val="24"/>
              </w:rP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2415" w:type="dxa"/>
            <w:gridSpan w:val="2"/>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政府采购项目来源</w:t>
            </w:r>
          </w:p>
        </w:tc>
        <w:tc>
          <w:tcPr>
            <w:tcW w:w="1417"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采购物品名称</w:t>
            </w:r>
          </w:p>
        </w:tc>
        <w:tc>
          <w:tcPr>
            <w:tcW w:w="1159"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政府采购目录序号</w:t>
            </w:r>
          </w:p>
        </w:tc>
        <w:tc>
          <w:tcPr>
            <w:tcW w:w="844"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计量</w:t>
            </w:r>
            <w:r>
              <w:rPr>
                <w:rFonts w:ascii="方正书宋_GBK" w:eastAsia="方正书宋_GBK"/>
                <w:b/>
              </w:rPr>
              <w:t xml:space="preserve">  单位</w:t>
            </w:r>
          </w:p>
        </w:tc>
        <w:tc>
          <w:tcPr>
            <w:tcW w:w="776"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数量</w:t>
            </w:r>
          </w:p>
        </w:tc>
        <w:tc>
          <w:tcPr>
            <w:tcW w:w="1038" w:type="dxa"/>
            <w:vMerge w:val="restart"/>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单价</w:t>
            </w:r>
          </w:p>
        </w:tc>
        <w:tc>
          <w:tcPr>
            <w:tcW w:w="6464" w:type="dxa"/>
            <w:gridSpan w:val="6"/>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政府采购金额（当年部门预算安排资金）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12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项目名称</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预算资金</w:t>
            </w:r>
          </w:p>
        </w:tc>
        <w:tc>
          <w:tcPr>
            <w:tcW w:w="1417" w:type="dxa"/>
            <w:vMerge w:val="continue"/>
            <w:shd w:val="clear" w:color="auto" w:fill="auto"/>
            <w:vAlign w:val="center"/>
          </w:tcPr>
          <w:p>
            <w:pPr>
              <w:spacing w:line="300" w:lineRule="exact"/>
              <w:jc w:val="left"/>
              <w:outlineLvl w:val="1"/>
              <w:rPr>
                <w:rFonts w:eastAsia="方正仿宋_GBK"/>
                <w:sz w:val="28"/>
              </w:rPr>
            </w:pPr>
          </w:p>
        </w:tc>
        <w:tc>
          <w:tcPr>
            <w:tcW w:w="1159" w:type="dxa"/>
            <w:vMerge w:val="continue"/>
            <w:shd w:val="clear" w:color="auto" w:fill="auto"/>
            <w:vAlign w:val="center"/>
          </w:tcPr>
          <w:p>
            <w:pPr>
              <w:spacing w:line="300" w:lineRule="exact"/>
              <w:jc w:val="left"/>
              <w:outlineLvl w:val="1"/>
              <w:rPr>
                <w:rFonts w:eastAsia="方正仿宋_GBK"/>
                <w:sz w:val="28"/>
              </w:rPr>
            </w:pPr>
          </w:p>
        </w:tc>
        <w:tc>
          <w:tcPr>
            <w:tcW w:w="844" w:type="dxa"/>
            <w:vMerge w:val="continue"/>
            <w:shd w:val="clear" w:color="auto" w:fill="auto"/>
            <w:vAlign w:val="center"/>
          </w:tcPr>
          <w:p>
            <w:pPr>
              <w:spacing w:line="300" w:lineRule="exact"/>
              <w:jc w:val="left"/>
              <w:outlineLvl w:val="1"/>
              <w:rPr>
                <w:rFonts w:eastAsia="方正仿宋_GBK"/>
                <w:sz w:val="28"/>
              </w:rPr>
            </w:pPr>
          </w:p>
        </w:tc>
        <w:tc>
          <w:tcPr>
            <w:tcW w:w="776" w:type="dxa"/>
            <w:vMerge w:val="continue"/>
            <w:shd w:val="clear" w:color="auto" w:fill="auto"/>
            <w:vAlign w:val="center"/>
          </w:tcPr>
          <w:p>
            <w:pPr>
              <w:spacing w:line="300" w:lineRule="exact"/>
              <w:jc w:val="left"/>
              <w:outlineLvl w:val="1"/>
              <w:rPr>
                <w:rFonts w:eastAsia="方正仿宋_GBK"/>
                <w:sz w:val="28"/>
              </w:rPr>
            </w:pPr>
          </w:p>
        </w:tc>
        <w:tc>
          <w:tcPr>
            <w:tcW w:w="1038" w:type="dxa"/>
            <w:vMerge w:val="continue"/>
            <w:shd w:val="clear" w:color="auto" w:fill="auto"/>
            <w:vAlign w:val="center"/>
          </w:tcPr>
          <w:p>
            <w:pPr>
              <w:spacing w:line="300" w:lineRule="exact"/>
              <w:jc w:val="left"/>
              <w:outlineLvl w:val="1"/>
              <w:rPr>
                <w:rFonts w:eastAsia="方正仿宋_GBK"/>
                <w:sz w:val="28"/>
              </w:rPr>
            </w:pP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合计</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一般公共预算拨款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基金预算拨款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国有资本经营预算拨款</w:t>
            </w:r>
          </w:p>
        </w:tc>
        <w:tc>
          <w:tcPr>
            <w:tcW w:w="113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财政专户核拨</w:t>
            </w:r>
          </w:p>
        </w:tc>
        <w:tc>
          <w:tcPr>
            <w:tcW w:w="794"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单位资金</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jc w:val="center"/>
        </w:trPr>
        <w:tc>
          <w:tcPr>
            <w:tcW w:w="1281" w:type="dxa"/>
            <w:shd w:val="clear" w:color="auto" w:fill="auto"/>
            <w:vAlign w:val="center"/>
          </w:tcPr>
          <w:p>
            <w:pPr>
              <w:spacing w:line="300" w:lineRule="exact"/>
              <w:jc w:val="center"/>
              <w:rPr>
                <w:rFonts w:ascii="方正书宋_GBK" w:eastAsia="方正书宋_GBK"/>
                <w:b/>
              </w:rPr>
            </w:pPr>
            <w:r>
              <w:rPr>
                <w:rFonts w:hint="eastAsia" w:ascii="方正书宋_GBK" w:eastAsia="方正书宋_GBK"/>
                <w:b/>
              </w:rPr>
              <w:t>合　计</w:t>
            </w:r>
          </w:p>
        </w:tc>
        <w:tc>
          <w:tcPr>
            <w:tcW w:w="1134" w:type="dxa"/>
            <w:shd w:val="clear" w:color="auto" w:fill="auto"/>
            <w:vAlign w:val="center"/>
          </w:tcPr>
          <w:p>
            <w:pPr>
              <w:spacing w:line="300" w:lineRule="exact"/>
              <w:jc w:val="right"/>
              <w:rPr>
                <w:rFonts w:ascii="方正书宋_GBK" w:eastAsia="方正书宋_GBK"/>
                <w:b/>
              </w:rPr>
            </w:pPr>
          </w:p>
        </w:tc>
        <w:tc>
          <w:tcPr>
            <w:tcW w:w="1417" w:type="dxa"/>
            <w:shd w:val="clear" w:color="auto" w:fill="auto"/>
            <w:vAlign w:val="center"/>
          </w:tcPr>
          <w:p>
            <w:pPr>
              <w:spacing w:line="300" w:lineRule="exact"/>
              <w:jc w:val="left"/>
              <w:rPr>
                <w:rFonts w:ascii="方正书宋_GBK" w:eastAsia="方正书宋_GBK"/>
                <w:b/>
              </w:rPr>
            </w:pPr>
          </w:p>
        </w:tc>
        <w:tc>
          <w:tcPr>
            <w:tcW w:w="1159" w:type="dxa"/>
            <w:shd w:val="clear" w:color="auto" w:fill="auto"/>
            <w:vAlign w:val="center"/>
          </w:tcPr>
          <w:p>
            <w:pPr>
              <w:spacing w:line="300" w:lineRule="exact"/>
              <w:jc w:val="left"/>
              <w:rPr>
                <w:rFonts w:ascii="方正书宋_GBK" w:eastAsia="方正书宋_GBK"/>
                <w:b/>
              </w:rPr>
            </w:pPr>
          </w:p>
        </w:tc>
        <w:tc>
          <w:tcPr>
            <w:tcW w:w="844" w:type="dxa"/>
            <w:shd w:val="clear" w:color="auto" w:fill="auto"/>
            <w:vAlign w:val="center"/>
          </w:tcPr>
          <w:p>
            <w:pPr>
              <w:spacing w:line="300" w:lineRule="exact"/>
              <w:jc w:val="center"/>
              <w:rPr>
                <w:rFonts w:ascii="方正书宋_GBK" w:eastAsia="方正书宋_GBK"/>
                <w:b/>
              </w:rPr>
            </w:pPr>
          </w:p>
        </w:tc>
        <w:tc>
          <w:tcPr>
            <w:tcW w:w="776" w:type="dxa"/>
            <w:shd w:val="clear" w:color="auto" w:fill="auto"/>
            <w:vAlign w:val="center"/>
          </w:tcPr>
          <w:p>
            <w:pPr>
              <w:spacing w:line="300" w:lineRule="exact"/>
              <w:jc w:val="right"/>
              <w:rPr>
                <w:rFonts w:ascii="方正书宋_GBK" w:eastAsia="方正书宋_GBK"/>
                <w:b/>
              </w:rPr>
            </w:pPr>
          </w:p>
        </w:tc>
        <w:tc>
          <w:tcPr>
            <w:tcW w:w="1038"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1134" w:type="dxa"/>
            <w:shd w:val="clear" w:color="auto" w:fill="auto"/>
            <w:vAlign w:val="center"/>
          </w:tcPr>
          <w:p>
            <w:pPr>
              <w:spacing w:line="300" w:lineRule="exact"/>
              <w:jc w:val="right"/>
              <w:rPr>
                <w:rFonts w:ascii="方正书宋_GBK" w:eastAsia="方正书宋_GBK"/>
                <w:b/>
              </w:rPr>
            </w:pPr>
          </w:p>
        </w:tc>
        <w:tc>
          <w:tcPr>
            <w:tcW w:w="794" w:type="dxa"/>
            <w:shd w:val="clear" w:color="auto" w:fill="auto"/>
            <w:vAlign w:val="center"/>
          </w:tcPr>
          <w:p>
            <w:pPr>
              <w:spacing w:line="300" w:lineRule="exact"/>
              <w:jc w:val="right"/>
              <w:rPr>
                <w:rFonts w:ascii="方正书宋_GBK" w:eastAsia="方正书宋_GBK"/>
                <w:b/>
              </w:rPr>
            </w:pPr>
          </w:p>
        </w:tc>
      </w:tr>
    </w:tbl>
    <w:p>
      <w:pPr>
        <w:autoSpaceDE w:val="0"/>
        <w:autoSpaceDN w:val="0"/>
        <w:adjustRightInd w:val="0"/>
        <w:ind w:firstLine="640" w:firstLineChars="200"/>
        <w:jc w:val="left"/>
        <w:rPr>
          <w:rFonts w:hint="eastAsia" w:ascii="仿宋_GB2312" w:eastAsia="仿宋_GB2312"/>
          <w:sz w:val="32"/>
          <w:szCs w:val="32"/>
          <w:lang w:eastAsia="zh-CN"/>
        </w:rPr>
      </w:pPr>
      <w:r>
        <w:rPr>
          <w:rFonts w:hint="eastAsia" w:ascii="仿宋_GB2312" w:eastAsia="仿宋_GB2312"/>
          <w:sz w:val="32"/>
          <w:szCs w:val="32"/>
          <w:lang w:eastAsia="zh-CN"/>
        </w:rPr>
        <w:t>注：我单位无政府采购，空表列示。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七、国有资产信息</w:t>
      </w:r>
    </w:p>
    <w:p>
      <w:pPr>
        <w:ind w:firstLine="688" w:firstLineChars="215"/>
        <w:rPr>
          <w:rFonts w:ascii="仿宋_GB2312" w:hAnsi="仿宋" w:eastAsia="仿宋_GB2312" w:cs="仿宋"/>
          <w:sz w:val="32"/>
          <w:szCs w:val="32"/>
        </w:rPr>
      </w:pPr>
      <w:r>
        <w:rPr>
          <w:rFonts w:hint="eastAsia" w:ascii="仿宋_GB2312" w:hAnsi="仿宋" w:eastAsia="仿宋_GB2312" w:cs="仿宋"/>
          <w:sz w:val="32"/>
          <w:szCs w:val="32"/>
        </w:rPr>
        <w:t>无极县交通运输局上年末固定资产金额为1798.61万元（详见下表）。本年度拟购置固定资产金额为0万元。</w:t>
      </w:r>
    </w:p>
    <w:p>
      <w:pPr>
        <w:autoSpaceDE w:val="0"/>
        <w:autoSpaceDN w:val="0"/>
        <w:adjustRightInd w:val="0"/>
        <w:ind w:left="420" w:leftChars="200"/>
        <w:jc w:val="center"/>
        <w:rPr>
          <w:rFonts w:ascii="仿宋" w:hAnsi="仿宋" w:eastAsia="仿宋"/>
          <w:sz w:val="32"/>
        </w:rPr>
      </w:pPr>
      <w:r>
        <w:rPr>
          <w:rFonts w:hint="eastAsia" w:ascii="仿宋" w:hAnsi="仿宋" w:eastAsia="仿宋"/>
          <w:sz w:val="32"/>
        </w:rPr>
        <w:t>无极县交通运输局固定资产占用情况表</w:t>
      </w:r>
    </w:p>
    <w:tbl>
      <w:tblPr>
        <w:tblStyle w:val="7"/>
        <w:tblW w:w="0" w:type="auto"/>
        <w:tblInd w:w="93" w:type="dxa"/>
        <w:tblLayout w:type="fixed"/>
        <w:tblCellMar>
          <w:top w:w="0" w:type="dxa"/>
          <w:left w:w="108" w:type="dxa"/>
          <w:bottom w:w="0" w:type="dxa"/>
          <w:right w:w="108" w:type="dxa"/>
        </w:tblCellMar>
      </w:tblPr>
      <w:tblGrid>
        <w:gridCol w:w="5224"/>
        <w:gridCol w:w="3155"/>
        <w:gridCol w:w="5676"/>
      </w:tblGrid>
      <w:tr>
        <w:tblPrEx>
          <w:tblCellMar>
            <w:top w:w="0" w:type="dxa"/>
            <w:left w:w="108" w:type="dxa"/>
            <w:bottom w:w="0" w:type="dxa"/>
            <w:right w:w="108" w:type="dxa"/>
          </w:tblCellMar>
        </w:tblPrEx>
        <w:trPr>
          <w:trHeight w:val="705" w:hRule="atLeast"/>
        </w:trPr>
        <w:tc>
          <w:tcPr>
            <w:tcW w:w="14055" w:type="dxa"/>
            <w:gridSpan w:val="3"/>
            <w:tcBorders>
              <w:top w:val="nil"/>
              <w:left w:val="nil"/>
              <w:bottom w:val="nil"/>
              <w:right w:val="nil"/>
            </w:tcBorders>
            <w:noWrap/>
            <w:vAlign w:val="center"/>
          </w:tcPr>
          <w:p>
            <w:pPr>
              <w:widowControl/>
              <w:jc w:val="center"/>
              <w:rPr>
                <w:rFonts w:ascii="仿宋_GB2312" w:hAnsi="宋体" w:eastAsia="仿宋_GB2312" w:cs="宋体"/>
                <w:b/>
                <w:bCs/>
                <w:kern w:val="0"/>
                <w:sz w:val="32"/>
                <w:szCs w:val="32"/>
              </w:rPr>
            </w:pPr>
          </w:p>
        </w:tc>
      </w:tr>
      <w:tr>
        <w:tblPrEx>
          <w:tblCellMar>
            <w:top w:w="0" w:type="dxa"/>
            <w:left w:w="108" w:type="dxa"/>
            <w:bottom w:w="0" w:type="dxa"/>
            <w:right w:w="108" w:type="dxa"/>
          </w:tblCellMar>
        </w:tblPrEx>
        <w:trPr>
          <w:trHeight w:val="510" w:hRule="atLeast"/>
        </w:trPr>
        <w:tc>
          <w:tcPr>
            <w:tcW w:w="8379" w:type="dxa"/>
            <w:gridSpan w:val="2"/>
            <w:tcBorders>
              <w:top w:val="nil"/>
              <w:left w:val="nil"/>
              <w:bottom w:val="nil"/>
              <w:right w:val="nil"/>
            </w:tcBorders>
            <w:noWrap/>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编制部门：无极县交通运输局</w:t>
            </w:r>
          </w:p>
        </w:tc>
        <w:tc>
          <w:tcPr>
            <w:tcW w:w="5676" w:type="dxa"/>
            <w:tcBorders>
              <w:top w:val="nil"/>
              <w:left w:val="nil"/>
              <w:bottom w:val="nil"/>
              <w:right w:val="nil"/>
            </w:tcBorders>
            <w:noWrap/>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截止时间：2019年12月31日  </w:t>
            </w:r>
          </w:p>
        </w:tc>
      </w:tr>
      <w:tr>
        <w:tblPrEx>
          <w:tblCellMar>
            <w:top w:w="0" w:type="dxa"/>
            <w:left w:w="108" w:type="dxa"/>
            <w:bottom w:w="0" w:type="dxa"/>
            <w:right w:w="108" w:type="dxa"/>
          </w:tblCellMar>
        </w:tblPrEx>
        <w:trPr>
          <w:trHeight w:val="645" w:hRule="atLeast"/>
        </w:trPr>
        <w:tc>
          <w:tcPr>
            <w:tcW w:w="5224" w:type="dxa"/>
            <w:tcBorders>
              <w:top w:val="single" w:color="000000" w:sz="4" w:space="0"/>
              <w:left w:val="single" w:color="000000" w:sz="4" w:space="0"/>
              <w:bottom w:val="single" w:color="000000" w:sz="4" w:space="0"/>
              <w:right w:val="single" w:color="000000" w:sz="4" w:space="0"/>
            </w:tcBorders>
            <w:noWrap/>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项   目</w:t>
            </w:r>
          </w:p>
        </w:tc>
        <w:tc>
          <w:tcPr>
            <w:tcW w:w="3155" w:type="dxa"/>
            <w:tcBorders>
              <w:top w:val="single" w:color="000000" w:sz="4" w:space="0"/>
              <w:left w:val="nil"/>
              <w:bottom w:val="single" w:color="000000" w:sz="4" w:space="0"/>
              <w:right w:val="single" w:color="000000" w:sz="4" w:space="0"/>
            </w:tcBorders>
            <w:noWrap/>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数量</w:t>
            </w:r>
          </w:p>
        </w:tc>
        <w:tc>
          <w:tcPr>
            <w:tcW w:w="5676" w:type="dxa"/>
            <w:tcBorders>
              <w:top w:val="single" w:color="000000" w:sz="4" w:space="0"/>
              <w:left w:val="nil"/>
              <w:bottom w:val="single" w:color="000000" w:sz="4" w:space="0"/>
              <w:right w:val="single" w:color="000000" w:sz="4" w:space="0"/>
            </w:tcBorders>
            <w:noWrap/>
            <w:vAlign w:val="center"/>
          </w:tcPr>
          <w:p>
            <w:pPr>
              <w:widowControl/>
              <w:jc w:val="center"/>
              <w:rPr>
                <w:rFonts w:ascii="仿宋_GB2312" w:hAnsi="宋体" w:eastAsia="仿宋_GB2312" w:cs="宋体"/>
                <w:b/>
                <w:bCs/>
                <w:kern w:val="0"/>
                <w:sz w:val="32"/>
                <w:szCs w:val="32"/>
              </w:rPr>
            </w:pPr>
            <w:r>
              <w:rPr>
                <w:rFonts w:hint="eastAsia" w:ascii="仿宋_GB2312" w:hAnsi="宋体" w:eastAsia="仿宋_GB2312" w:cs="宋体"/>
                <w:b/>
                <w:bCs/>
                <w:kern w:val="0"/>
                <w:sz w:val="32"/>
                <w:szCs w:val="32"/>
              </w:rPr>
              <w:t>价值（金额单位：万元）</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资产总额</w:t>
            </w:r>
          </w:p>
        </w:tc>
        <w:tc>
          <w:tcPr>
            <w:tcW w:w="3155"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676"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仿宋" w:eastAsia="仿宋_GB2312" w:cs="仿宋"/>
                <w:sz w:val="32"/>
                <w:szCs w:val="32"/>
              </w:rPr>
              <w:t>1798.61</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noWrap/>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1、房屋（平方米）</w:t>
            </w:r>
          </w:p>
        </w:tc>
        <w:tc>
          <w:tcPr>
            <w:tcW w:w="3155"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12983.99</w:t>
            </w:r>
          </w:p>
        </w:tc>
        <w:tc>
          <w:tcPr>
            <w:tcW w:w="5676"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461.95</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noWrap/>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 xml:space="preserve">  其中：办公用房（平方米）</w:t>
            </w:r>
          </w:p>
        </w:tc>
        <w:tc>
          <w:tcPr>
            <w:tcW w:w="3155"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6177.91</w:t>
            </w:r>
          </w:p>
        </w:tc>
        <w:tc>
          <w:tcPr>
            <w:tcW w:w="5676"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338.09</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noWrap/>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2、车辆（台、辆）</w:t>
            </w:r>
          </w:p>
        </w:tc>
        <w:tc>
          <w:tcPr>
            <w:tcW w:w="3155"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39</w:t>
            </w:r>
          </w:p>
        </w:tc>
        <w:tc>
          <w:tcPr>
            <w:tcW w:w="5676"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674.18</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noWrap/>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3、单价在50万元以上设备</w:t>
            </w:r>
          </w:p>
        </w:tc>
        <w:tc>
          <w:tcPr>
            <w:tcW w:w="3155"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676"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353.2</w:t>
            </w:r>
          </w:p>
        </w:tc>
      </w:tr>
      <w:tr>
        <w:tblPrEx>
          <w:tblCellMar>
            <w:top w:w="0" w:type="dxa"/>
            <w:left w:w="108" w:type="dxa"/>
            <w:bottom w:w="0" w:type="dxa"/>
            <w:right w:w="108" w:type="dxa"/>
          </w:tblCellMar>
        </w:tblPrEx>
        <w:trPr>
          <w:trHeight w:val="645" w:hRule="atLeast"/>
        </w:trPr>
        <w:tc>
          <w:tcPr>
            <w:tcW w:w="5224" w:type="dxa"/>
            <w:tcBorders>
              <w:top w:val="nil"/>
              <w:left w:val="single" w:color="000000" w:sz="4" w:space="0"/>
              <w:bottom w:val="single" w:color="000000" w:sz="4" w:space="0"/>
              <w:right w:val="single" w:color="000000" w:sz="4" w:space="0"/>
            </w:tcBorders>
            <w:noWrap/>
            <w:vAlign w:val="center"/>
          </w:tcPr>
          <w:p>
            <w:pPr>
              <w:widowControl/>
              <w:jc w:val="left"/>
              <w:rPr>
                <w:rFonts w:ascii="仿宋_GB2312" w:hAnsi="宋体" w:eastAsia="仿宋_GB2312" w:cs="宋体"/>
                <w:kern w:val="0"/>
                <w:sz w:val="32"/>
                <w:szCs w:val="32"/>
              </w:rPr>
            </w:pPr>
            <w:r>
              <w:rPr>
                <w:rFonts w:hint="eastAsia" w:ascii="仿宋_GB2312" w:hAnsi="宋体" w:eastAsia="仿宋_GB2312" w:cs="宋体"/>
                <w:kern w:val="0"/>
                <w:sz w:val="32"/>
                <w:szCs w:val="32"/>
              </w:rPr>
              <w:t>4、其他固定资产</w:t>
            </w:r>
          </w:p>
        </w:tc>
        <w:tc>
          <w:tcPr>
            <w:tcW w:w="3155"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w:t>
            </w:r>
          </w:p>
        </w:tc>
        <w:tc>
          <w:tcPr>
            <w:tcW w:w="5676" w:type="dxa"/>
            <w:tcBorders>
              <w:top w:val="nil"/>
              <w:left w:val="nil"/>
              <w:bottom w:val="single" w:color="000000" w:sz="4" w:space="0"/>
              <w:right w:val="single" w:color="000000" w:sz="4" w:space="0"/>
            </w:tcBorders>
            <w:noWrap/>
            <w:vAlign w:val="center"/>
          </w:tcPr>
          <w:p>
            <w:pPr>
              <w:widowControl/>
              <w:jc w:val="center"/>
              <w:rPr>
                <w:rFonts w:ascii="仿宋_GB2312" w:hAnsi="宋体" w:eastAsia="仿宋_GB2312" w:cs="宋体"/>
                <w:kern w:val="0"/>
                <w:sz w:val="32"/>
                <w:szCs w:val="32"/>
              </w:rPr>
            </w:pPr>
            <w:r>
              <w:rPr>
                <w:rFonts w:hint="eastAsia" w:ascii="仿宋_GB2312" w:hAnsi="宋体" w:eastAsia="仿宋_GB2312" w:cs="宋体"/>
                <w:kern w:val="0"/>
                <w:sz w:val="32"/>
                <w:szCs w:val="32"/>
              </w:rPr>
              <w:t>309.28</w:t>
            </w:r>
          </w:p>
        </w:tc>
      </w:tr>
    </w:tbl>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八、名词解释</w:t>
      </w:r>
    </w:p>
    <w:p>
      <w:pPr>
        <w:ind w:firstLine="720"/>
        <w:rPr>
          <w:rFonts w:hint="eastAsia" w:ascii="仿宋_GB2312" w:hAnsi="仿宋" w:eastAsia="仿宋_GB2312"/>
          <w:sz w:val="32"/>
          <w:szCs w:val="32"/>
        </w:rPr>
      </w:pPr>
      <w:r>
        <w:rPr>
          <w:rFonts w:hint="eastAsia" w:ascii="仿宋" w:hAnsi="仿宋" w:eastAsia="仿宋"/>
          <w:b/>
          <w:sz w:val="32"/>
          <w:szCs w:val="32"/>
        </w:rPr>
        <w:t>1、一般公共预算拨款收入：</w:t>
      </w:r>
      <w:r>
        <w:rPr>
          <w:rFonts w:hint="eastAsia" w:ascii="仿宋_GB2312" w:hAnsi="仿宋" w:eastAsia="仿宋_GB2312"/>
          <w:sz w:val="32"/>
          <w:szCs w:val="32"/>
        </w:rPr>
        <w:t>指县级财政当年拨付的资金。</w:t>
      </w:r>
    </w:p>
    <w:p>
      <w:pPr>
        <w:ind w:firstLine="720"/>
        <w:rPr>
          <w:rFonts w:hint="eastAsia" w:ascii="仿宋" w:hAnsi="仿宋" w:eastAsia="仿宋"/>
          <w:b/>
          <w:sz w:val="32"/>
          <w:szCs w:val="32"/>
        </w:rPr>
      </w:pPr>
      <w:r>
        <w:rPr>
          <w:rFonts w:hint="eastAsia" w:ascii="仿宋" w:hAnsi="仿宋" w:eastAsia="仿宋"/>
          <w:b/>
          <w:sz w:val="32"/>
          <w:szCs w:val="32"/>
        </w:rPr>
        <w:t>2、事业收入：</w:t>
      </w:r>
      <w:r>
        <w:rPr>
          <w:rFonts w:hint="eastAsia" w:ascii="仿宋_GB2312" w:hAnsi="仿宋" w:eastAsia="仿宋_GB2312"/>
          <w:sz w:val="32"/>
          <w:szCs w:val="32"/>
        </w:rPr>
        <w:t>指事业单位开展专业业务活动及辅助活动所取得的收入。</w:t>
      </w:r>
    </w:p>
    <w:p>
      <w:pPr>
        <w:ind w:firstLine="720"/>
        <w:rPr>
          <w:rFonts w:hint="eastAsia" w:ascii="仿宋_GB2312" w:hAnsi="仿宋" w:eastAsia="仿宋_GB2312"/>
          <w:sz w:val="32"/>
          <w:szCs w:val="32"/>
        </w:rPr>
      </w:pPr>
      <w:r>
        <w:rPr>
          <w:rFonts w:hint="eastAsia" w:ascii="仿宋" w:hAnsi="仿宋" w:eastAsia="仿宋"/>
          <w:b/>
          <w:sz w:val="32"/>
          <w:szCs w:val="32"/>
        </w:rPr>
        <w:t>3、其他收入：</w:t>
      </w:r>
      <w:r>
        <w:rPr>
          <w:rFonts w:hint="eastAsia" w:ascii="仿宋_GB2312" w:hAnsi="仿宋" w:eastAsia="仿宋_GB2312"/>
          <w:sz w:val="32"/>
          <w:szCs w:val="32"/>
        </w:rPr>
        <w:t>指除“一般公共预算拨款收入”、“事业收入”等以外的收入。主要是按规定动用的租房收入、存款利息收入等。</w:t>
      </w:r>
    </w:p>
    <w:p>
      <w:pPr>
        <w:ind w:firstLine="720"/>
        <w:rPr>
          <w:rFonts w:hint="eastAsia" w:ascii="仿宋_GB2312" w:hAnsi="仿宋" w:eastAsia="仿宋_GB2312"/>
          <w:sz w:val="32"/>
          <w:szCs w:val="32"/>
        </w:rPr>
      </w:pPr>
      <w:r>
        <w:rPr>
          <w:rFonts w:hint="eastAsia" w:ascii="仿宋" w:hAnsi="仿宋" w:eastAsia="仿宋"/>
          <w:b/>
          <w:sz w:val="32"/>
          <w:szCs w:val="32"/>
        </w:rPr>
        <w:t>4、基本支出：</w:t>
      </w:r>
      <w:r>
        <w:rPr>
          <w:rFonts w:hint="eastAsia" w:ascii="仿宋_GB2312" w:hAnsi="仿宋" w:eastAsia="仿宋_GB2312"/>
          <w:sz w:val="32"/>
          <w:szCs w:val="32"/>
        </w:rPr>
        <w:t>指为保障机构正常运转、完成日常工作任务而发生的人员支出和公用支出。</w:t>
      </w:r>
    </w:p>
    <w:p>
      <w:pPr>
        <w:ind w:firstLine="720"/>
        <w:rPr>
          <w:rFonts w:hint="eastAsia" w:ascii="仿宋_GB2312" w:hAnsi="仿宋" w:eastAsia="仿宋_GB2312"/>
          <w:sz w:val="32"/>
          <w:szCs w:val="32"/>
        </w:rPr>
      </w:pPr>
      <w:r>
        <w:rPr>
          <w:rFonts w:hint="eastAsia" w:ascii="仿宋" w:hAnsi="仿宋" w:eastAsia="仿宋"/>
          <w:b/>
          <w:sz w:val="32"/>
          <w:szCs w:val="32"/>
        </w:rPr>
        <w:t>5、项目支出：</w:t>
      </w:r>
      <w:r>
        <w:rPr>
          <w:rFonts w:hint="eastAsia" w:ascii="仿宋_GB2312" w:hAnsi="仿宋" w:eastAsia="仿宋_GB2312"/>
          <w:sz w:val="32"/>
          <w:szCs w:val="32"/>
        </w:rPr>
        <w:t>指在基本支出之外为完成特定行政任务和事业发展目标所发生的支出。</w:t>
      </w:r>
    </w:p>
    <w:p>
      <w:pPr>
        <w:ind w:firstLine="720"/>
        <w:rPr>
          <w:rFonts w:hint="eastAsia" w:ascii="仿宋_GB2312" w:hAnsi="仿宋" w:eastAsia="仿宋_GB2312"/>
          <w:sz w:val="32"/>
          <w:szCs w:val="32"/>
        </w:rPr>
      </w:pPr>
      <w:r>
        <w:rPr>
          <w:rFonts w:hint="eastAsia" w:ascii="仿宋" w:hAnsi="仿宋" w:eastAsia="仿宋"/>
          <w:b/>
          <w:sz w:val="32"/>
          <w:szCs w:val="32"/>
        </w:rPr>
        <w:t>6、上缴上级支出：</w:t>
      </w:r>
      <w:r>
        <w:rPr>
          <w:rFonts w:hint="eastAsia" w:ascii="仿宋_GB2312" w:hAnsi="仿宋" w:eastAsia="仿宋_GB2312"/>
          <w:sz w:val="32"/>
          <w:szCs w:val="32"/>
        </w:rPr>
        <w:t>指下级单位上缴上级的支出。</w:t>
      </w:r>
    </w:p>
    <w:p>
      <w:pPr>
        <w:ind w:firstLine="720"/>
        <w:rPr>
          <w:rFonts w:hint="eastAsia" w:ascii="仿宋_GB2312" w:hAnsi="仿宋" w:eastAsia="仿宋_GB2312"/>
          <w:sz w:val="32"/>
          <w:szCs w:val="32"/>
        </w:rPr>
      </w:pPr>
      <w:r>
        <w:rPr>
          <w:rFonts w:hint="eastAsia" w:ascii="仿宋" w:hAnsi="仿宋" w:eastAsia="仿宋"/>
          <w:b/>
          <w:sz w:val="32"/>
          <w:szCs w:val="32"/>
        </w:rPr>
        <w:t>7、“三公”经费：</w:t>
      </w:r>
      <w:r>
        <w:rPr>
          <w:rFonts w:hint="eastAsia" w:ascii="仿宋_GB2312" w:hAnsi="仿宋" w:eastAsia="仿宋_GB2312"/>
          <w:sz w:val="32"/>
          <w:szCs w:val="32"/>
        </w:rPr>
        <w:t>纳入县级财政预算管理的“三公”经费，是指县级部门用财政拨款安排的因公出国（境）费、公务用车购置及运维费和公务接待费。其中，因公出国（境）费反映单位公务出国（境）的住宿费、旅费、伙食补助费、杂费、培训费等支出；公务用车购置及运维费反映单位公务用车购置费及租用费、燃料费、维修费、过路过桥费、保险费、安全奖励费用等支出；公务接待费反映单位按规定开支的各类公务接待（含外宾接待）支出。</w:t>
      </w:r>
    </w:p>
    <w:p>
      <w:pPr>
        <w:ind w:firstLine="720"/>
        <w:rPr>
          <w:rFonts w:hint="eastAsia" w:ascii="仿宋_GB2312" w:hAnsi="仿宋" w:eastAsia="仿宋_GB2312"/>
          <w:sz w:val="32"/>
          <w:szCs w:val="32"/>
        </w:rPr>
      </w:pPr>
      <w:r>
        <w:rPr>
          <w:rFonts w:hint="eastAsia" w:ascii="仿宋" w:hAnsi="仿宋" w:eastAsia="仿宋"/>
          <w:b/>
          <w:sz w:val="32"/>
          <w:szCs w:val="32"/>
        </w:rPr>
        <w:t>8、机关运行费：</w:t>
      </w:r>
      <w:r>
        <w:rPr>
          <w:rFonts w:hint="eastAsia" w:ascii="仿宋_GB2312" w:hAnsi="仿宋" w:eastAsia="仿宋_GB2312"/>
          <w:sz w:val="32"/>
          <w:szCs w:val="32"/>
        </w:rPr>
        <w:t>是指各部门的公用经费，包括办公及印刷费、邮电费、差旅费、会议费、福利费、日常维修费、专用材料及一般设备购置费、办公用房水电费、办公用房取暖费、办公用房物业管理费、公务用车运行维护费以及其他费用。</w:t>
      </w:r>
    </w:p>
    <w:p>
      <w:pPr>
        <w:ind w:firstLine="720"/>
        <w:rPr>
          <w:rFonts w:hint="eastAsia" w:ascii="仿宋" w:hAnsi="仿宋" w:eastAsia="仿宋"/>
          <w:b/>
          <w:sz w:val="32"/>
          <w:szCs w:val="32"/>
        </w:rPr>
      </w:pPr>
      <w:r>
        <w:rPr>
          <w:rFonts w:hint="eastAsia" w:ascii="仿宋" w:hAnsi="仿宋" w:eastAsia="仿宋"/>
          <w:b/>
          <w:sz w:val="32"/>
          <w:szCs w:val="32"/>
        </w:rPr>
        <w:t>9、上年结转：</w:t>
      </w:r>
      <w:r>
        <w:rPr>
          <w:rFonts w:hint="eastAsia" w:ascii="仿宋_GB2312" w:hAnsi="仿宋" w:eastAsia="仿宋_GB2312"/>
          <w:sz w:val="32"/>
          <w:szCs w:val="32"/>
        </w:rPr>
        <w:t>指以前年度尚未完成、结转到本年仍按原规定用途继续使用的资金。</w:t>
      </w:r>
    </w:p>
    <w:p>
      <w:pPr>
        <w:ind w:firstLine="720"/>
        <w:rPr>
          <w:rFonts w:hint="eastAsia" w:ascii="仿宋_GB2312" w:hAnsi="仿宋" w:eastAsia="仿宋_GB2312"/>
          <w:sz w:val="32"/>
          <w:szCs w:val="32"/>
        </w:rPr>
      </w:pPr>
      <w:r>
        <w:rPr>
          <w:rFonts w:hint="eastAsia" w:ascii="仿宋" w:hAnsi="仿宋" w:eastAsia="仿宋"/>
          <w:b/>
          <w:sz w:val="32"/>
          <w:szCs w:val="32"/>
        </w:rPr>
        <w:t>10、事业单位经营支出：</w:t>
      </w:r>
      <w:r>
        <w:rPr>
          <w:rFonts w:hint="eastAsia" w:ascii="仿宋_GB2312" w:hAnsi="仿宋" w:eastAsia="仿宋_GB2312"/>
          <w:sz w:val="32"/>
          <w:szCs w:val="32"/>
        </w:rPr>
        <w:t>指事业单位在专业业务活动及其辅助活动之外开展非独立核算经营活动发生的支出。</w:t>
      </w:r>
    </w:p>
    <w:p>
      <w:pPr>
        <w:autoSpaceDE w:val="0"/>
        <w:autoSpaceDN w:val="0"/>
        <w:adjustRightInd w:val="0"/>
        <w:ind w:firstLine="640" w:firstLineChars="200"/>
        <w:jc w:val="left"/>
        <w:rPr>
          <w:rFonts w:ascii="黑体" w:hAnsi="黑体" w:eastAsia="黑体" w:cs="仿宋_GB2312"/>
          <w:sz w:val="32"/>
          <w:szCs w:val="32"/>
        </w:rPr>
      </w:pPr>
      <w:r>
        <w:rPr>
          <w:rFonts w:hint="eastAsia" w:ascii="黑体" w:hAnsi="黑体" w:eastAsia="黑体" w:cs="仿宋_GB2312"/>
          <w:sz w:val="32"/>
          <w:szCs w:val="32"/>
        </w:rPr>
        <w:t>九、其他需要说明的事项</w:t>
      </w:r>
    </w:p>
    <w:p>
      <w:pPr>
        <w:ind w:firstLine="720"/>
        <w:rPr>
          <w:rFonts w:hint="eastAsia" w:ascii="仿宋_GB2312" w:hAnsi="仿宋" w:eastAsia="仿宋_GB2312"/>
          <w:sz w:val="32"/>
          <w:szCs w:val="32"/>
        </w:rPr>
      </w:pPr>
      <w:r>
        <w:rPr>
          <w:rFonts w:hint="eastAsia" w:ascii="仿宋_GB2312" w:hAnsi="仿宋" w:eastAsia="仿宋_GB2312"/>
          <w:sz w:val="32"/>
          <w:szCs w:val="32"/>
        </w:rPr>
        <w:t>我部门无其他需要说明的事项。</w:t>
      </w:r>
      <w:bookmarkEnd w:id="15"/>
    </w:p>
    <w:sectPr>
      <w:headerReference r:id="rId3" w:type="default"/>
      <w:footerReference r:id="rId4" w:type="default"/>
      <w:pgSz w:w="16838" w:h="11906" w:orient="landscape"/>
      <w:pgMar w:top="1800" w:right="1440" w:bottom="1800" w:left="1440" w:header="851" w:footer="992" w:gutter="0"/>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小标宋_GBK">
    <w:panose1 w:val="02000000000000000000"/>
    <w:charset w:val="86"/>
    <w:family w:val="script"/>
    <w:pitch w:val="default"/>
    <w:sig w:usb0="A00002BF" w:usb1="38CF7CFA" w:usb2="00082016" w:usb3="00000000" w:csb0="00040001" w:csb1="00000000"/>
  </w:font>
  <w:font w:name="仿宋">
    <w:panose1 w:val="02010609060101010101"/>
    <w:charset w:val="86"/>
    <w:family w:val="modern"/>
    <w:pitch w:val="default"/>
    <w:sig w:usb0="800002BF" w:usb1="38CF7CFA" w:usb2="00000016" w:usb3="00000000" w:csb0="00040001" w:csb1="00000000"/>
  </w:font>
  <w:font w:name="仿宋_GB2312">
    <w:altName w:val="仿宋"/>
    <w:panose1 w:val="02010609030101010101"/>
    <w:charset w:val="86"/>
    <w:family w:val="modern"/>
    <w:pitch w:val="default"/>
    <w:sig w:usb0="00000000" w:usb1="00000000" w:usb2="00000000" w:usb3="00000000" w:csb0="00040000" w:csb1="00000000"/>
  </w:font>
  <w:font w:name="方正书宋_GBK">
    <w:panose1 w:val="02000000000000000000"/>
    <w:charset w:val="86"/>
    <w:family w:val="script"/>
    <w:pitch w:val="default"/>
    <w:sig w:usb0="A00002BF" w:usb1="38CF7CFA" w:usb2="00082016" w:usb3="00000000" w:csb0="00040001" w:csb1="00000000"/>
  </w:font>
  <w:font w:name="楷体">
    <w:panose1 w:val="02010609060101010101"/>
    <w:charset w:val="86"/>
    <w:family w:val="modern"/>
    <w:pitch w:val="default"/>
    <w:sig w:usb0="800002BF" w:usb1="38CF7CFA" w:usb2="00000016" w:usb3="00000000" w:csb0="00040001" w:csb1="00000000"/>
  </w:font>
  <w:font w:name="方正仿宋_GBK">
    <w:panose1 w:val="02000000000000000000"/>
    <w:charset w:val="86"/>
    <w:family w:val="script"/>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outside" w:y="1"/>
      <w:rPr>
        <w:rStyle w:val="11"/>
      </w:rPr>
    </w:pPr>
    <w:r>
      <w:fldChar w:fldCharType="begin"/>
    </w:r>
    <w:r>
      <w:rPr>
        <w:rStyle w:val="11"/>
      </w:rPr>
      <w:instrText xml:space="preserve">PAGE  </w:instrText>
    </w:r>
    <w:r>
      <w:fldChar w:fldCharType="separate"/>
    </w:r>
    <w:r>
      <w:rPr>
        <w:rStyle w:val="11"/>
      </w:rPr>
      <w:t>26</w:t>
    </w:r>
    <w:r>
      <w:fldChar w:fldCharType="end"/>
    </w:r>
  </w:p>
  <w:p>
    <w:pPr>
      <w:pStyle w:val="2"/>
      <w:ind w:right="360" w:firstLine="360"/>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90"/>
  <w:bordersDoNotSurroundHeader w:val="1"/>
  <w:bordersDoNotSurroundFooter w:val="1"/>
  <w:doNotTrackMoves/>
  <w:documentProtection w:enforcement="0"/>
  <w:defaultTabStop w:val="420"/>
  <w:drawingGridHorizontalSpacing w:val="105"/>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2"/>
  </w:compat>
  <w:rsids>
    <w:rsidRoot w:val="00EE71BA"/>
    <w:rsid w:val="000C7140"/>
    <w:rsid w:val="003006D0"/>
    <w:rsid w:val="00323B29"/>
    <w:rsid w:val="0039059E"/>
    <w:rsid w:val="007F0341"/>
    <w:rsid w:val="009A521C"/>
    <w:rsid w:val="00A46F65"/>
    <w:rsid w:val="00AA78A6"/>
    <w:rsid w:val="00D607DA"/>
    <w:rsid w:val="00DC6EE5"/>
    <w:rsid w:val="00E56A4C"/>
    <w:rsid w:val="00EE71BA"/>
    <w:rsid w:val="00F867E4"/>
    <w:rsid w:val="01DE5FBE"/>
    <w:rsid w:val="04310AF0"/>
    <w:rsid w:val="049A5C02"/>
    <w:rsid w:val="05502C58"/>
    <w:rsid w:val="056D17C0"/>
    <w:rsid w:val="05D3481E"/>
    <w:rsid w:val="07CA18E7"/>
    <w:rsid w:val="0907000E"/>
    <w:rsid w:val="0AA51E05"/>
    <w:rsid w:val="0C0F7AC9"/>
    <w:rsid w:val="0DA67D64"/>
    <w:rsid w:val="0E682E77"/>
    <w:rsid w:val="0FCA1287"/>
    <w:rsid w:val="14B15D2E"/>
    <w:rsid w:val="14FD5A07"/>
    <w:rsid w:val="16F62A88"/>
    <w:rsid w:val="1C7F34AE"/>
    <w:rsid w:val="200330F8"/>
    <w:rsid w:val="206E1E8F"/>
    <w:rsid w:val="20B75086"/>
    <w:rsid w:val="20F8012C"/>
    <w:rsid w:val="211D7130"/>
    <w:rsid w:val="226245A1"/>
    <w:rsid w:val="23C544A0"/>
    <w:rsid w:val="2844289E"/>
    <w:rsid w:val="2D0550B9"/>
    <w:rsid w:val="2E1A71EC"/>
    <w:rsid w:val="2F41753D"/>
    <w:rsid w:val="340413DD"/>
    <w:rsid w:val="35F9639F"/>
    <w:rsid w:val="3A2704A6"/>
    <w:rsid w:val="3B3525C3"/>
    <w:rsid w:val="3D26270A"/>
    <w:rsid w:val="3DFF52DF"/>
    <w:rsid w:val="3F1E19FE"/>
    <w:rsid w:val="3F754386"/>
    <w:rsid w:val="46B100D0"/>
    <w:rsid w:val="49FE17DB"/>
    <w:rsid w:val="5051033D"/>
    <w:rsid w:val="50F7498D"/>
    <w:rsid w:val="528369B3"/>
    <w:rsid w:val="56AB680D"/>
    <w:rsid w:val="59D8665A"/>
    <w:rsid w:val="5AB975BE"/>
    <w:rsid w:val="5B3916D3"/>
    <w:rsid w:val="5C5D2F65"/>
    <w:rsid w:val="5FB8106B"/>
    <w:rsid w:val="64BB54F4"/>
    <w:rsid w:val="64D02198"/>
    <w:rsid w:val="65947A4A"/>
    <w:rsid w:val="65B13777"/>
    <w:rsid w:val="6A022DB0"/>
    <w:rsid w:val="6F5E023A"/>
    <w:rsid w:val="72386652"/>
    <w:rsid w:val="744C005A"/>
    <w:rsid w:val="756D1328"/>
    <w:rsid w:val="783D3A57"/>
    <w:rsid w:val="7FF5395A"/>
  </w:rsids>
  <m:mathPr>
    <m:mathFont m:val="Cambria Math"/>
    <m:brkBin m:val="before"/>
    <m:brkBinSub m:val="--"/>
    <m:smallFrac m:val="1"/>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Calibri" w:hAnsi="Calibri" w:eastAsia="宋体" w:cs="Times New Roman"/>
      </w:rPr>
    </w:rPrDefault>
    <w:pPrDefault/>
  </w:docDefaults>
  <w:latentStyles w:count="260" w:defQFormat="0" w:defUnhideWhenUsed="1" w:defSemiHidden="1" w:defUIPriority="99" w:defLockedState="0">
    <w:lsdException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nhideWhenUsed="0" w:uiPriority="0" w:semiHidden="0" w:name="footnote text"/>
    <w:lsdException w:uiPriority="99" w:name="annotation text"/>
    <w:lsdException w:qFormat="1" w:unhideWhenUsed="0" w:uiPriority="0" w:semiHidden="0"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nhideWhenUsed="0" w:uiPriority="0" w:semiHidden="0"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uiPriority w:val="0"/>
    <w:pPr>
      <w:widowControl w:val="0"/>
      <w:jc w:val="both"/>
    </w:pPr>
    <w:rPr>
      <w:rFonts w:ascii="Calibri" w:hAnsi="Calibri" w:eastAsia="宋体" w:cs="黑体"/>
      <w:kern w:val="2"/>
      <w:sz w:val="21"/>
      <w:szCs w:val="22"/>
      <w:lang w:val="en-US" w:eastAsia="zh-CN" w:bidi="ar-SA"/>
    </w:rPr>
  </w:style>
  <w:style w:type="character" w:default="1" w:styleId="8">
    <w:name w:val="Default Paragraph Font"/>
    <w:semiHidden/>
    <w:unhideWhenUsed/>
    <w:uiPriority w:val="1"/>
  </w:style>
  <w:style w:type="table" w:default="1" w:styleId="7">
    <w:name w:val="Normal Table"/>
    <w:semiHidden/>
    <w:unhideWhenUsed/>
    <w:qFormat/>
    <w:uiPriority w:val="99"/>
    <w:tblPr>
      <w:tblCellMar>
        <w:top w:w="0" w:type="dxa"/>
        <w:left w:w="108" w:type="dxa"/>
        <w:bottom w:w="0" w:type="dxa"/>
        <w:right w:w="108" w:type="dxa"/>
      </w:tblCellMar>
    </w:tblPr>
  </w:style>
  <w:style w:type="paragraph" w:styleId="2">
    <w:name w:val="footer"/>
    <w:basedOn w:val="1"/>
    <w:link w:val="12"/>
    <w:qFormat/>
    <w:uiPriority w:val="0"/>
    <w:pPr>
      <w:tabs>
        <w:tab w:val="center" w:pos="4153"/>
        <w:tab w:val="right" w:pos="8306"/>
      </w:tabs>
      <w:snapToGrid w:val="0"/>
      <w:jc w:val="left"/>
    </w:pPr>
    <w:rPr>
      <w:rFonts w:ascii="Times New Roman" w:hAnsi="Times New Roman" w:cs="Times New Roman"/>
      <w:sz w:val="18"/>
      <w:szCs w:val="18"/>
    </w:rPr>
  </w:style>
  <w:style w:type="paragraph" w:styleId="3">
    <w:name w:val="header"/>
    <w:basedOn w:val="1"/>
    <w:link w:val="13"/>
    <w:qFormat/>
    <w:uiPriority w:val="0"/>
    <w:pPr>
      <w:pBdr>
        <w:bottom w:val="single" w:color="auto" w:sz="6" w:space="1"/>
      </w:pBdr>
      <w:tabs>
        <w:tab w:val="center" w:pos="4153"/>
        <w:tab w:val="right" w:pos="8306"/>
      </w:tabs>
      <w:snapToGrid w:val="0"/>
      <w:jc w:val="center"/>
    </w:pPr>
    <w:rPr>
      <w:rFonts w:ascii="Times New Roman" w:hAnsi="Times New Roman" w:cs="Times New Roman"/>
      <w:sz w:val="18"/>
      <w:szCs w:val="18"/>
    </w:rPr>
  </w:style>
  <w:style w:type="paragraph" w:styleId="4">
    <w:name w:val="toc 1"/>
    <w:basedOn w:val="1"/>
    <w:next w:val="1"/>
    <w:qFormat/>
    <w:uiPriority w:val="0"/>
    <w:rPr>
      <w:rFonts w:ascii="Times New Roman" w:hAnsi="Times New Roman" w:cs="Times New Roman"/>
      <w:szCs w:val="24"/>
    </w:rPr>
  </w:style>
  <w:style w:type="paragraph" w:styleId="5">
    <w:name w:val="footnote text"/>
    <w:basedOn w:val="1"/>
    <w:qFormat/>
    <w:uiPriority w:val="0"/>
    <w:pPr>
      <w:snapToGrid w:val="0"/>
      <w:jc w:val="left"/>
    </w:pPr>
    <w:rPr>
      <w:sz w:val="18"/>
      <w:szCs w:val="18"/>
    </w:rPr>
  </w:style>
  <w:style w:type="paragraph" w:styleId="6">
    <w:name w:val="toc 2"/>
    <w:basedOn w:val="1"/>
    <w:next w:val="1"/>
    <w:qFormat/>
    <w:uiPriority w:val="0"/>
    <w:pPr>
      <w:ind w:left="420" w:leftChars="200"/>
    </w:pPr>
    <w:rPr>
      <w:rFonts w:ascii="Times New Roman" w:hAnsi="Times New Roman" w:cs="Times New Roman"/>
      <w:szCs w:val="24"/>
    </w:rPr>
  </w:style>
  <w:style w:type="character" w:styleId="9">
    <w:name w:val="footnote reference"/>
    <w:qFormat/>
    <w:uiPriority w:val="0"/>
    <w:rPr>
      <w:vertAlign w:val="superscript"/>
    </w:rPr>
  </w:style>
  <w:style w:type="paragraph" w:customStyle="1" w:styleId="10">
    <w:name w:val="Char"/>
    <w:basedOn w:val="1"/>
    <w:qFormat/>
    <w:uiPriority w:val="0"/>
    <w:rPr>
      <w:rFonts w:ascii="Times New Roman" w:hAnsi="Times New Roman" w:cs="Times New Roman"/>
      <w:szCs w:val="24"/>
    </w:rPr>
  </w:style>
  <w:style w:type="character" w:customStyle="1" w:styleId="11">
    <w:name w:val="页码1"/>
    <w:qFormat/>
    <w:uiPriority w:val="0"/>
  </w:style>
  <w:style w:type="character" w:customStyle="1" w:styleId="12">
    <w:name w:val="页脚 Char"/>
    <w:link w:val="2"/>
    <w:semiHidden/>
    <w:qFormat/>
    <w:uiPriority w:val="0"/>
    <w:rPr>
      <w:rFonts w:ascii="Times New Roman" w:hAnsi="Times New Roman" w:eastAsia="宋体" w:cs="Times New Roman"/>
      <w:sz w:val="18"/>
      <w:szCs w:val="18"/>
    </w:rPr>
  </w:style>
  <w:style w:type="character" w:customStyle="1" w:styleId="13">
    <w:name w:val="页眉 Char"/>
    <w:link w:val="3"/>
    <w:semiHidden/>
    <w:qFormat/>
    <w:uiPriority w:val="0"/>
    <w:rPr>
      <w:rFonts w:ascii="Times New Roman" w:hAnsi="Times New Roman" w:eastAsia="宋体" w:cs="Times New Roman"/>
      <w:sz w:val="18"/>
      <w:szCs w:val="18"/>
    </w:rPr>
  </w:style>
  <w:style w:type="paragraph" w:customStyle="1" w:styleId="14">
    <w:name w:val="p0"/>
    <w:basedOn w:val="1"/>
    <w:qFormat/>
    <w:uiPriority w:val="0"/>
    <w:pPr>
      <w:widowControl/>
      <w:spacing w:after="160" w:line="480" w:lineRule="auto"/>
    </w:pPr>
    <w:rPr>
      <w:kern w:val="0"/>
      <w:szCs w:val="21"/>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Ｐゴシック"/>
        <a:font script="Hang" typeface="맑은 고딕"/>
        <a:font script="Hans" typeface="宋体"/>
        <a:font script="Hant" typeface="新細明體"/>
        <a:font script="Arab" typeface="Times New Roman"/>
        <a:font script="Hebr" typeface="Times New Roman"/>
        <a:font script="Thai" typeface="Tahoma"/>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Ｐゴシック"/>
        <a:font script="Hang" typeface="맑은 고딕"/>
        <a:font script="Hans" typeface="宋体"/>
        <a:font script="Hant" typeface="新細明體"/>
        <a:font script="Arab" typeface="Arial"/>
        <a:font script="Hebr" typeface="Arial"/>
        <a:font script="Thai" typeface="Tahoma"/>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atMod val="350000"/>
                <a:shade val="99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Company>Microsoft</Company>
  <Pages>29</Pages>
  <Words>2594</Words>
  <Characters>14791</Characters>
  <Lines>123</Lines>
  <Paragraphs>34</Paragraphs>
  <TotalTime>5</TotalTime>
  <ScaleCrop>false</ScaleCrop>
  <LinksUpToDate>false</LinksUpToDate>
  <CharactersWithSpaces>17351</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2017-01-23T17:29:00Z</dcterms:created>
  <dc:creator>guest</dc:creator>
  <cp:lastModifiedBy>Administrator</cp:lastModifiedBy>
  <cp:lastPrinted>2020-01-10T15:53:00Z</cp:lastPrinted>
  <dcterms:modified xsi:type="dcterms:W3CDTF">2024-06-20T14:46:32Z</dcterms:modified>
  <dc:title>o</dc:title>
  <cp:revision>8</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0E6876123A59488481E580953EEDF756</vt:lpwstr>
  </property>
</Properties>
</file>