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cs="宋体"/>
          <w:b/>
          <w:bCs/>
          <w:sz w:val="44"/>
          <w:szCs w:val="44"/>
        </w:rPr>
      </w:pPr>
      <w:bookmarkStart w:id="0" w:name="_GoBack"/>
      <w:bookmarkEnd w:id="0"/>
    </w:p>
    <w:p>
      <w:pPr>
        <w:ind w:firstLine="5429" w:firstLineChars="1229"/>
        <w:rPr>
          <w:rFonts w:ascii="宋体" w:hAnsi="宋体" w:cs="宋体"/>
          <w:b/>
          <w:bCs/>
          <w:sz w:val="44"/>
          <w:szCs w:val="44"/>
        </w:rPr>
      </w:pPr>
      <w:r>
        <w:rPr>
          <w:rFonts w:hint="eastAsia" w:ascii="宋体" w:hAnsi="宋体" w:cs="宋体"/>
          <w:b/>
          <w:bCs/>
          <w:sz w:val="44"/>
          <w:szCs w:val="44"/>
        </w:rPr>
        <w:t>无极县住建局</w:t>
      </w:r>
    </w:p>
    <w:p>
      <w:pPr>
        <w:jc w:val="center"/>
        <w:rPr>
          <w:rFonts w:ascii="宋体" w:hAnsi="宋体" w:cs="宋体"/>
          <w:b/>
          <w:bCs/>
          <w:sz w:val="44"/>
          <w:szCs w:val="44"/>
        </w:rPr>
      </w:pPr>
      <w:r>
        <w:rPr>
          <w:rFonts w:hint="eastAsia" w:ascii="宋体" w:hAnsi="宋体" w:cs="宋体"/>
          <w:b/>
          <w:bCs/>
          <w:sz w:val="44"/>
          <w:szCs w:val="44"/>
        </w:rPr>
        <w:t>2018年部门预算信息公开说明目录</w:t>
      </w:r>
    </w:p>
    <w:p/>
    <w:p/>
    <w:p>
      <w:pPr>
        <w:ind w:firstLine="640" w:firstLineChars="200"/>
        <w:rPr>
          <w:rFonts w:ascii="宋体" w:hAnsi="宋体" w:cs="仿宋_GB2312"/>
          <w:sz w:val="32"/>
          <w:szCs w:val="32"/>
        </w:rPr>
      </w:pPr>
      <w:r>
        <w:rPr>
          <w:rFonts w:hint="eastAsia" w:ascii="宋体" w:hAnsi="宋体" w:cs="仿宋_GB2312"/>
          <w:sz w:val="32"/>
          <w:szCs w:val="32"/>
        </w:rPr>
        <w:t>一、部门职责及机构设置情况</w:t>
      </w:r>
    </w:p>
    <w:p>
      <w:pPr>
        <w:ind w:firstLine="640" w:firstLineChars="200"/>
        <w:rPr>
          <w:rFonts w:ascii="宋体" w:hAnsi="宋体" w:cs="仿宋_GB2312"/>
          <w:sz w:val="32"/>
          <w:szCs w:val="32"/>
        </w:rPr>
      </w:pPr>
      <w:r>
        <w:rPr>
          <w:rFonts w:hint="eastAsia" w:ascii="宋体" w:hAnsi="宋体" w:cs="仿宋_GB2312"/>
          <w:sz w:val="32"/>
          <w:szCs w:val="32"/>
        </w:rPr>
        <w:t>二、部门预算安排的总体情况</w:t>
      </w:r>
    </w:p>
    <w:p>
      <w:pPr>
        <w:ind w:firstLine="640" w:firstLineChars="200"/>
        <w:rPr>
          <w:rFonts w:ascii="宋体" w:hAnsi="宋体" w:cs="仿宋_GB2312"/>
          <w:sz w:val="32"/>
          <w:szCs w:val="32"/>
        </w:rPr>
      </w:pPr>
      <w:r>
        <w:rPr>
          <w:rFonts w:hint="eastAsia" w:ascii="宋体" w:hAnsi="宋体" w:cs="仿宋_GB2312"/>
          <w:sz w:val="32"/>
          <w:szCs w:val="32"/>
        </w:rPr>
        <w:t>三、机关运行经费安排情况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四、财政拨款“三公”经费预算情况及增减变化原因</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五、绩效预算信息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六、政府采购预算情况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七、国有资产信息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八、名词解释</w:t>
      </w:r>
    </w:p>
    <w:p>
      <w:pPr>
        <w:autoSpaceDE w:val="0"/>
        <w:autoSpaceDN w:val="0"/>
        <w:adjustRightInd w:val="0"/>
        <w:ind w:firstLine="640" w:firstLineChars="200"/>
        <w:jc w:val="left"/>
        <w:rPr>
          <w:rFonts w:ascii="宋体" w:hAnsi="宋体"/>
          <w:sz w:val="32"/>
          <w:szCs w:val="32"/>
        </w:rPr>
      </w:pPr>
      <w:r>
        <w:rPr>
          <w:rFonts w:hint="eastAsia" w:ascii="宋体" w:hAnsi="宋体" w:cs="仿宋_GB2312"/>
          <w:sz w:val="32"/>
          <w:szCs w:val="32"/>
        </w:rPr>
        <w:t>九、其他需要说明的事项</w:t>
      </w:r>
    </w:p>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按照</w:t>
      </w:r>
      <w:r>
        <w:rPr>
          <w:rFonts w:hint="eastAsia" w:ascii="仿宋_GB2312" w:hAnsi="仿宋" w:eastAsia="仿宋_GB2312" w:cs="仿宋"/>
          <w:sz w:val="32"/>
          <w:szCs w:val="32"/>
          <w:lang w:eastAsia="zh-CN"/>
        </w:rPr>
        <w:t>《中华人民共和国预算法》</w:t>
      </w:r>
      <w:r>
        <w:rPr>
          <w:rFonts w:hint="eastAsia" w:ascii="仿宋_GB2312" w:hAnsi="仿宋" w:eastAsia="仿宋_GB2312" w:cs="仿宋"/>
          <w:sz w:val="32"/>
          <w:szCs w:val="32"/>
        </w:rPr>
        <w:t>、《地方预决算公开操作规程》和《河北省省级预算公开办法》规定，现将无极县住建局2018年部门预算公开如下：</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ind w:firstLine="645"/>
        <w:rPr>
          <w:rFonts w:ascii="楷体" w:hAnsi="楷体" w:eastAsia="楷体" w:cs="仿宋_GB2312"/>
          <w:sz w:val="32"/>
          <w:szCs w:val="32"/>
        </w:rPr>
      </w:pPr>
      <w:r>
        <w:rPr>
          <w:rFonts w:hint="eastAsia" w:ascii="楷体" w:hAnsi="楷体" w:eastAsia="楷体" w:cs="仿宋_GB2312"/>
          <w:sz w:val="32"/>
          <w:szCs w:val="32"/>
        </w:rPr>
        <w:t>（一）部门职责</w:t>
      </w:r>
    </w:p>
    <w:p>
      <w:pPr>
        <w:ind w:firstLine="645"/>
        <w:rPr>
          <w:rFonts w:ascii="仿宋" w:hAnsi="仿宋" w:eastAsia="仿宋" w:cs="仿宋_GB2312"/>
          <w:sz w:val="32"/>
          <w:szCs w:val="32"/>
        </w:rPr>
      </w:pPr>
      <w:r>
        <w:rPr>
          <w:rFonts w:hint="eastAsia" w:ascii="仿宋" w:hAnsi="仿宋" w:eastAsia="仿宋" w:cs="仿宋"/>
          <w:sz w:val="32"/>
          <w:szCs w:val="32"/>
        </w:rPr>
        <w:t>贯彻执行国家、省、市关于住房和城乡建设工作的方针、政策及法律、法规，拟订全县住房和城乡建设地方性规章，并监督实施；负责工程建设项目的招投标，建筑工程质量竣工验收；负责全县市政基础设施建设和管理，编制年度城建资金使用计划，指导城市市政公用事业、园林绿化、市容环卫、城市综合开发、旧城拆迁改造工作；负责全县房产管理及相关工作；负责全县城市供热管理及相关工作；承办县政府交办的其它事项。</w:t>
      </w:r>
    </w:p>
    <w:p>
      <w:pPr>
        <w:ind w:firstLine="645"/>
        <w:rPr>
          <w:rFonts w:ascii="楷体" w:hAnsi="楷体" w:eastAsia="楷体" w:cs="仿宋_GB2312"/>
          <w:sz w:val="32"/>
          <w:szCs w:val="32"/>
        </w:rPr>
      </w:pPr>
    </w:p>
    <w:p>
      <w:pPr>
        <w:ind w:firstLine="645"/>
        <w:rPr>
          <w:rFonts w:ascii="楷体" w:hAnsi="楷体" w:eastAsia="楷体" w:cs="仿宋_GB2312"/>
          <w:sz w:val="32"/>
          <w:szCs w:val="32"/>
        </w:rPr>
      </w:pPr>
    </w:p>
    <w:p>
      <w:pPr>
        <w:ind w:firstLine="645"/>
        <w:rPr>
          <w:rFonts w:ascii="楷体" w:hAnsi="楷体" w:eastAsia="楷体" w:cs="仿宋_GB2312"/>
          <w:sz w:val="32"/>
          <w:szCs w:val="32"/>
        </w:rPr>
      </w:pPr>
      <w:r>
        <w:rPr>
          <w:rFonts w:hint="eastAsia" w:ascii="楷体" w:hAnsi="楷体" w:eastAsia="楷体" w:cs="仿宋_GB2312"/>
          <w:sz w:val="32"/>
          <w:szCs w:val="32"/>
        </w:rPr>
        <w:t>（二）机构设置</w:t>
      </w:r>
    </w:p>
    <w:p>
      <w:pPr>
        <w:jc w:val="center"/>
        <w:rPr>
          <w:rFonts w:ascii="仿宋" w:hAnsi="仿宋" w:eastAsia="仿宋"/>
          <w:sz w:val="32"/>
          <w:szCs w:val="32"/>
        </w:rPr>
      </w:pPr>
      <w:r>
        <w:rPr>
          <w:rFonts w:hint="eastAsia" w:ascii="仿宋" w:hAnsi="仿宋" w:eastAsia="仿宋"/>
          <w:sz w:val="32"/>
          <w:szCs w:val="32"/>
        </w:rPr>
        <w:t>部门机构设置情况</w:t>
      </w:r>
    </w:p>
    <w:tbl>
      <w:tblPr>
        <w:tblStyle w:val="4"/>
        <w:tblW w:w="144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13"/>
        <w:gridCol w:w="2159"/>
        <w:gridCol w:w="1276"/>
        <w:gridCol w:w="2353"/>
        <w:gridCol w:w="709"/>
        <w:gridCol w:w="709"/>
        <w:gridCol w:w="709"/>
        <w:gridCol w:w="709"/>
        <w:gridCol w:w="709"/>
        <w:gridCol w:w="709"/>
        <w:gridCol w:w="709"/>
        <w:gridCol w:w="7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219"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333</w:t>
            </w:r>
            <w:r>
              <w:rPr>
                <w:rFonts w:hint="eastAsia" w:ascii="方正小标宋_GBK" w:eastAsia="方正小标宋_GBK"/>
                <w:sz w:val="24"/>
              </w:rPr>
              <w:t>住建局</w:t>
            </w:r>
          </w:p>
        </w:tc>
        <w:tc>
          <w:tcPr>
            <w:tcW w:w="425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9" w:hRule="atLeast"/>
          <w:tblHeader/>
          <w:jc w:val="center"/>
        </w:trPr>
        <w:tc>
          <w:tcPr>
            <w:tcW w:w="301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215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235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经费保障形式</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车辆编制数</w:t>
            </w:r>
          </w:p>
        </w:tc>
        <w:tc>
          <w:tcPr>
            <w:tcW w:w="14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编制人数</w:t>
            </w:r>
          </w:p>
        </w:tc>
        <w:tc>
          <w:tcPr>
            <w:tcW w:w="14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在职人数</w:t>
            </w:r>
          </w:p>
        </w:tc>
        <w:tc>
          <w:tcPr>
            <w:tcW w:w="2127" w:type="dxa"/>
            <w:gridSpan w:val="3"/>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离退人数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9" w:hRule="atLeast"/>
          <w:tblHeader/>
          <w:jc w:val="center"/>
        </w:trPr>
        <w:tc>
          <w:tcPr>
            <w:tcW w:w="3013" w:type="dxa"/>
            <w:vMerge w:val="continue"/>
            <w:shd w:val="clear" w:color="auto" w:fill="auto"/>
            <w:vAlign w:val="center"/>
          </w:tcPr>
          <w:p>
            <w:pPr>
              <w:spacing w:line="300" w:lineRule="exact"/>
              <w:jc w:val="left"/>
              <w:outlineLvl w:val="0"/>
            </w:pPr>
          </w:p>
        </w:tc>
        <w:tc>
          <w:tcPr>
            <w:tcW w:w="2159"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353" w:type="dxa"/>
            <w:vMerge w:val="continue"/>
            <w:shd w:val="clear" w:color="auto" w:fill="auto"/>
            <w:vAlign w:val="center"/>
          </w:tcPr>
          <w:p>
            <w:pPr>
              <w:spacing w:line="300" w:lineRule="exact"/>
              <w:jc w:val="left"/>
              <w:outlineLvl w:val="0"/>
            </w:pPr>
          </w:p>
        </w:tc>
        <w:tc>
          <w:tcPr>
            <w:tcW w:w="709" w:type="dxa"/>
            <w:vMerge w:val="continue"/>
            <w:shd w:val="clear" w:color="auto" w:fill="auto"/>
            <w:vAlign w:val="center"/>
          </w:tcPr>
          <w:p>
            <w:pPr>
              <w:spacing w:line="300" w:lineRule="exact"/>
              <w:jc w:val="left"/>
              <w:outlineLvl w:val="0"/>
            </w:pP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离休</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退休</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退职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2" w:hRule="atLeast"/>
          <w:jc w:val="center"/>
        </w:trPr>
        <w:tc>
          <w:tcPr>
            <w:tcW w:w="301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159" w:type="dxa"/>
            <w:shd w:val="clear" w:color="auto" w:fill="auto"/>
            <w:vAlign w:val="center"/>
          </w:tcPr>
          <w:p>
            <w:pPr>
              <w:spacing w:line="300" w:lineRule="exact"/>
              <w:jc w:val="center"/>
              <w:rPr>
                <w:rFonts w:ascii="方正书宋_GBK" w:eastAsia="方正书宋_GBK"/>
                <w:b/>
              </w:rPr>
            </w:pPr>
          </w:p>
        </w:tc>
        <w:tc>
          <w:tcPr>
            <w:tcW w:w="1276" w:type="dxa"/>
            <w:shd w:val="clear" w:color="auto" w:fill="auto"/>
            <w:vAlign w:val="center"/>
          </w:tcPr>
          <w:p>
            <w:pPr>
              <w:spacing w:line="300" w:lineRule="exact"/>
              <w:jc w:val="center"/>
              <w:rPr>
                <w:rFonts w:ascii="方正书宋_GBK" w:eastAsia="方正书宋_GBK"/>
                <w:b/>
              </w:rPr>
            </w:pPr>
          </w:p>
        </w:tc>
        <w:tc>
          <w:tcPr>
            <w:tcW w:w="2353" w:type="dxa"/>
            <w:shd w:val="clear" w:color="auto" w:fill="auto"/>
            <w:vAlign w:val="center"/>
          </w:tcPr>
          <w:p>
            <w:pPr>
              <w:spacing w:line="300" w:lineRule="exact"/>
              <w:jc w:val="center"/>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30</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31</w:t>
            </w: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22</w:t>
            </w: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103</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118</w:t>
            </w:r>
          </w:p>
        </w:tc>
        <w:tc>
          <w:tcPr>
            <w:tcW w:w="709" w:type="dxa"/>
            <w:shd w:val="clear" w:color="auto" w:fill="auto"/>
            <w:vAlign w:val="center"/>
          </w:tcPr>
          <w:p>
            <w:pPr>
              <w:spacing w:line="300" w:lineRule="exact"/>
              <w:jc w:val="center"/>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2</w:t>
            </w:r>
          </w:p>
        </w:tc>
        <w:tc>
          <w:tcPr>
            <w:tcW w:w="709" w:type="dxa"/>
            <w:shd w:val="clear" w:color="auto" w:fill="auto"/>
            <w:vAlign w:val="center"/>
          </w:tcPr>
          <w:p>
            <w:pPr>
              <w:spacing w:line="300" w:lineRule="exact"/>
              <w:jc w:val="center"/>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7" w:hRule="atLeast"/>
          <w:jc w:val="center"/>
        </w:trPr>
        <w:tc>
          <w:tcPr>
            <w:tcW w:w="301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无极县住房和城乡建设局</w:t>
            </w:r>
          </w:p>
        </w:tc>
        <w:tc>
          <w:tcPr>
            <w:tcW w:w="215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行政</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正科级</w:t>
            </w:r>
          </w:p>
        </w:tc>
        <w:tc>
          <w:tcPr>
            <w:tcW w:w="235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财政拨款</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30</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10</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103</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709"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6" w:hRule="atLeast"/>
          <w:jc w:val="center"/>
        </w:trPr>
        <w:tc>
          <w:tcPr>
            <w:tcW w:w="301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无极县建筑工程质量监督站</w:t>
            </w:r>
          </w:p>
        </w:tc>
        <w:tc>
          <w:tcPr>
            <w:tcW w:w="2159" w:type="dxa"/>
            <w:shd w:val="clear" w:color="auto" w:fill="auto"/>
            <w:vAlign w:val="center"/>
          </w:tcPr>
          <w:p>
            <w:pPr>
              <w:spacing w:line="300" w:lineRule="exact"/>
              <w:jc w:val="center"/>
              <w:rPr>
                <w:rFonts w:ascii="方正书宋_GBK" w:eastAsia="方正书宋_GBK"/>
              </w:rPr>
            </w:pPr>
            <w:r>
              <w:rPr>
                <w:rFonts w:hint="eastAsia" w:ascii="方正书宋_GBK"/>
              </w:rPr>
              <w:t>事业</w:t>
            </w:r>
          </w:p>
        </w:tc>
        <w:tc>
          <w:tcPr>
            <w:tcW w:w="1276" w:type="dxa"/>
            <w:shd w:val="clear" w:color="auto" w:fill="auto"/>
            <w:vAlign w:val="center"/>
          </w:tcPr>
          <w:p>
            <w:pPr>
              <w:spacing w:line="300" w:lineRule="exact"/>
              <w:jc w:val="center"/>
              <w:rPr>
                <w:rFonts w:ascii="方正书宋_GBK"/>
              </w:rPr>
            </w:pPr>
            <w:r>
              <w:rPr>
                <w:rFonts w:hint="eastAsia" w:ascii="方正书宋_GBK"/>
              </w:rPr>
              <w:t>其他</w:t>
            </w:r>
          </w:p>
        </w:tc>
        <w:tc>
          <w:tcPr>
            <w:tcW w:w="235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22</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6" w:hRule="atLeast"/>
          <w:jc w:val="center"/>
        </w:trPr>
        <w:tc>
          <w:tcPr>
            <w:tcW w:w="301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无极县城市管理局</w:t>
            </w:r>
          </w:p>
        </w:tc>
        <w:tc>
          <w:tcPr>
            <w:tcW w:w="2159" w:type="dxa"/>
            <w:shd w:val="clear" w:color="auto" w:fill="auto"/>
            <w:vAlign w:val="center"/>
          </w:tcPr>
          <w:p>
            <w:pPr>
              <w:spacing w:line="300" w:lineRule="exact"/>
              <w:jc w:val="center"/>
              <w:rPr>
                <w:rFonts w:ascii="方正书宋_GBK"/>
              </w:rPr>
            </w:pPr>
            <w:r>
              <w:rPr>
                <w:rFonts w:hint="eastAsia" w:ascii="方正书宋_GBK"/>
              </w:rPr>
              <w:t>事业</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股级</w:t>
            </w:r>
          </w:p>
        </w:tc>
        <w:tc>
          <w:tcPr>
            <w:tcW w:w="2353" w:type="dxa"/>
            <w:shd w:val="clear" w:color="auto" w:fill="auto"/>
            <w:vAlign w:val="center"/>
          </w:tcPr>
          <w:p>
            <w:pPr>
              <w:spacing w:line="300" w:lineRule="exact"/>
              <w:jc w:val="center"/>
              <w:rPr>
                <w:rFonts w:ascii="方正书宋_GBK"/>
              </w:rPr>
            </w:pPr>
            <w:r>
              <w:rPr>
                <w:rFonts w:hint="eastAsia" w:ascii="方正书宋_GBK"/>
              </w:rPr>
              <w:t>财政性资金基本保证</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101</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6" w:hRule="atLeast"/>
          <w:jc w:val="center"/>
        </w:trPr>
        <w:tc>
          <w:tcPr>
            <w:tcW w:w="301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无极县房地产管理办公室</w:t>
            </w:r>
          </w:p>
        </w:tc>
        <w:tc>
          <w:tcPr>
            <w:tcW w:w="215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事业</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股级</w:t>
            </w:r>
          </w:p>
        </w:tc>
        <w:tc>
          <w:tcPr>
            <w:tcW w:w="235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21</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17</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r>
    </w:tbl>
    <w:p>
      <w:pPr>
        <w:rPr>
          <w:rFonts w:ascii="黑体" w:hAnsi="黑体" w:eastAsia="黑体" w:cs="仿宋_GB2312"/>
          <w:sz w:val="32"/>
          <w:szCs w:val="32"/>
        </w:rPr>
      </w:pPr>
      <w:r>
        <w:rPr>
          <w:rFonts w:hint="eastAsia" w:ascii="黑体" w:hAnsi="黑体" w:eastAsia="黑体" w:cs="仿宋_GB2312"/>
          <w:sz w:val="32"/>
          <w:szCs w:val="32"/>
        </w:rPr>
        <w:t>二、部门预算安排的总体情况</w:t>
      </w:r>
    </w:p>
    <w:p>
      <w:pPr>
        <w:ind w:firstLine="640" w:firstLineChars="200"/>
        <w:rPr>
          <w:rFonts w:ascii="黑体" w:hAnsi="仿宋_GB2312" w:eastAsia="黑体" w:cs="仿宋_GB2312"/>
          <w:sz w:val="30"/>
          <w:szCs w:val="30"/>
        </w:rPr>
      </w:pPr>
      <w:r>
        <w:rPr>
          <w:rFonts w:hint="eastAsia" w:ascii="仿宋" w:hAnsi="仿宋" w:eastAsia="仿宋" w:cs="仿宋_GB2312"/>
          <w:sz w:val="32"/>
          <w:szCs w:val="32"/>
        </w:rPr>
        <w:t>按照预算管理有关规定，目前我县部门预算的编制实行综合预算制度，即全部收入和支出都反映在预算里，我部门及所属单位所有收支都包含在部门预算中</w:t>
      </w:r>
      <w:r>
        <w:rPr>
          <w:rFonts w:hint="eastAsia" w:ascii="黑体" w:hAnsi="仿宋_GB2312" w:eastAsia="黑体" w:cs="仿宋_GB2312"/>
          <w:sz w:val="30"/>
          <w:szCs w:val="30"/>
        </w:rPr>
        <w:t>。</w:t>
      </w:r>
    </w:p>
    <w:p>
      <w:pPr>
        <w:pStyle w:val="8"/>
        <w:numPr>
          <w:ilvl w:val="0"/>
          <w:numId w:val="1"/>
        </w:numPr>
        <w:ind w:firstLineChars="0"/>
        <w:rPr>
          <w:rFonts w:ascii="楷体" w:hAnsi="楷体" w:eastAsia="楷体" w:cs="仿宋_GB2312"/>
          <w:sz w:val="30"/>
          <w:szCs w:val="30"/>
        </w:rPr>
      </w:pPr>
      <w:r>
        <w:rPr>
          <w:rFonts w:hint="eastAsia" w:ascii="楷体" w:hAnsi="楷体" w:eastAsia="楷体" w:cs="仿宋_GB2312"/>
          <w:sz w:val="30"/>
          <w:szCs w:val="30"/>
        </w:rPr>
        <w:t>收入说明</w:t>
      </w:r>
    </w:p>
    <w:p>
      <w:pPr>
        <w:adjustRightInd w:val="0"/>
        <w:snapToGrid w:val="0"/>
        <w:spacing w:line="600" w:lineRule="exact"/>
        <w:ind w:left="601" w:leftChars="286" w:firstLine="640" w:firstLineChars="200"/>
        <w:jc w:val="left"/>
        <w:rPr>
          <w:rFonts w:ascii="仿宋_GB2312" w:eastAsia="仿宋_GB2312" w:cs="仿宋_GB2312"/>
          <w:bCs/>
          <w:sz w:val="32"/>
          <w:szCs w:val="32"/>
        </w:rPr>
      </w:pPr>
      <w:r>
        <w:rPr>
          <w:rFonts w:hint="eastAsia" w:ascii="仿宋_GB2312" w:eastAsia="仿宋_GB2312" w:cs="仿宋_GB2312"/>
          <w:bCs/>
          <w:sz w:val="32"/>
          <w:szCs w:val="32"/>
        </w:rPr>
        <w:t>无极县住建局2018年预算收入总计8795.61万元。其中，一般公共预算收入8670.11万元、政府性基金收入0万元、财政专户核拨收入0万元，其他来源收入125.5万元。</w:t>
      </w:r>
    </w:p>
    <w:p>
      <w:pPr>
        <w:pStyle w:val="8"/>
        <w:numPr>
          <w:ilvl w:val="0"/>
          <w:numId w:val="1"/>
        </w:numPr>
        <w:ind w:firstLineChars="0"/>
        <w:rPr>
          <w:rFonts w:ascii="楷体" w:hAnsi="楷体" w:eastAsia="楷体"/>
          <w:sz w:val="32"/>
          <w:szCs w:val="32"/>
        </w:rPr>
      </w:pPr>
      <w:r>
        <w:rPr>
          <w:rFonts w:hint="eastAsia" w:ascii="楷体" w:hAnsi="楷体" w:eastAsia="楷体"/>
          <w:sz w:val="32"/>
          <w:szCs w:val="32"/>
        </w:rPr>
        <w:t>支出说明</w:t>
      </w:r>
    </w:p>
    <w:p>
      <w:pPr>
        <w:adjustRightInd w:val="0"/>
        <w:snapToGrid w:val="0"/>
        <w:spacing w:line="600" w:lineRule="exact"/>
        <w:ind w:left="601" w:leftChars="286" w:firstLine="640" w:firstLineChars="200"/>
        <w:jc w:val="left"/>
        <w:rPr>
          <w:rFonts w:ascii="仿宋_GB2312" w:eastAsia="仿宋_GB2312" w:cs="仿宋_GB2312"/>
          <w:bCs/>
          <w:sz w:val="32"/>
          <w:szCs w:val="32"/>
        </w:rPr>
      </w:pPr>
      <w:r>
        <w:rPr>
          <w:rFonts w:hint="eastAsia" w:ascii="仿宋_GB2312" w:eastAsia="仿宋_GB2312" w:cs="仿宋_GB2312"/>
          <w:bCs/>
          <w:sz w:val="32"/>
          <w:szCs w:val="32"/>
        </w:rPr>
        <w:t>2018年预算支出8795.61万元。其中，人员经费支出657.83万元，正常公用经费13.02万元，项目支出8124.76万元。</w:t>
      </w:r>
    </w:p>
    <w:p>
      <w:pPr>
        <w:pStyle w:val="8"/>
        <w:numPr>
          <w:ilvl w:val="0"/>
          <w:numId w:val="1"/>
        </w:numPr>
        <w:ind w:firstLineChars="0"/>
        <w:rPr>
          <w:rFonts w:ascii="楷体" w:hAnsi="楷体" w:eastAsia="楷体"/>
          <w:sz w:val="32"/>
          <w:szCs w:val="32"/>
        </w:rPr>
      </w:pPr>
      <w:r>
        <w:rPr>
          <w:rFonts w:hint="eastAsia" w:ascii="楷体" w:hAnsi="楷体" w:eastAsia="楷体"/>
          <w:sz w:val="32"/>
          <w:szCs w:val="32"/>
        </w:rPr>
        <w:t>比上年增减情况</w:t>
      </w:r>
    </w:p>
    <w:p>
      <w:pPr>
        <w:pStyle w:val="9"/>
        <w:spacing w:line="360" w:lineRule="auto"/>
        <w:ind w:left="601" w:leftChars="286" w:firstLine="640" w:firstLineChars="200"/>
        <w:rPr>
          <w:rFonts w:ascii="仿宋_GB2312" w:eastAsia="仿宋_GB2312"/>
          <w:sz w:val="32"/>
          <w:szCs w:val="32"/>
        </w:rPr>
      </w:pPr>
      <w:r>
        <w:rPr>
          <w:rFonts w:hint="eastAsia" w:ascii="仿宋_GB2312" w:eastAsia="仿宋_GB2312"/>
          <w:sz w:val="32"/>
          <w:szCs w:val="32"/>
        </w:rPr>
        <w:t>2018年部门预算较2017年增加5250.41万元，主要是部分人员经费调入项目和公用经费标准定额调整；项目支出增加5588.76万元，主要是由于项目调整增加，供暖补贴加入部门预算。</w:t>
      </w:r>
    </w:p>
    <w:p>
      <w:pPr>
        <w:ind w:firstLine="640" w:firstLineChars="2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2018年机关运行经费共计安排13.02万元，主要用于我部门其他交通费。</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四、财政拨款“三公”经费预算情况及增减变化原因</w:t>
      </w:r>
    </w:p>
    <w:p>
      <w:pPr>
        <w:autoSpaceDE w:val="0"/>
        <w:autoSpaceDN w:val="0"/>
        <w:adjustRightInd w:val="0"/>
        <w:ind w:firstLine="640" w:firstLineChars="200"/>
        <w:jc w:val="left"/>
        <w:rPr>
          <w:rFonts w:ascii="仿宋_GB2312" w:hAnsi="仿宋" w:eastAsia="仿宋_GB2312"/>
          <w:sz w:val="32"/>
          <w:szCs w:val="32"/>
        </w:rPr>
      </w:pPr>
      <w:r>
        <w:rPr>
          <w:rFonts w:hint="eastAsia" w:ascii="仿宋_GB2312" w:hAnsi="仿宋" w:eastAsia="仿宋_GB2312"/>
          <w:sz w:val="32"/>
          <w:szCs w:val="32"/>
        </w:rPr>
        <w:t>2018年本部门安排“三公”经费 3.7万元。2018年三公经费与上年相比减少14.3万元。</w:t>
      </w:r>
    </w:p>
    <w:p>
      <w:pPr>
        <w:autoSpaceDE w:val="0"/>
        <w:autoSpaceDN w:val="0"/>
        <w:adjustRightInd w:val="0"/>
        <w:ind w:firstLine="640" w:firstLineChars="200"/>
        <w:jc w:val="left"/>
        <w:rPr>
          <w:rFonts w:ascii="黑体" w:hAnsi="黑体" w:eastAsia="黑体" w:cs="仿宋_GB2312"/>
          <w:sz w:val="32"/>
          <w:szCs w:val="32"/>
        </w:rPr>
      </w:pPr>
      <w:r>
        <w:rPr>
          <w:rFonts w:hint="eastAsia" w:ascii="仿宋_GB2312" w:hAnsi="仿宋" w:eastAsia="仿宋_GB2312"/>
          <w:sz w:val="32"/>
          <w:szCs w:val="32"/>
        </w:rPr>
        <w:t>其中：公务用车购置0万元，与上年一致；公务用车运行维护费 3万元，与上年相比减少15万元。</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1、因公出国（境）费0万元，与上年持平，无增减变化。</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2、公务用车购置0万元，公务用车运行维护费3万元，与上年相比减少15万元，主要是压缩经费开支。</w:t>
      </w:r>
    </w:p>
    <w:p>
      <w:pPr>
        <w:ind w:firstLine="640" w:firstLineChars="200"/>
        <w:outlineLvl w:val="0"/>
        <w:rPr>
          <w:rFonts w:ascii="仿宋_GB2312" w:hAnsi="仿宋" w:eastAsia="仿宋_GB2312"/>
          <w:color w:val="000000" w:themeColor="text1"/>
          <w:sz w:val="32"/>
          <w:szCs w:val="32"/>
        </w:rPr>
      </w:pPr>
      <w:r>
        <w:rPr>
          <w:rFonts w:hint="eastAsia" w:ascii="仿宋_GB2312" w:hAnsi="仿宋" w:eastAsia="仿宋_GB2312"/>
          <w:color w:val="000000" w:themeColor="text1"/>
          <w:sz w:val="32"/>
          <w:szCs w:val="32"/>
        </w:rPr>
        <w:t>3、公务接待费0.7万元，与上年增长0.7万元，根据工作需要，</w:t>
      </w:r>
      <w:r>
        <w:rPr>
          <w:rFonts w:hint="eastAsia" w:ascii="仿宋_GB2312" w:hAnsi="仿宋" w:eastAsia="仿宋_GB2312"/>
          <w:sz w:val="32"/>
          <w:szCs w:val="32"/>
        </w:rPr>
        <w:t>本年度部门需增加公务接待费用</w:t>
      </w:r>
      <w:r>
        <w:rPr>
          <w:rFonts w:hint="eastAsia" w:ascii="仿宋_GB2312" w:hAnsi="仿宋" w:eastAsia="仿宋_GB2312"/>
          <w:color w:val="000000" w:themeColor="text1"/>
          <w:sz w:val="32"/>
          <w:szCs w:val="32"/>
        </w:rPr>
        <w:t>。</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五、绩效预算信息</w:t>
      </w:r>
    </w:p>
    <w:p>
      <w:pPr>
        <w:ind w:firstLine="645"/>
        <w:rPr>
          <w:rFonts w:ascii="楷体" w:hAnsi="楷体" w:eastAsia="楷体"/>
          <w:sz w:val="32"/>
          <w:szCs w:val="32"/>
        </w:rPr>
      </w:pPr>
      <w:r>
        <w:rPr>
          <w:rFonts w:hint="eastAsia" w:ascii="楷体" w:hAnsi="楷体" w:eastAsia="楷体"/>
          <w:sz w:val="32"/>
          <w:szCs w:val="32"/>
        </w:rPr>
        <w:t>（一）总体绩效目标</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1.总体目标：  进一步健全住房保障体系，稳妥推进住房制度改革，按照国家要求达到城镇住房保障工作目标；加强市政设施管理，提高城市承载能力和宜居度；加强村镇建设，改善农村人居环境，实现城乡统筹发展；规范建筑市场各方主体行为，促进建筑市场健康发展，提高建筑工程质量，减少建筑安全事故，提高行业水平；提高建设科技对住房城乡建设发展的贡献率，充分发挥建筑节能在城镇节能减排中的作用，提高新型墙体材料、新技术和建筑节能产品在新建筑中的应用；加强全县住房城乡建设人才队伍建设，提高人才业务素质，提高行业水平，规范审批行为，推进政务公开，增强服务意识，提高工作效率。负责城镇古树名木和风景名胜资源保护，加强风景名胜区监测管理，编制历史文化名城名镇名村及传统村落规划，加强保护，对核心保护范围内的历史建筑、传统建筑修缮、基础设施改造和环境综合整治。</w:t>
      </w:r>
    </w:p>
    <w:p>
      <w:pPr>
        <w:ind w:firstLine="560"/>
        <w:rPr>
          <w:rFonts w:ascii="仿宋_GB2312" w:hAnsi="方正仿宋_GBK" w:eastAsia="仿宋_GB2312" w:cs="仿宋"/>
          <w:sz w:val="32"/>
          <w:szCs w:val="32"/>
        </w:rPr>
      </w:pPr>
      <w:r>
        <w:rPr>
          <w:rFonts w:hint="eastAsia" w:ascii="仿宋_GB2312" w:hAnsi="方正仿宋_GBK" w:eastAsia="仿宋_GB2312" w:cs="仿宋"/>
          <w:sz w:val="32"/>
          <w:szCs w:val="32"/>
        </w:rPr>
        <w:t>2.实现年度发展规划目标的保障措施</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及时出台措施，建立健全公平公正公开的分配机制和优质高效管理服务机制，使保障性住房及时分配到位；加强村镇建设管理，改善农村人居环境实现城乡的统筹发展；加强传统村落保护的宣传力度；加强城镇古树名木和风景名胜、历史文化名城和街区保护的宣传力度；加强干部队伍建设，激励工作热情，提高整体业务素质和行业管理服务水平。提升机关及行业信息化水平，保障各类业务系统安全稳定运行，加大信息宣传力度，创造良好舆论氛围，提高干部职工文化和身体素质。</w:t>
      </w:r>
    </w:p>
    <w:p>
      <w:pPr>
        <w:ind w:firstLine="645"/>
        <w:rPr>
          <w:rFonts w:ascii="楷体" w:hAnsi="楷体" w:eastAsia="楷体"/>
          <w:sz w:val="32"/>
          <w:szCs w:val="32"/>
        </w:rPr>
      </w:pPr>
      <w:r>
        <w:rPr>
          <w:rFonts w:hint="eastAsia" w:ascii="楷体" w:hAnsi="楷体" w:eastAsia="楷体"/>
          <w:sz w:val="32"/>
          <w:szCs w:val="32"/>
        </w:rPr>
        <w:t>（二）部门职责-工作活动绩效目标</w:t>
      </w:r>
    </w:p>
    <w:p>
      <w:pPr>
        <w:ind w:firstLine="645"/>
        <w:jc w:val="center"/>
        <w:rPr>
          <w:rFonts w:ascii="仿宋" w:hAnsi="仿宋" w:eastAsia="仿宋"/>
          <w:sz w:val="32"/>
          <w:szCs w:val="32"/>
        </w:rPr>
      </w:pPr>
      <w:r>
        <w:rPr>
          <w:rFonts w:hint="eastAsia" w:ascii="仿宋" w:hAnsi="仿宋" w:eastAsia="仿宋"/>
          <w:sz w:val="32"/>
          <w:szCs w:val="32"/>
        </w:rPr>
        <w:t>部门职责-工作活动绩效目标</w:t>
      </w:r>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333</w:t>
            </w:r>
            <w:r>
              <w:rPr>
                <w:rFonts w:hint="eastAsia" w:ascii="方正小标宋_GBK" w:eastAsia="方正小标宋_GBK"/>
                <w:sz w:val="24"/>
              </w:rPr>
              <w:t>住建局</w:t>
            </w:r>
          </w:p>
        </w:tc>
        <w:tc>
          <w:tcPr>
            <w:tcW w:w="29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1417" w:type="dxa"/>
            <w:vMerge w:val="continue"/>
            <w:shd w:val="clear" w:color="auto" w:fill="auto"/>
            <w:vAlign w:val="center"/>
          </w:tcPr>
          <w:p>
            <w:pPr>
              <w:spacing w:line="300" w:lineRule="exact"/>
              <w:jc w:val="left"/>
              <w:outlineLvl w:val="0"/>
            </w:pP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住房保障及公积金管理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拟定住房保障政策并指导实施；承办中央和省级城镇保障性安居工程资金安排有关事项；组织编制住房保障建设发展规划和年度计划并监督实施；指导住房建设和住房制度改革；组织拟订住房公积金政策、规章制度和发展规划并组织实施，指导和监督住房公积金管理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建立健全多层次城镇住房保障体系，稳妥推进住房制度改革，按照国家要求达到城镇住房保障工作目标，确保住房公积金的有效使用。</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保障性安居工程建设管理</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研究制定保障性安居工程建设规划，拟定年度建设目标并监督实施；承担县保障性安居工程领导小组办公室职责；选聘和管理县级督查员；研究拟定保障性安居工程政策并监督实施，对项目分配、管理和运营情况监督指导</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完成城镇保障性安居工程年度建设任务，建立健全公平、公正、公开的分配机制和优质、高效管理服务机制，保障性住房及时分配到位。及时出台政策；妥善处理房改遗留问题，避免产生新的社会矛盾</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新增租赁补贴户数完成率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保障性住房竣工率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保障性住房开工率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年度村镇规划执行率</w:t>
            </w: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城镇古树名木、风景名胜、历史文化名城和街区保护工程开工率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传统村落年度保护项目完成率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城乡建设管理</w:t>
            </w:r>
          </w:p>
          <w:p>
            <w:pPr>
              <w:spacing w:line="300" w:lineRule="exact"/>
              <w:jc w:val="left"/>
              <w:rPr>
                <w:rFonts w:ascii="方正书宋_GBK" w:eastAsia="方正书宋_GBK"/>
                <w:b/>
              </w:rPr>
            </w:pPr>
            <w:r>
              <w:rPr>
                <w:rFonts w:hint="eastAsia" w:ascii="方正书宋_GBK" w:eastAsia="方正书宋_GBK"/>
                <w:b/>
              </w:rPr>
              <w:t>　　市政公用设施建设与管理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796.00</w:t>
            </w:r>
          </w:p>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负责市政公用设施建设、安全和应急管理；负责镇、乡村庄规划的编制和实施；负责农村住房建设、住房安全和危房改造；改善小城镇和村庄人居环境。</w:t>
            </w:r>
          </w:p>
          <w:p>
            <w:pPr>
              <w:spacing w:line="300" w:lineRule="exact"/>
              <w:jc w:val="left"/>
              <w:rPr>
                <w:rFonts w:ascii="方正书宋_GBK" w:eastAsia="方正书宋_GBK"/>
              </w:rPr>
            </w:pPr>
            <w:r>
              <w:rPr>
                <w:rFonts w:hint="eastAsia" w:ascii="方正书宋_GBK" w:eastAsia="方正书宋_GBK"/>
              </w:rPr>
              <w:t>负责市政公用事业建设、市政公用设施安全和应急管理；逐步推进供热计量改革，开展燃气行业安全监督检查；开展城市园林水域安全监管、公园和绿地技术评估和动态监测。</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加强管理，提高城市承载能力和宜居度。加强村镇建设，改善农村人居环境，实现城乡统筹发展。</w:t>
            </w:r>
          </w:p>
          <w:p>
            <w:pPr>
              <w:spacing w:line="300" w:lineRule="exact"/>
              <w:jc w:val="left"/>
              <w:rPr>
                <w:rFonts w:ascii="方正书宋_GBK" w:eastAsia="方正书宋_GBK"/>
              </w:rPr>
            </w:pPr>
            <w:r>
              <w:rPr>
                <w:rFonts w:hint="eastAsia" w:ascii="方正书宋_GBK" w:eastAsia="方正书宋_GBK"/>
              </w:rPr>
              <w:t>市政公用事业建设、市政公用设施安全和应急管理</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星级公园、园林式单位、小区创建数量（个）</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城市公园绿地、城市植树、城镇古树名木和风景名胜资源保护完成率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市政公用事业基础设施建设及维护工作目标完成率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机械化清扫率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57%</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53%</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城市容貌环境综合整治</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796.00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负责城区市容环境治理、城建监察等各项工作，改善人居环境，大气污染治理。</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推进洁净城市创建进程，加强大气污染治理力度。</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市容环境治理完成率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p>
          <w:p>
            <w:pPr>
              <w:spacing w:line="300" w:lineRule="exact"/>
              <w:jc w:val="left"/>
              <w:rPr>
                <w:rFonts w:ascii="方正书宋_GBK" w:eastAsia="方正书宋_GBK"/>
                <w:b/>
              </w:rPr>
            </w:pPr>
            <w:r>
              <w:rPr>
                <w:rFonts w:hint="eastAsia" w:ascii="方正书宋_GBK" w:eastAsia="方正书宋_GBK"/>
                <w:b/>
              </w:rPr>
              <w:t>　　推进城镇化建设</w:t>
            </w:r>
          </w:p>
        </w:tc>
        <w:tc>
          <w:tcPr>
            <w:tcW w:w="1276" w:type="dxa"/>
            <w:vMerge w:val="restart"/>
            <w:shd w:val="clear" w:color="auto" w:fill="auto"/>
            <w:vAlign w:val="center"/>
          </w:tcPr>
          <w:p>
            <w:pPr>
              <w:spacing w:line="300" w:lineRule="exact"/>
              <w:jc w:val="left"/>
              <w:rPr>
                <w:rFonts w:ascii="方正书宋_GBK" w:eastAsia="方正书宋_GBK"/>
              </w:rPr>
            </w:pPr>
          </w:p>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p>
          <w:p>
            <w:pPr>
              <w:spacing w:line="300" w:lineRule="exact"/>
              <w:jc w:val="left"/>
              <w:rPr>
                <w:rFonts w:ascii="方正书宋_GBK" w:eastAsia="方正书宋_GBK"/>
              </w:rPr>
            </w:pPr>
            <w:r>
              <w:rPr>
                <w:rFonts w:hint="eastAsia" w:ascii="方正书宋_GBK" w:eastAsia="方正书宋_GBK"/>
              </w:rPr>
              <w:t>指导农村住房建设、住房安全和危房改造，推进小城镇村庄人居环境改善，指导国家级重点镇及省级重点镇的建设；做好县城规划、环境质量、居住水平、产业聚集、风貌特色、综合管理、城建投融资等指导工作，全面推进县城建设；协调和指导推进城镇化工作，城市建设投融资体制改革。</w:t>
            </w:r>
          </w:p>
        </w:tc>
        <w:tc>
          <w:tcPr>
            <w:tcW w:w="2976" w:type="dxa"/>
            <w:vMerge w:val="restart"/>
            <w:shd w:val="clear" w:color="auto" w:fill="auto"/>
            <w:vAlign w:val="center"/>
          </w:tcPr>
          <w:p>
            <w:pPr>
              <w:spacing w:line="300" w:lineRule="exact"/>
              <w:jc w:val="left"/>
              <w:rPr>
                <w:rFonts w:ascii="方正书宋_GBK" w:eastAsia="方正书宋_GBK"/>
              </w:rPr>
            </w:pPr>
          </w:p>
          <w:p>
            <w:pPr>
              <w:spacing w:line="300" w:lineRule="exact"/>
              <w:jc w:val="left"/>
              <w:rPr>
                <w:rFonts w:ascii="方正书宋_GBK" w:eastAsia="方正书宋_GBK"/>
              </w:rPr>
            </w:pPr>
            <w:r>
              <w:rPr>
                <w:rFonts w:hint="eastAsia" w:ascii="方正书宋_GBK" w:eastAsia="方正书宋_GBK"/>
              </w:rPr>
              <w:t>加强村镇建设，改善农村人居环境，实现城乡统筹发展</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垃圾处理率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98%</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危房改造完成率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建筑业、房地产市场监管</w:t>
            </w:r>
          </w:p>
          <w:p>
            <w:pPr>
              <w:spacing w:line="300" w:lineRule="exact"/>
              <w:jc w:val="left"/>
              <w:rPr>
                <w:rFonts w:ascii="方正书宋_GBK" w:eastAsia="方正书宋_GBK"/>
                <w:b/>
              </w:rPr>
            </w:pPr>
            <w:r>
              <w:rPr>
                <w:rFonts w:hint="eastAsia" w:ascii="方正书宋_GBK" w:eastAsia="方正书宋_GBK"/>
                <w:b/>
              </w:rPr>
              <w:t>　　全省建筑业管理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90.00</w:t>
            </w:r>
          </w:p>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规范建筑市场、工程造价管理及建筑工程招投标管理，落实工程建设、建筑业行业发展政策、规章制度</w:t>
            </w:r>
            <w:r>
              <w:rPr>
                <w:rFonts w:ascii="方正书宋_GBK" w:eastAsia="方正书宋_GBK"/>
              </w:rPr>
              <w:t>;</w:t>
            </w:r>
            <w:r>
              <w:rPr>
                <w:rFonts w:hint="eastAsia" w:ascii="方正书宋_GBK" w:eastAsia="方正书宋_GBK"/>
              </w:rPr>
              <w:t>落实房地产市场监管、房地产开发、房屋租赁、房屋面积管理、房地产估价与经纪管理、物业管理的规章制度。</w:t>
            </w:r>
          </w:p>
          <w:p>
            <w:pPr>
              <w:spacing w:line="300" w:lineRule="exact"/>
              <w:jc w:val="left"/>
              <w:rPr>
                <w:rFonts w:ascii="方正书宋_GBK" w:eastAsia="方正书宋_GBK"/>
              </w:rPr>
            </w:pPr>
            <w:r>
              <w:rPr>
                <w:rFonts w:hint="eastAsia" w:ascii="方正书宋_GBK" w:eastAsia="方正书宋_GBK"/>
              </w:rPr>
              <w:t>拟定全省工程建设、建筑业发展政策、规章制度并监督执行，规范建筑市场各方主体行为。</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规范建筑市场各方主体行为，促进建筑市场健康发展。提高建筑工程质量，减少建筑安全生产事故，提高行业水平。加强市场监测，促进全县房地产市场持续健康发展。</w:t>
            </w:r>
          </w:p>
          <w:p>
            <w:pPr>
              <w:spacing w:line="300" w:lineRule="exact"/>
              <w:jc w:val="left"/>
              <w:rPr>
                <w:rFonts w:ascii="方正书宋_GBK" w:eastAsia="方正书宋_GBK"/>
              </w:rPr>
            </w:pPr>
            <w:r>
              <w:rPr>
                <w:rFonts w:hint="eastAsia" w:ascii="方正书宋_GBK" w:eastAsia="方正书宋_GBK"/>
              </w:rPr>
              <w:t>规范建筑市场各方主体行为，促进建筑市场健康发展</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农民工工资保证金增长率</w:t>
            </w: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执行农民工工资保证金落实程度</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4</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p>
          <w:p>
            <w:pPr>
              <w:spacing w:line="300" w:lineRule="exact"/>
              <w:jc w:val="left"/>
              <w:rPr>
                <w:rFonts w:ascii="方正书宋_GBK" w:eastAsia="方正书宋_GBK"/>
                <w:b/>
              </w:rPr>
            </w:pPr>
            <w:r>
              <w:rPr>
                <w:rFonts w:hint="eastAsia" w:ascii="方正书宋_GBK" w:eastAsia="方正书宋_GBK"/>
                <w:b/>
              </w:rPr>
              <w:t>　　房地产市场监管</w:t>
            </w:r>
          </w:p>
        </w:tc>
        <w:tc>
          <w:tcPr>
            <w:tcW w:w="1276" w:type="dxa"/>
            <w:vMerge w:val="restart"/>
            <w:shd w:val="clear" w:color="auto" w:fill="auto"/>
            <w:vAlign w:val="center"/>
          </w:tcPr>
          <w:p>
            <w:pPr>
              <w:spacing w:line="300" w:lineRule="exact"/>
              <w:jc w:val="left"/>
              <w:rPr>
                <w:rFonts w:ascii="方正书宋_GBK" w:eastAsia="方正书宋_GBK"/>
              </w:rPr>
            </w:pPr>
          </w:p>
          <w:p>
            <w:pPr>
              <w:spacing w:line="300" w:lineRule="exact"/>
              <w:jc w:val="left"/>
              <w:rPr>
                <w:rFonts w:ascii="方正书宋_GBK" w:eastAsia="方正书宋_GBK"/>
              </w:rPr>
            </w:pPr>
            <w:r>
              <w:rPr>
                <w:rFonts w:ascii="方正书宋_GBK" w:eastAsia="方正书宋_GBK"/>
              </w:rPr>
              <w:t>90.00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规范房地产市场秩序、监督管理房地产市场。落实房地产市场监管、房地产开发、房屋租赁、房屋面积管理、房地产估价与经纪管理、物业管理、房屋征收的规章制度。</w:t>
            </w:r>
          </w:p>
        </w:tc>
        <w:tc>
          <w:tcPr>
            <w:tcW w:w="2976" w:type="dxa"/>
            <w:vMerge w:val="restart"/>
            <w:shd w:val="clear" w:color="auto" w:fill="auto"/>
            <w:vAlign w:val="center"/>
          </w:tcPr>
          <w:p>
            <w:pPr>
              <w:spacing w:line="300" w:lineRule="exact"/>
              <w:jc w:val="left"/>
              <w:rPr>
                <w:rFonts w:ascii="方正书宋_GBK" w:eastAsia="方正书宋_GBK"/>
              </w:rPr>
            </w:pPr>
          </w:p>
          <w:p>
            <w:pPr>
              <w:spacing w:line="300" w:lineRule="exact"/>
              <w:jc w:val="left"/>
              <w:rPr>
                <w:rFonts w:ascii="方正书宋_GBK" w:eastAsia="方正书宋_GBK"/>
              </w:rPr>
            </w:pPr>
            <w:r>
              <w:rPr>
                <w:rFonts w:hint="eastAsia" w:ascii="方正书宋_GBK" w:eastAsia="方正书宋_GBK"/>
              </w:rPr>
              <w:t>加强市场监测，促进全县房地产市场持续健康发展</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房地产市场统计分析工作完成及时率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工程质量投诉结案率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建筑工程质量安全监管</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落实工程建设地方标准、工程质量、建筑安全生产的政策和规章制度，组织编制城乡建设防灾减灾规划，组织或参与工程重大质量、安全事故的调查处理，减少建筑安全生产事故，提高行业水平。</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加强工程勘察设计行业管理，提高建筑工程勘察设计质量水平</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建筑工程施工现场达标率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97%</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推进建筑节能</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加强城镇新建建筑节能监管；开展既有建筑节能改造；推动绿色建筑发展；推进可再生能源建筑应用；开展建筑节能和绿色建筑示范建设；加强新型墙体材料、新技术和新建筑节能产品的推广应用。</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提高建设科技对住房城乡建设发展的贡献率，充分发挥建筑节能在城镇节能减排中的作用；提高新型墙体材料、新技术和新建筑节能产品在新建建筑中应用。</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建筑应用可再生能源面积比例</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43%</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42%</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41%</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推进建筑节能</w:t>
            </w:r>
          </w:p>
          <w:p>
            <w:pPr>
              <w:spacing w:line="300" w:lineRule="exact"/>
              <w:jc w:val="left"/>
              <w:rPr>
                <w:rFonts w:ascii="方正书宋_GBK" w:eastAsia="方正书宋_GBK"/>
                <w:b/>
              </w:rPr>
            </w:pPr>
            <w:r>
              <w:rPr>
                <w:rFonts w:hint="eastAsia" w:ascii="方正书宋_GBK" w:eastAsia="方正书宋_GBK"/>
                <w:b/>
              </w:rPr>
              <w:t>　　建筑节能材料管理</w:t>
            </w:r>
          </w:p>
        </w:tc>
        <w:tc>
          <w:tcPr>
            <w:tcW w:w="1276" w:type="dxa"/>
            <w:vMerge w:val="restart"/>
            <w:shd w:val="clear" w:color="auto" w:fill="auto"/>
            <w:vAlign w:val="center"/>
          </w:tcPr>
          <w:p>
            <w:pPr>
              <w:spacing w:line="300" w:lineRule="exact"/>
              <w:jc w:val="left"/>
              <w:rPr>
                <w:rFonts w:ascii="方正书宋_GBK" w:eastAsia="方正书宋_GBK"/>
              </w:rPr>
            </w:pPr>
          </w:p>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引导推进建筑节能和绿色建筑，组织实施各项建筑节能、绿色建筑、新技术、新体系应用示范项目。推动绿色建筑及住宅产业化，引导建造方式转变，提升住宅性能和品质。</w:t>
            </w:r>
          </w:p>
          <w:p>
            <w:pPr>
              <w:spacing w:line="300" w:lineRule="exact"/>
              <w:jc w:val="left"/>
              <w:rPr>
                <w:rFonts w:ascii="方正书宋_GBK" w:eastAsia="方正书宋_GBK"/>
              </w:rPr>
            </w:pPr>
            <w:r>
              <w:rPr>
                <w:rFonts w:hint="eastAsia" w:ascii="方正书宋_GBK" w:eastAsia="方正书宋_GBK"/>
              </w:rPr>
              <w:t>组织建筑节能材料产品推广应用，定期发布建设机械材料设备淘汰、限制使用和推广应用产品目录，定期开展建材市场秩序专项整治。开展绿色建材星级评价工作。</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提高既有居住建筑的保温性能。经改造的公共建筑达到节能标准。积累新技术新体系应用经验</w:t>
            </w:r>
          </w:p>
          <w:p>
            <w:pPr>
              <w:spacing w:line="300" w:lineRule="exact"/>
              <w:jc w:val="left"/>
              <w:rPr>
                <w:rFonts w:ascii="方正书宋_GBK" w:eastAsia="方正书宋_GBK"/>
              </w:rPr>
            </w:pPr>
            <w:r>
              <w:rPr>
                <w:rFonts w:hint="eastAsia" w:ascii="方正书宋_GBK" w:eastAsia="方正书宋_GBK"/>
              </w:rPr>
              <w:t>建材市场秩序规范，绿色建材得到广泛应用，低效耗能建设机械及时淘汰</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既有居住建筑供热计量及节能改造任务完成面积（平方米）</w:t>
            </w: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节能环保建筑产品推广应用项目个数</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抽检在建工程数量（个）</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住建政务管理</w:t>
            </w:r>
          </w:p>
          <w:p>
            <w:pPr>
              <w:spacing w:line="300" w:lineRule="exact"/>
              <w:jc w:val="left"/>
              <w:rPr>
                <w:rFonts w:ascii="方正书宋_GBK" w:eastAsia="方正书宋_GBK"/>
                <w:b/>
              </w:rPr>
            </w:pPr>
            <w:r>
              <w:rPr>
                <w:rFonts w:hint="eastAsia" w:ascii="方正书宋_GBK" w:eastAsia="方正书宋_GBK"/>
                <w:b/>
              </w:rPr>
              <w:t>　　综合业务管理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1640.00</w:t>
            </w:r>
          </w:p>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负责住建系统综合业务管理和机关综合事务管理。</w:t>
            </w:r>
          </w:p>
          <w:p>
            <w:pPr>
              <w:spacing w:line="300" w:lineRule="exact"/>
              <w:jc w:val="left"/>
              <w:rPr>
                <w:rFonts w:ascii="方正书宋_GBK" w:eastAsia="方正书宋_GBK"/>
              </w:rPr>
            </w:pPr>
            <w:r>
              <w:rPr>
                <w:rFonts w:hint="eastAsia" w:ascii="方正书宋_GBK" w:eastAsia="方正书宋_GBK"/>
              </w:rPr>
              <w:t>组织编制住房和城乡建设的行业发展规划，拟定相关法规规章草案政策和行业技术标准，推进全系统依法行政，加强行政许可管理，开展建设行业对外合作交流；拟订适合县情的住房政策，指导住房建设和住房制度改革；组织编制科技发展规划，推进建设科技发展。</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全县住房城乡建设人才队伍建设，提高人才业务素质，激励工作热情，提高行业水平。提升机关及行业信息化水平，保障各类业务系统安全稳定运行；加大信息宣传力度，创造良好舆论氛围。规范审批行为，推进政务公开，增加服务意识，提高工作效率。</w:t>
            </w:r>
          </w:p>
          <w:p>
            <w:pPr>
              <w:spacing w:line="300" w:lineRule="exact"/>
              <w:jc w:val="left"/>
              <w:rPr>
                <w:rFonts w:ascii="方正书宋_GBK" w:eastAsia="方正书宋_GBK"/>
              </w:rPr>
            </w:pPr>
            <w:r>
              <w:rPr>
                <w:rFonts w:hint="eastAsia" w:ascii="方正书宋_GBK" w:eastAsia="方正书宋_GBK"/>
              </w:rPr>
              <w:t>加强干部队伍建设，激励工作热情，提高整体业务素质和行业管理服务水平</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行政应诉率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p>
          <w:p>
            <w:pPr>
              <w:spacing w:line="300" w:lineRule="exact"/>
              <w:jc w:val="left"/>
              <w:rPr>
                <w:rFonts w:ascii="方正书宋_GBK" w:eastAsia="方正书宋_GBK"/>
                <w:b/>
              </w:rPr>
            </w:pPr>
            <w:r>
              <w:rPr>
                <w:rFonts w:hint="eastAsia" w:ascii="方正书宋_GBK" w:eastAsia="方正书宋_GBK"/>
                <w:b/>
              </w:rPr>
              <w:t>　　综合事务管理</w:t>
            </w:r>
          </w:p>
        </w:tc>
        <w:tc>
          <w:tcPr>
            <w:tcW w:w="1276" w:type="dxa"/>
            <w:vMerge w:val="restart"/>
            <w:shd w:val="clear" w:color="auto" w:fill="auto"/>
            <w:vAlign w:val="center"/>
          </w:tcPr>
          <w:p>
            <w:pPr>
              <w:spacing w:line="300" w:lineRule="exact"/>
              <w:jc w:val="left"/>
              <w:rPr>
                <w:rFonts w:ascii="方正书宋_GBK" w:eastAsia="方正书宋_GBK"/>
              </w:rPr>
            </w:pPr>
          </w:p>
          <w:p>
            <w:pPr>
              <w:spacing w:line="300" w:lineRule="exact"/>
              <w:jc w:val="left"/>
              <w:rPr>
                <w:rFonts w:ascii="方正书宋_GBK" w:eastAsia="方正书宋_GBK"/>
              </w:rPr>
            </w:pPr>
            <w:r>
              <w:rPr>
                <w:rFonts w:ascii="方正书宋_GBK" w:eastAsia="方正书宋_GBK"/>
              </w:rPr>
              <w:t>1640.00</w:t>
            </w:r>
          </w:p>
        </w:tc>
        <w:tc>
          <w:tcPr>
            <w:tcW w:w="2976" w:type="dxa"/>
            <w:vMerge w:val="restart"/>
            <w:shd w:val="clear" w:color="auto" w:fill="auto"/>
            <w:vAlign w:val="center"/>
          </w:tcPr>
          <w:p>
            <w:pPr>
              <w:spacing w:line="300" w:lineRule="exact"/>
              <w:jc w:val="left"/>
              <w:rPr>
                <w:rFonts w:ascii="方正书宋_GBK" w:eastAsia="方正书宋_GBK"/>
              </w:rPr>
            </w:pPr>
          </w:p>
          <w:p>
            <w:pPr>
              <w:spacing w:line="300" w:lineRule="exact"/>
              <w:jc w:val="left"/>
              <w:rPr>
                <w:rFonts w:ascii="方正书宋_GBK" w:eastAsia="方正书宋_GBK"/>
              </w:rPr>
            </w:pPr>
            <w:r>
              <w:rPr>
                <w:rFonts w:hint="eastAsia" w:ascii="方正书宋_GBK" w:eastAsia="方正书宋_GBK"/>
              </w:rPr>
              <w:t>推进住房和城乡建设行业信息化建设、建设系统综合管理等综合事务工作，保证行政工作高效有序运行。</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提升机关及行业信息化水平，保障各类业务系统安全稳定运行；加大信息宣传力度，创造良好舆论氛围。组织文娱活动，提高干部职工文化和身体素质</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综合事务管理工作完成率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bl>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六、政府采购预算情况</w:t>
      </w:r>
    </w:p>
    <w:p>
      <w:pPr>
        <w:autoSpaceDE w:val="0"/>
        <w:autoSpaceDN w:val="0"/>
        <w:adjustRightInd w:val="0"/>
        <w:jc w:val="left"/>
        <w:rPr>
          <w:rFonts w:hint="eastAsia" w:ascii="黑体" w:hAnsi="黑体" w:eastAsia="黑体" w:cs="仿宋_GB2312"/>
          <w:sz w:val="32"/>
          <w:szCs w:val="32"/>
        </w:rPr>
      </w:pPr>
      <w:r>
        <w:rPr>
          <w:rFonts w:hint="eastAsia" w:ascii="仿宋_GB2312" w:eastAsia="仿宋_GB2312"/>
          <w:sz w:val="30"/>
          <w:szCs w:val="30"/>
        </w:rPr>
        <w:t>2018年我部门安排政府采购预算1011.56万元，</w:t>
      </w:r>
      <w:r>
        <w:rPr>
          <w:rFonts w:hint="eastAsia" w:ascii="黑体" w:hAnsi="黑体" w:eastAsia="黑体" w:cs="仿宋_GB2312"/>
          <w:sz w:val="32"/>
          <w:szCs w:val="32"/>
        </w:rPr>
        <w:t>具体内容见下表</w:t>
      </w:r>
    </w:p>
    <w:tbl>
      <w:tblPr>
        <w:tblStyle w:val="4"/>
        <w:tblW w:w="4851"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290"/>
        <w:gridCol w:w="1017"/>
        <w:gridCol w:w="899"/>
        <w:gridCol w:w="910"/>
        <w:gridCol w:w="699"/>
        <w:gridCol w:w="699"/>
        <w:gridCol w:w="846"/>
        <w:gridCol w:w="957"/>
        <w:gridCol w:w="957"/>
        <w:gridCol w:w="957"/>
        <w:gridCol w:w="889"/>
        <w:gridCol w:w="891"/>
        <w:gridCol w:w="891"/>
        <w:gridCol w:w="8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702" w:type="pct"/>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333</w:t>
            </w:r>
            <w:r>
              <w:rPr>
                <w:rFonts w:hint="eastAsia" w:ascii="方正小标宋_GBK" w:eastAsia="方正小标宋_GBK"/>
                <w:sz w:val="24"/>
              </w:rPr>
              <w:t>住建局</w:t>
            </w:r>
          </w:p>
        </w:tc>
        <w:tc>
          <w:tcPr>
            <w:tcW w:w="2298" w:type="pct"/>
            <w:gridSpan w:val="7"/>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217" w:type="pct"/>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334"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338"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261"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r>
              <w:rPr>
                <w:rFonts w:ascii="方正书宋_GBK" w:eastAsia="方正书宋_GBK"/>
                <w:b/>
              </w:rPr>
              <w:t xml:space="preserve">  </w:t>
            </w:r>
            <w:r>
              <w:rPr>
                <w:rFonts w:hint="eastAsia" w:ascii="方正书宋_GBK" w:eastAsia="方正书宋_GBK"/>
                <w:b/>
              </w:rPr>
              <w:t>单位</w:t>
            </w:r>
          </w:p>
        </w:tc>
        <w:tc>
          <w:tcPr>
            <w:tcW w:w="261"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290"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2298" w:type="pct"/>
            <w:gridSpan w:val="7"/>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840"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377"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334" w:type="pct"/>
            <w:vMerge w:val="continue"/>
            <w:shd w:val="clear" w:color="auto" w:fill="auto"/>
            <w:vAlign w:val="center"/>
          </w:tcPr>
          <w:p>
            <w:pPr>
              <w:spacing w:line="300" w:lineRule="exact"/>
              <w:jc w:val="left"/>
              <w:outlineLvl w:val="0"/>
            </w:pPr>
          </w:p>
        </w:tc>
        <w:tc>
          <w:tcPr>
            <w:tcW w:w="338" w:type="pct"/>
            <w:vMerge w:val="continue"/>
            <w:shd w:val="clear" w:color="auto" w:fill="auto"/>
            <w:vAlign w:val="center"/>
          </w:tcPr>
          <w:p>
            <w:pPr>
              <w:spacing w:line="300" w:lineRule="exact"/>
              <w:jc w:val="left"/>
              <w:outlineLvl w:val="0"/>
            </w:pPr>
          </w:p>
        </w:tc>
        <w:tc>
          <w:tcPr>
            <w:tcW w:w="261" w:type="pct"/>
            <w:vMerge w:val="continue"/>
            <w:shd w:val="clear" w:color="auto" w:fill="auto"/>
            <w:vAlign w:val="center"/>
          </w:tcPr>
          <w:p>
            <w:pPr>
              <w:spacing w:line="300" w:lineRule="exact"/>
              <w:jc w:val="left"/>
              <w:outlineLvl w:val="0"/>
            </w:pPr>
          </w:p>
        </w:tc>
        <w:tc>
          <w:tcPr>
            <w:tcW w:w="261" w:type="pct"/>
            <w:vMerge w:val="continue"/>
            <w:shd w:val="clear" w:color="auto" w:fill="auto"/>
            <w:vAlign w:val="center"/>
          </w:tcPr>
          <w:p>
            <w:pPr>
              <w:spacing w:line="300" w:lineRule="exact"/>
              <w:jc w:val="left"/>
              <w:outlineLvl w:val="0"/>
            </w:pPr>
          </w:p>
        </w:tc>
        <w:tc>
          <w:tcPr>
            <w:tcW w:w="290" w:type="pct"/>
            <w:vMerge w:val="continue"/>
            <w:shd w:val="clear" w:color="auto" w:fill="auto"/>
            <w:vAlign w:val="center"/>
          </w:tcPr>
          <w:p>
            <w:pPr>
              <w:spacing w:line="300" w:lineRule="exact"/>
              <w:jc w:val="left"/>
              <w:outlineLvl w:val="0"/>
            </w:pPr>
          </w:p>
        </w:tc>
        <w:tc>
          <w:tcPr>
            <w:tcW w:w="330"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总计</w:t>
            </w:r>
          </w:p>
        </w:tc>
        <w:tc>
          <w:tcPr>
            <w:tcW w:w="1651" w:type="pct"/>
            <w:gridSpan w:val="5"/>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当年部门预算安排资金</w:t>
            </w:r>
          </w:p>
        </w:tc>
        <w:tc>
          <w:tcPr>
            <w:tcW w:w="317"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840" w:type="pct"/>
            <w:vMerge w:val="continue"/>
            <w:shd w:val="clear" w:color="auto" w:fill="auto"/>
            <w:vAlign w:val="center"/>
          </w:tcPr>
          <w:p>
            <w:pPr>
              <w:spacing w:line="300" w:lineRule="exact"/>
              <w:jc w:val="left"/>
              <w:outlineLvl w:val="0"/>
            </w:pPr>
          </w:p>
        </w:tc>
        <w:tc>
          <w:tcPr>
            <w:tcW w:w="377" w:type="pct"/>
            <w:vMerge w:val="continue"/>
            <w:shd w:val="clear" w:color="auto" w:fill="auto"/>
            <w:vAlign w:val="center"/>
          </w:tcPr>
          <w:p>
            <w:pPr>
              <w:spacing w:line="300" w:lineRule="exact"/>
              <w:jc w:val="left"/>
              <w:outlineLvl w:val="0"/>
            </w:pPr>
          </w:p>
        </w:tc>
        <w:tc>
          <w:tcPr>
            <w:tcW w:w="334" w:type="pct"/>
            <w:vMerge w:val="continue"/>
            <w:shd w:val="clear" w:color="auto" w:fill="auto"/>
            <w:vAlign w:val="center"/>
          </w:tcPr>
          <w:p>
            <w:pPr>
              <w:spacing w:line="300" w:lineRule="exact"/>
              <w:jc w:val="left"/>
              <w:outlineLvl w:val="0"/>
            </w:pPr>
          </w:p>
        </w:tc>
        <w:tc>
          <w:tcPr>
            <w:tcW w:w="338" w:type="pct"/>
            <w:vMerge w:val="continue"/>
            <w:shd w:val="clear" w:color="auto" w:fill="auto"/>
            <w:vAlign w:val="center"/>
          </w:tcPr>
          <w:p>
            <w:pPr>
              <w:spacing w:line="300" w:lineRule="exact"/>
              <w:jc w:val="left"/>
              <w:outlineLvl w:val="0"/>
            </w:pPr>
          </w:p>
        </w:tc>
        <w:tc>
          <w:tcPr>
            <w:tcW w:w="261" w:type="pct"/>
            <w:vMerge w:val="continue"/>
            <w:shd w:val="clear" w:color="auto" w:fill="auto"/>
            <w:vAlign w:val="center"/>
          </w:tcPr>
          <w:p>
            <w:pPr>
              <w:spacing w:line="300" w:lineRule="exact"/>
              <w:jc w:val="left"/>
              <w:outlineLvl w:val="0"/>
            </w:pPr>
          </w:p>
        </w:tc>
        <w:tc>
          <w:tcPr>
            <w:tcW w:w="261" w:type="pct"/>
            <w:vMerge w:val="continue"/>
            <w:shd w:val="clear" w:color="auto" w:fill="auto"/>
            <w:vAlign w:val="center"/>
          </w:tcPr>
          <w:p>
            <w:pPr>
              <w:spacing w:line="300" w:lineRule="exact"/>
              <w:jc w:val="left"/>
              <w:outlineLvl w:val="0"/>
            </w:pPr>
          </w:p>
        </w:tc>
        <w:tc>
          <w:tcPr>
            <w:tcW w:w="290" w:type="pct"/>
            <w:vMerge w:val="continue"/>
            <w:shd w:val="clear" w:color="auto" w:fill="auto"/>
            <w:vAlign w:val="center"/>
          </w:tcPr>
          <w:p>
            <w:pPr>
              <w:spacing w:line="300" w:lineRule="exact"/>
              <w:jc w:val="left"/>
              <w:outlineLvl w:val="0"/>
            </w:pPr>
          </w:p>
        </w:tc>
        <w:tc>
          <w:tcPr>
            <w:tcW w:w="330" w:type="pct"/>
            <w:vMerge w:val="continue"/>
            <w:shd w:val="clear" w:color="auto" w:fill="auto"/>
            <w:vAlign w:val="center"/>
          </w:tcPr>
          <w:p>
            <w:pPr>
              <w:spacing w:line="300" w:lineRule="exact"/>
              <w:jc w:val="left"/>
              <w:outlineLvl w:val="0"/>
            </w:pPr>
          </w:p>
        </w:tc>
        <w:tc>
          <w:tcPr>
            <w:tcW w:w="330"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330"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330"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331"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331"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其他来源收入</w:t>
            </w:r>
          </w:p>
        </w:tc>
        <w:tc>
          <w:tcPr>
            <w:tcW w:w="317" w:type="pct"/>
            <w:vMerge w:val="continue"/>
            <w:shd w:val="clear" w:color="auto" w:fill="auto"/>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840"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377" w:type="pct"/>
            <w:shd w:val="clear" w:color="auto" w:fill="auto"/>
            <w:vAlign w:val="center"/>
          </w:tcPr>
          <w:p>
            <w:pPr>
              <w:spacing w:line="300" w:lineRule="exact"/>
              <w:jc w:val="right"/>
              <w:rPr>
                <w:rFonts w:ascii="方正书宋_GBK" w:eastAsia="方正书宋_GBK"/>
                <w:b/>
              </w:rPr>
            </w:pPr>
          </w:p>
        </w:tc>
        <w:tc>
          <w:tcPr>
            <w:tcW w:w="334" w:type="pct"/>
            <w:shd w:val="clear" w:color="auto" w:fill="auto"/>
            <w:vAlign w:val="center"/>
          </w:tcPr>
          <w:p>
            <w:pPr>
              <w:spacing w:line="300" w:lineRule="exact"/>
              <w:jc w:val="left"/>
              <w:rPr>
                <w:rFonts w:ascii="方正书宋_GBK" w:eastAsia="方正书宋_GBK"/>
                <w:b/>
              </w:rPr>
            </w:pPr>
          </w:p>
        </w:tc>
        <w:tc>
          <w:tcPr>
            <w:tcW w:w="338" w:type="pct"/>
            <w:shd w:val="clear" w:color="auto" w:fill="auto"/>
            <w:vAlign w:val="center"/>
          </w:tcPr>
          <w:p>
            <w:pPr>
              <w:spacing w:line="300" w:lineRule="exact"/>
              <w:jc w:val="left"/>
              <w:rPr>
                <w:rFonts w:ascii="方正书宋_GBK" w:eastAsia="方正书宋_GBK"/>
                <w:b/>
              </w:rPr>
            </w:pPr>
          </w:p>
        </w:tc>
        <w:tc>
          <w:tcPr>
            <w:tcW w:w="261" w:type="pct"/>
            <w:shd w:val="clear" w:color="auto" w:fill="auto"/>
            <w:vAlign w:val="center"/>
          </w:tcPr>
          <w:p>
            <w:pPr>
              <w:spacing w:line="300" w:lineRule="exact"/>
              <w:jc w:val="left"/>
              <w:rPr>
                <w:rFonts w:ascii="方正书宋_GBK" w:eastAsia="方正书宋_GBK"/>
                <w:b/>
              </w:rPr>
            </w:pPr>
          </w:p>
        </w:tc>
        <w:tc>
          <w:tcPr>
            <w:tcW w:w="261" w:type="pct"/>
            <w:shd w:val="clear" w:color="auto" w:fill="auto"/>
            <w:vAlign w:val="center"/>
          </w:tcPr>
          <w:p>
            <w:pPr>
              <w:spacing w:line="300" w:lineRule="exact"/>
              <w:jc w:val="right"/>
              <w:rPr>
                <w:rFonts w:ascii="方正书宋_GBK" w:eastAsia="方正书宋_GBK"/>
                <w:b/>
              </w:rPr>
            </w:pPr>
          </w:p>
        </w:tc>
        <w:tc>
          <w:tcPr>
            <w:tcW w:w="290" w:type="pct"/>
            <w:shd w:val="clear" w:color="auto" w:fill="auto"/>
            <w:vAlign w:val="center"/>
          </w:tcPr>
          <w:p>
            <w:pPr>
              <w:spacing w:line="300" w:lineRule="exact"/>
              <w:jc w:val="right"/>
              <w:rPr>
                <w:rFonts w:ascii="方正书宋_GBK" w:eastAsia="方正书宋_GBK"/>
                <w:b/>
              </w:rPr>
            </w:pPr>
          </w:p>
        </w:tc>
        <w:tc>
          <w:tcPr>
            <w:tcW w:w="330" w:type="pct"/>
            <w:shd w:val="clear" w:color="auto" w:fill="auto"/>
            <w:vAlign w:val="center"/>
          </w:tcPr>
          <w:p>
            <w:pPr>
              <w:spacing w:line="300" w:lineRule="exact"/>
              <w:jc w:val="right"/>
              <w:rPr>
                <w:rFonts w:ascii="方正书宋_GBK" w:eastAsia="方正书宋_GBK"/>
                <w:b/>
              </w:rPr>
            </w:pPr>
            <w:r>
              <w:rPr>
                <w:rFonts w:ascii="方正书宋_GBK" w:eastAsia="方正书宋_GBK"/>
                <w:b/>
              </w:rPr>
              <w:t>1011.56</w:t>
            </w:r>
          </w:p>
        </w:tc>
        <w:tc>
          <w:tcPr>
            <w:tcW w:w="330" w:type="pct"/>
            <w:shd w:val="clear" w:color="auto" w:fill="auto"/>
            <w:vAlign w:val="center"/>
          </w:tcPr>
          <w:p>
            <w:pPr>
              <w:spacing w:line="300" w:lineRule="exact"/>
              <w:jc w:val="right"/>
              <w:rPr>
                <w:rFonts w:ascii="方正书宋_GBK" w:eastAsia="方正书宋_GBK"/>
                <w:b/>
              </w:rPr>
            </w:pPr>
            <w:r>
              <w:rPr>
                <w:rFonts w:ascii="方正书宋_GBK" w:eastAsia="方正书宋_GBK"/>
                <w:b/>
              </w:rPr>
              <w:t>1011.56</w:t>
            </w:r>
          </w:p>
        </w:tc>
        <w:tc>
          <w:tcPr>
            <w:tcW w:w="330" w:type="pct"/>
            <w:shd w:val="clear" w:color="auto" w:fill="auto"/>
            <w:vAlign w:val="center"/>
          </w:tcPr>
          <w:p>
            <w:pPr>
              <w:spacing w:line="300" w:lineRule="exact"/>
              <w:jc w:val="right"/>
              <w:rPr>
                <w:rFonts w:ascii="方正书宋_GBK" w:eastAsia="方正书宋_GBK"/>
                <w:b/>
              </w:rPr>
            </w:pPr>
            <w:r>
              <w:rPr>
                <w:rFonts w:ascii="方正书宋_GBK" w:eastAsia="方正书宋_GBK"/>
                <w:b/>
              </w:rPr>
              <w:t>1011.56</w:t>
            </w:r>
          </w:p>
        </w:tc>
        <w:tc>
          <w:tcPr>
            <w:tcW w:w="330" w:type="pct"/>
            <w:shd w:val="clear" w:color="auto" w:fill="auto"/>
            <w:vAlign w:val="center"/>
          </w:tcPr>
          <w:p>
            <w:pPr>
              <w:spacing w:line="300" w:lineRule="exact"/>
              <w:jc w:val="right"/>
              <w:rPr>
                <w:rFonts w:ascii="方正书宋_GBK" w:eastAsia="方正书宋_GBK"/>
                <w:b/>
              </w:rPr>
            </w:pPr>
          </w:p>
        </w:tc>
        <w:tc>
          <w:tcPr>
            <w:tcW w:w="331" w:type="pct"/>
            <w:shd w:val="clear" w:color="auto" w:fill="auto"/>
            <w:vAlign w:val="center"/>
          </w:tcPr>
          <w:p>
            <w:pPr>
              <w:spacing w:line="300" w:lineRule="exact"/>
              <w:jc w:val="right"/>
              <w:rPr>
                <w:rFonts w:ascii="方正书宋_GBK" w:eastAsia="方正书宋_GBK"/>
                <w:b/>
              </w:rPr>
            </w:pPr>
          </w:p>
        </w:tc>
        <w:tc>
          <w:tcPr>
            <w:tcW w:w="331" w:type="pct"/>
            <w:shd w:val="clear" w:color="auto" w:fill="auto"/>
            <w:vAlign w:val="center"/>
          </w:tcPr>
          <w:p>
            <w:pPr>
              <w:spacing w:line="300" w:lineRule="exact"/>
              <w:jc w:val="right"/>
              <w:rPr>
                <w:rFonts w:ascii="方正书宋_GBK" w:eastAsia="方正书宋_GBK"/>
                <w:b/>
              </w:rPr>
            </w:pPr>
          </w:p>
        </w:tc>
        <w:tc>
          <w:tcPr>
            <w:tcW w:w="317" w:type="pct"/>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840" w:type="pct"/>
            <w:shd w:val="clear" w:color="auto" w:fill="auto"/>
            <w:vAlign w:val="center"/>
          </w:tcPr>
          <w:p>
            <w:pPr>
              <w:spacing w:line="300" w:lineRule="exact"/>
              <w:jc w:val="center"/>
              <w:rPr>
                <w:rFonts w:hint="eastAsia" w:ascii="方正书宋_GBK" w:eastAsia="方正书宋_GBK"/>
                <w:b/>
              </w:rPr>
            </w:pPr>
            <w:r>
              <w:rPr>
                <w:rFonts w:hint="eastAsia" w:ascii="方正书宋_GBK" w:eastAsia="方正书宋_GBK"/>
                <w:b/>
              </w:rPr>
              <w:t>无极县城市管理局小计</w:t>
            </w:r>
          </w:p>
        </w:tc>
        <w:tc>
          <w:tcPr>
            <w:tcW w:w="377" w:type="pct"/>
            <w:shd w:val="clear" w:color="auto" w:fill="auto"/>
            <w:vAlign w:val="center"/>
          </w:tcPr>
          <w:p>
            <w:pPr>
              <w:spacing w:line="300" w:lineRule="exact"/>
              <w:jc w:val="right"/>
              <w:rPr>
                <w:rFonts w:ascii="方正书宋_GBK" w:eastAsia="方正书宋_GBK"/>
                <w:b/>
              </w:rPr>
            </w:pPr>
          </w:p>
        </w:tc>
        <w:tc>
          <w:tcPr>
            <w:tcW w:w="334" w:type="pct"/>
            <w:shd w:val="clear" w:color="auto" w:fill="auto"/>
            <w:vAlign w:val="center"/>
          </w:tcPr>
          <w:p>
            <w:pPr>
              <w:spacing w:line="300" w:lineRule="exact"/>
              <w:jc w:val="left"/>
              <w:rPr>
                <w:rFonts w:ascii="方正书宋_GBK" w:eastAsia="方正书宋_GBK"/>
                <w:b/>
              </w:rPr>
            </w:pPr>
          </w:p>
        </w:tc>
        <w:tc>
          <w:tcPr>
            <w:tcW w:w="338" w:type="pct"/>
            <w:shd w:val="clear" w:color="auto" w:fill="auto"/>
            <w:vAlign w:val="center"/>
          </w:tcPr>
          <w:p>
            <w:pPr>
              <w:spacing w:line="300" w:lineRule="exact"/>
              <w:jc w:val="left"/>
              <w:rPr>
                <w:rFonts w:ascii="方正书宋_GBK" w:eastAsia="方正书宋_GBK"/>
                <w:b/>
              </w:rPr>
            </w:pPr>
          </w:p>
        </w:tc>
        <w:tc>
          <w:tcPr>
            <w:tcW w:w="261" w:type="pct"/>
            <w:shd w:val="clear" w:color="auto" w:fill="auto"/>
            <w:vAlign w:val="center"/>
          </w:tcPr>
          <w:p>
            <w:pPr>
              <w:spacing w:line="300" w:lineRule="exact"/>
              <w:jc w:val="left"/>
              <w:rPr>
                <w:rFonts w:ascii="方正书宋_GBK" w:eastAsia="方正书宋_GBK"/>
                <w:b/>
              </w:rPr>
            </w:pPr>
          </w:p>
        </w:tc>
        <w:tc>
          <w:tcPr>
            <w:tcW w:w="261" w:type="pct"/>
            <w:shd w:val="clear" w:color="auto" w:fill="auto"/>
            <w:vAlign w:val="center"/>
          </w:tcPr>
          <w:p>
            <w:pPr>
              <w:spacing w:line="300" w:lineRule="exact"/>
              <w:jc w:val="right"/>
              <w:rPr>
                <w:rFonts w:ascii="方正书宋_GBK" w:eastAsia="方正书宋_GBK"/>
                <w:b/>
              </w:rPr>
            </w:pPr>
          </w:p>
        </w:tc>
        <w:tc>
          <w:tcPr>
            <w:tcW w:w="290" w:type="pct"/>
            <w:shd w:val="clear" w:color="auto" w:fill="auto"/>
            <w:vAlign w:val="center"/>
          </w:tcPr>
          <w:p>
            <w:pPr>
              <w:spacing w:line="300" w:lineRule="exact"/>
              <w:jc w:val="right"/>
              <w:rPr>
                <w:rFonts w:ascii="方正书宋_GBK" w:eastAsia="方正书宋_GBK"/>
                <w:b/>
              </w:rPr>
            </w:pPr>
          </w:p>
        </w:tc>
        <w:tc>
          <w:tcPr>
            <w:tcW w:w="330" w:type="pct"/>
            <w:shd w:val="clear" w:color="auto" w:fill="auto"/>
            <w:vAlign w:val="center"/>
          </w:tcPr>
          <w:p>
            <w:pPr>
              <w:spacing w:line="300" w:lineRule="exact"/>
              <w:jc w:val="right"/>
              <w:rPr>
                <w:rFonts w:ascii="方正书宋_GBK" w:eastAsia="方正书宋_GBK"/>
                <w:b/>
              </w:rPr>
            </w:pPr>
            <w:r>
              <w:rPr>
                <w:rFonts w:ascii="方正书宋_GBK" w:eastAsia="方正书宋_GBK"/>
                <w:b/>
              </w:rPr>
              <w:t>1011.56</w:t>
            </w:r>
          </w:p>
        </w:tc>
        <w:tc>
          <w:tcPr>
            <w:tcW w:w="330" w:type="pct"/>
            <w:shd w:val="clear" w:color="auto" w:fill="auto"/>
            <w:vAlign w:val="center"/>
          </w:tcPr>
          <w:p>
            <w:pPr>
              <w:spacing w:line="300" w:lineRule="exact"/>
              <w:jc w:val="right"/>
              <w:rPr>
                <w:rFonts w:ascii="方正书宋_GBK" w:eastAsia="方正书宋_GBK"/>
                <w:b/>
              </w:rPr>
            </w:pPr>
            <w:r>
              <w:rPr>
                <w:rFonts w:ascii="方正书宋_GBK" w:eastAsia="方正书宋_GBK"/>
                <w:b/>
              </w:rPr>
              <w:t>1011.56</w:t>
            </w:r>
          </w:p>
        </w:tc>
        <w:tc>
          <w:tcPr>
            <w:tcW w:w="330" w:type="pct"/>
            <w:shd w:val="clear" w:color="auto" w:fill="auto"/>
            <w:vAlign w:val="center"/>
          </w:tcPr>
          <w:p>
            <w:pPr>
              <w:spacing w:line="300" w:lineRule="exact"/>
              <w:jc w:val="right"/>
              <w:rPr>
                <w:rFonts w:ascii="方正书宋_GBK" w:eastAsia="方正书宋_GBK"/>
                <w:b/>
              </w:rPr>
            </w:pPr>
            <w:r>
              <w:rPr>
                <w:rFonts w:ascii="方正书宋_GBK" w:eastAsia="方正书宋_GBK"/>
                <w:b/>
              </w:rPr>
              <w:t>1011.56</w:t>
            </w:r>
          </w:p>
        </w:tc>
        <w:tc>
          <w:tcPr>
            <w:tcW w:w="330" w:type="pct"/>
            <w:shd w:val="clear" w:color="auto" w:fill="auto"/>
            <w:vAlign w:val="center"/>
          </w:tcPr>
          <w:p>
            <w:pPr>
              <w:spacing w:line="300" w:lineRule="exact"/>
              <w:jc w:val="right"/>
              <w:rPr>
                <w:rFonts w:ascii="方正书宋_GBK" w:eastAsia="方正书宋_GBK"/>
                <w:b/>
              </w:rPr>
            </w:pPr>
          </w:p>
        </w:tc>
        <w:tc>
          <w:tcPr>
            <w:tcW w:w="331" w:type="pct"/>
            <w:shd w:val="clear" w:color="auto" w:fill="auto"/>
            <w:vAlign w:val="center"/>
          </w:tcPr>
          <w:p>
            <w:pPr>
              <w:spacing w:line="300" w:lineRule="exact"/>
              <w:jc w:val="right"/>
              <w:rPr>
                <w:rFonts w:ascii="方正书宋_GBK" w:eastAsia="方正书宋_GBK"/>
                <w:b/>
              </w:rPr>
            </w:pPr>
          </w:p>
        </w:tc>
        <w:tc>
          <w:tcPr>
            <w:tcW w:w="331" w:type="pct"/>
            <w:shd w:val="clear" w:color="auto" w:fill="auto"/>
            <w:vAlign w:val="center"/>
          </w:tcPr>
          <w:p>
            <w:pPr>
              <w:spacing w:line="300" w:lineRule="exact"/>
              <w:jc w:val="right"/>
              <w:rPr>
                <w:rFonts w:ascii="方正书宋_GBK" w:eastAsia="方正书宋_GBK"/>
                <w:b/>
              </w:rPr>
            </w:pPr>
          </w:p>
        </w:tc>
        <w:tc>
          <w:tcPr>
            <w:tcW w:w="317" w:type="pct"/>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840" w:type="pct"/>
            <w:shd w:val="clear" w:color="auto" w:fill="auto"/>
            <w:vAlign w:val="center"/>
          </w:tcPr>
          <w:p>
            <w:pPr>
              <w:spacing w:line="300" w:lineRule="exact"/>
              <w:jc w:val="left"/>
              <w:rPr>
                <w:rFonts w:hint="eastAsia" w:ascii="方正书宋_GBK" w:eastAsia="方正书宋_GBK"/>
              </w:rPr>
            </w:pPr>
          </w:p>
        </w:tc>
        <w:tc>
          <w:tcPr>
            <w:tcW w:w="377" w:type="pct"/>
            <w:shd w:val="clear" w:color="auto" w:fill="auto"/>
            <w:vAlign w:val="center"/>
          </w:tcPr>
          <w:p>
            <w:pPr>
              <w:spacing w:line="300" w:lineRule="exact"/>
              <w:jc w:val="right"/>
              <w:rPr>
                <w:rFonts w:ascii="方正书宋_GBK" w:eastAsia="方正书宋_GBK"/>
              </w:rPr>
            </w:pPr>
          </w:p>
        </w:tc>
        <w:tc>
          <w:tcPr>
            <w:tcW w:w="334"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城市市容管理服务</w:t>
            </w:r>
          </w:p>
        </w:tc>
        <w:tc>
          <w:tcPr>
            <w:tcW w:w="338" w:type="pct"/>
            <w:shd w:val="clear" w:color="auto" w:fill="auto"/>
            <w:vAlign w:val="center"/>
          </w:tcPr>
          <w:p>
            <w:pPr>
              <w:spacing w:line="300" w:lineRule="exact"/>
              <w:jc w:val="left"/>
              <w:rPr>
                <w:rFonts w:ascii="方正书宋_GBK" w:eastAsia="方正书宋_GBK"/>
              </w:rPr>
            </w:pPr>
            <w:r>
              <w:rPr>
                <w:rFonts w:ascii="方正书宋_GBK" w:eastAsia="方正书宋_GBK"/>
              </w:rPr>
              <w:t>C1304</w:t>
            </w:r>
          </w:p>
        </w:tc>
        <w:tc>
          <w:tcPr>
            <w:tcW w:w="261" w:type="pct"/>
            <w:shd w:val="clear" w:color="auto" w:fill="auto"/>
            <w:vAlign w:val="center"/>
          </w:tcPr>
          <w:p>
            <w:pPr>
              <w:spacing w:line="300" w:lineRule="exact"/>
              <w:jc w:val="left"/>
              <w:rPr>
                <w:rFonts w:ascii="方正书宋_GBK" w:eastAsia="方正书宋_GBK"/>
              </w:rPr>
            </w:pPr>
          </w:p>
        </w:tc>
        <w:tc>
          <w:tcPr>
            <w:tcW w:w="261" w:type="pct"/>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290" w:type="pct"/>
            <w:shd w:val="clear" w:color="auto" w:fill="auto"/>
            <w:vAlign w:val="center"/>
          </w:tcPr>
          <w:p>
            <w:pPr>
              <w:spacing w:line="300" w:lineRule="exact"/>
              <w:jc w:val="right"/>
              <w:rPr>
                <w:rFonts w:ascii="方正书宋_GBK" w:eastAsia="方正书宋_GBK"/>
              </w:rPr>
            </w:pPr>
            <w:r>
              <w:rPr>
                <w:rFonts w:ascii="方正书宋_GBK" w:eastAsia="方正书宋_GBK"/>
              </w:rPr>
              <w:t>80.00</w:t>
            </w:r>
          </w:p>
        </w:tc>
        <w:tc>
          <w:tcPr>
            <w:tcW w:w="330" w:type="pct"/>
            <w:shd w:val="clear" w:color="auto" w:fill="auto"/>
            <w:vAlign w:val="center"/>
          </w:tcPr>
          <w:p>
            <w:pPr>
              <w:spacing w:line="300" w:lineRule="exact"/>
              <w:jc w:val="right"/>
              <w:rPr>
                <w:rFonts w:ascii="方正书宋_GBK" w:eastAsia="方正书宋_GBK"/>
              </w:rPr>
            </w:pPr>
            <w:r>
              <w:rPr>
                <w:rFonts w:ascii="方正书宋_GBK" w:eastAsia="方正书宋_GBK"/>
              </w:rPr>
              <w:t>80.00</w:t>
            </w:r>
          </w:p>
        </w:tc>
        <w:tc>
          <w:tcPr>
            <w:tcW w:w="330" w:type="pct"/>
            <w:shd w:val="clear" w:color="auto" w:fill="auto"/>
            <w:vAlign w:val="center"/>
          </w:tcPr>
          <w:p>
            <w:pPr>
              <w:spacing w:line="300" w:lineRule="exact"/>
              <w:jc w:val="right"/>
              <w:rPr>
                <w:rFonts w:ascii="方正书宋_GBK" w:eastAsia="方正书宋_GBK"/>
              </w:rPr>
            </w:pPr>
            <w:r>
              <w:rPr>
                <w:rFonts w:ascii="方正书宋_GBK" w:eastAsia="方正书宋_GBK"/>
              </w:rPr>
              <w:t>80.00</w:t>
            </w:r>
          </w:p>
        </w:tc>
        <w:tc>
          <w:tcPr>
            <w:tcW w:w="330" w:type="pct"/>
            <w:shd w:val="clear" w:color="auto" w:fill="auto"/>
            <w:vAlign w:val="center"/>
          </w:tcPr>
          <w:p>
            <w:pPr>
              <w:spacing w:line="300" w:lineRule="exact"/>
              <w:jc w:val="right"/>
              <w:rPr>
                <w:rFonts w:ascii="方正书宋_GBK" w:eastAsia="方正书宋_GBK"/>
              </w:rPr>
            </w:pPr>
            <w:r>
              <w:rPr>
                <w:rFonts w:ascii="方正书宋_GBK" w:eastAsia="方正书宋_GBK"/>
              </w:rPr>
              <w:t>80.00</w:t>
            </w:r>
          </w:p>
        </w:tc>
        <w:tc>
          <w:tcPr>
            <w:tcW w:w="330" w:type="pct"/>
            <w:shd w:val="clear" w:color="auto" w:fill="auto"/>
            <w:vAlign w:val="center"/>
          </w:tcPr>
          <w:p>
            <w:pPr>
              <w:spacing w:line="300" w:lineRule="exact"/>
              <w:jc w:val="right"/>
              <w:rPr>
                <w:rFonts w:ascii="方正书宋_GBK" w:eastAsia="方正书宋_GBK"/>
              </w:rPr>
            </w:pPr>
          </w:p>
        </w:tc>
        <w:tc>
          <w:tcPr>
            <w:tcW w:w="331" w:type="pct"/>
            <w:shd w:val="clear" w:color="auto" w:fill="auto"/>
            <w:vAlign w:val="center"/>
          </w:tcPr>
          <w:p>
            <w:pPr>
              <w:spacing w:line="300" w:lineRule="exact"/>
              <w:jc w:val="right"/>
              <w:rPr>
                <w:rFonts w:ascii="方正书宋_GBK" w:eastAsia="方正书宋_GBK"/>
              </w:rPr>
            </w:pPr>
          </w:p>
        </w:tc>
        <w:tc>
          <w:tcPr>
            <w:tcW w:w="331" w:type="pct"/>
            <w:shd w:val="clear" w:color="auto" w:fill="auto"/>
            <w:vAlign w:val="center"/>
          </w:tcPr>
          <w:p>
            <w:pPr>
              <w:spacing w:line="300" w:lineRule="exact"/>
              <w:jc w:val="right"/>
              <w:rPr>
                <w:rFonts w:ascii="方正书宋_GBK" w:eastAsia="方正书宋_GBK"/>
              </w:rPr>
            </w:pPr>
          </w:p>
        </w:tc>
        <w:tc>
          <w:tcPr>
            <w:tcW w:w="317"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840" w:type="pc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无极县主城区道路保洁服务费</w:t>
            </w:r>
          </w:p>
        </w:tc>
        <w:tc>
          <w:tcPr>
            <w:tcW w:w="377" w:type="pct"/>
            <w:shd w:val="clear" w:color="auto" w:fill="auto"/>
            <w:vAlign w:val="center"/>
          </w:tcPr>
          <w:p>
            <w:pPr>
              <w:spacing w:line="300" w:lineRule="exact"/>
              <w:jc w:val="right"/>
              <w:rPr>
                <w:rFonts w:ascii="方正书宋_GBK" w:eastAsia="方正书宋_GBK"/>
              </w:rPr>
            </w:pPr>
            <w:r>
              <w:rPr>
                <w:rFonts w:ascii="方正书宋_GBK" w:eastAsia="方正书宋_GBK"/>
              </w:rPr>
              <w:t>456.60</w:t>
            </w:r>
          </w:p>
        </w:tc>
        <w:tc>
          <w:tcPr>
            <w:tcW w:w="334" w:type="pc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城市市容管理服务</w:t>
            </w:r>
          </w:p>
        </w:tc>
        <w:tc>
          <w:tcPr>
            <w:tcW w:w="338" w:type="pct"/>
            <w:shd w:val="clear" w:color="auto" w:fill="auto"/>
            <w:vAlign w:val="center"/>
          </w:tcPr>
          <w:p>
            <w:pPr>
              <w:spacing w:line="300" w:lineRule="exact"/>
              <w:jc w:val="left"/>
              <w:rPr>
                <w:rFonts w:ascii="方正书宋_GBK" w:eastAsia="方正书宋_GBK"/>
              </w:rPr>
            </w:pPr>
            <w:r>
              <w:rPr>
                <w:rFonts w:ascii="方正书宋_GBK" w:eastAsia="方正书宋_GBK"/>
              </w:rPr>
              <w:t>C1304</w:t>
            </w:r>
          </w:p>
        </w:tc>
        <w:tc>
          <w:tcPr>
            <w:tcW w:w="261" w:type="pct"/>
            <w:shd w:val="clear" w:color="auto" w:fill="auto"/>
            <w:vAlign w:val="center"/>
          </w:tcPr>
          <w:p>
            <w:pPr>
              <w:spacing w:line="300" w:lineRule="exact"/>
              <w:jc w:val="left"/>
              <w:rPr>
                <w:rFonts w:ascii="方正书宋_GBK" w:eastAsia="方正书宋_GBK"/>
              </w:rPr>
            </w:pPr>
          </w:p>
        </w:tc>
        <w:tc>
          <w:tcPr>
            <w:tcW w:w="261" w:type="pct"/>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290" w:type="pct"/>
            <w:shd w:val="clear" w:color="auto" w:fill="auto"/>
            <w:vAlign w:val="center"/>
          </w:tcPr>
          <w:p>
            <w:pPr>
              <w:spacing w:line="300" w:lineRule="exact"/>
              <w:jc w:val="right"/>
              <w:rPr>
                <w:rFonts w:ascii="方正书宋_GBK" w:eastAsia="方正书宋_GBK"/>
              </w:rPr>
            </w:pPr>
            <w:r>
              <w:rPr>
                <w:rFonts w:ascii="方正书宋_GBK" w:eastAsia="方正书宋_GBK"/>
              </w:rPr>
              <w:t>456.60</w:t>
            </w:r>
          </w:p>
        </w:tc>
        <w:tc>
          <w:tcPr>
            <w:tcW w:w="330" w:type="pct"/>
            <w:shd w:val="clear" w:color="auto" w:fill="auto"/>
            <w:vAlign w:val="center"/>
          </w:tcPr>
          <w:p>
            <w:pPr>
              <w:spacing w:line="300" w:lineRule="exact"/>
              <w:jc w:val="right"/>
              <w:rPr>
                <w:rFonts w:ascii="方正书宋_GBK" w:eastAsia="方正书宋_GBK"/>
              </w:rPr>
            </w:pPr>
            <w:r>
              <w:rPr>
                <w:rFonts w:ascii="方正书宋_GBK" w:eastAsia="方正书宋_GBK"/>
              </w:rPr>
              <w:t>456.60</w:t>
            </w:r>
          </w:p>
        </w:tc>
        <w:tc>
          <w:tcPr>
            <w:tcW w:w="330" w:type="pct"/>
            <w:shd w:val="clear" w:color="auto" w:fill="auto"/>
            <w:vAlign w:val="center"/>
          </w:tcPr>
          <w:p>
            <w:pPr>
              <w:spacing w:line="300" w:lineRule="exact"/>
              <w:jc w:val="right"/>
              <w:rPr>
                <w:rFonts w:ascii="方正书宋_GBK" w:eastAsia="方正书宋_GBK"/>
              </w:rPr>
            </w:pPr>
            <w:r>
              <w:rPr>
                <w:rFonts w:ascii="方正书宋_GBK" w:eastAsia="方正书宋_GBK"/>
              </w:rPr>
              <w:t>456.60</w:t>
            </w:r>
          </w:p>
        </w:tc>
        <w:tc>
          <w:tcPr>
            <w:tcW w:w="330" w:type="pct"/>
            <w:shd w:val="clear" w:color="auto" w:fill="auto"/>
            <w:vAlign w:val="center"/>
          </w:tcPr>
          <w:p>
            <w:pPr>
              <w:spacing w:line="300" w:lineRule="exact"/>
              <w:jc w:val="right"/>
              <w:rPr>
                <w:rFonts w:ascii="方正书宋_GBK" w:eastAsia="方正书宋_GBK"/>
              </w:rPr>
            </w:pPr>
            <w:r>
              <w:rPr>
                <w:rFonts w:ascii="方正书宋_GBK" w:eastAsia="方正书宋_GBK"/>
              </w:rPr>
              <w:t>456.60</w:t>
            </w:r>
          </w:p>
        </w:tc>
        <w:tc>
          <w:tcPr>
            <w:tcW w:w="330" w:type="pct"/>
            <w:shd w:val="clear" w:color="auto" w:fill="auto"/>
            <w:vAlign w:val="center"/>
          </w:tcPr>
          <w:p>
            <w:pPr>
              <w:spacing w:line="300" w:lineRule="exact"/>
              <w:jc w:val="right"/>
              <w:rPr>
                <w:rFonts w:ascii="方正书宋_GBK" w:eastAsia="方正书宋_GBK"/>
              </w:rPr>
            </w:pPr>
          </w:p>
        </w:tc>
        <w:tc>
          <w:tcPr>
            <w:tcW w:w="331" w:type="pct"/>
            <w:shd w:val="clear" w:color="auto" w:fill="auto"/>
            <w:vAlign w:val="center"/>
          </w:tcPr>
          <w:p>
            <w:pPr>
              <w:spacing w:line="300" w:lineRule="exact"/>
              <w:jc w:val="right"/>
              <w:rPr>
                <w:rFonts w:ascii="方正书宋_GBK" w:eastAsia="方正书宋_GBK"/>
              </w:rPr>
            </w:pPr>
          </w:p>
        </w:tc>
        <w:tc>
          <w:tcPr>
            <w:tcW w:w="331" w:type="pct"/>
            <w:shd w:val="clear" w:color="auto" w:fill="auto"/>
            <w:vAlign w:val="center"/>
          </w:tcPr>
          <w:p>
            <w:pPr>
              <w:spacing w:line="300" w:lineRule="exact"/>
              <w:jc w:val="right"/>
              <w:rPr>
                <w:rFonts w:ascii="方正书宋_GBK" w:eastAsia="方正书宋_GBK"/>
              </w:rPr>
            </w:pPr>
          </w:p>
        </w:tc>
        <w:tc>
          <w:tcPr>
            <w:tcW w:w="317"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840" w:type="pc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主城区以外剩余部分道路保洁服务费</w:t>
            </w:r>
          </w:p>
        </w:tc>
        <w:tc>
          <w:tcPr>
            <w:tcW w:w="377" w:type="pct"/>
            <w:shd w:val="clear" w:color="auto" w:fill="auto"/>
            <w:vAlign w:val="center"/>
          </w:tcPr>
          <w:p>
            <w:pPr>
              <w:spacing w:line="300" w:lineRule="exact"/>
              <w:jc w:val="right"/>
              <w:rPr>
                <w:rFonts w:ascii="方正书宋_GBK" w:eastAsia="方正书宋_GBK"/>
              </w:rPr>
            </w:pPr>
            <w:r>
              <w:rPr>
                <w:rFonts w:ascii="方正书宋_GBK" w:eastAsia="方正书宋_GBK"/>
              </w:rPr>
              <w:t>474.96</w:t>
            </w:r>
          </w:p>
        </w:tc>
        <w:tc>
          <w:tcPr>
            <w:tcW w:w="334" w:type="pct"/>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城市市容管理服务</w:t>
            </w:r>
          </w:p>
        </w:tc>
        <w:tc>
          <w:tcPr>
            <w:tcW w:w="338" w:type="pct"/>
            <w:shd w:val="clear" w:color="auto" w:fill="auto"/>
            <w:vAlign w:val="center"/>
          </w:tcPr>
          <w:p>
            <w:pPr>
              <w:spacing w:line="300" w:lineRule="exact"/>
              <w:jc w:val="left"/>
              <w:rPr>
                <w:rFonts w:ascii="方正书宋_GBK" w:eastAsia="方正书宋_GBK"/>
              </w:rPr>
            </w:pPr>
            <w:r>
              <w:rPr>
                <w:rFonts w:ascii="方正书宋_GBK" w:eastAsia="方正书宋_GBK"/>
              </w:rPr>
              <w:t>C1304</w:t>
            </w:r>
          </w:p>
        </w:tc>
        <w:tc>
          <w:tcPr>
            <w:tcW w:w="261" w:type="pct"/>
            <w:shd w:val="clear" w:color="auto" w:fill="auto"/>
            <w:vAlign w:val="center"/>
          </w:tcPr>
          <w:p>
            <w:pPr>
              <w:spacing w:line="300" w:lineRule="exact"/>
              <w:jc w:val="left"/>
              <w:rPr>
                <w:rFonts w:ascii="方正书宋_GBK" w:eastAsia="方正书宋_GBK"/>
              </w:rPr>
            </w:pPr>
          </w:p>
        </w:tc>
        <w:tc>
          <w:tcPr>
            <w:tcW w:w="261" w:type="pct"/>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290" w:type="pct"/>
            <w:shd w:val="clear" w:color="auto" w:fill="auto"/>
            <w:vAlign w:val="center"/>
          </w:tcPr>
          <w:p>
            <w:pPr>
              <w:spacing w:line="300" w:lineRule="exact"/>
              <w:jc w:val="right"/>
              <w:rPr>
                <w:rFonts w:ascii="方正书宋_GBK" w:eastAsia="方正书宋_GBK"/>
              </w:rPr>
            </w:pPr>
            <w:r>
              <w:rPr>
                <w:rFonts w:ascii="方正书宋_GBK" w:eastAsia="方正书宋_GBK"/>
              </w:rPr>
              <w:t>474.96</w:t>
            </w:r>
          </w:p>
        </w:tc>
        <w:tc>
          <w:tcPr>
            <w:tcW w:w="330" w:type="pct"/>
            <w:shd w:val="clear" w:color="auto" w:fill="auto"/>
            <w:vAlign w:val="center"/>
          </w:tcPr>
          <w:p>
            <w:pPr>
              <w:spacing w:line="300" w:lineRule="exact"/>
              <w:jc w:val="right"/>
              <w:rPr>
                <w:rFonts w:ascii="方正书宋_GBK" w:eastAsia="方正书宋_GBK"/>
              </w:rPr>
            </w:pPr>
            <w:r>
              <w:rPr>
                <w:rFonts w:ascii="方正书宋_GBK" w:eastAsia="方正书宋_GBK"/>
              </w:rPr>
              <w:t>474.96</w:t>
            </w:r>
          </w:p>
        </w:tc>
        <w:tc>
          <w:tcPr>
            <w:tcW w:w="330" w:type="pct"/>
            <w:shd w:val="clear" w:color="auto" w:fill="auto"/>
            <w:vAlign w:val="center"/>
          </w:tcPr>
          <w:p>
            <w:pPr>
              <w:spacing w:line="300" w:lineRule="exact"/>
              <w:jc w:val="right"/>
              <w:rPr>
                <w:rFonts w:ascii="方正书宋_GBK" w:eastAsia="方正书宋_GBK"/>
              </w:rPr>
            </w:pPr>
            <w:r>
              <w:rPr>
                <w:rFonts w:ascii="方正书宋_GBK" w:eastAsia="方正书宋_GBK"/>
              </w:rPr>
              <w:t>474.96</w:t>
            </w:r>
          </w:p>
        </w:tc>
        <w:tc>
          <w:tcPr>
            <w:tcW w:w="330" w:type="pct"/>
            <w:shd w:val="clear" w:color="auto" w:fill="auto"/>
            <w:vAlign w:val="center"/>
          </w:tcPr>
          <w:p>
            <w:pPr>
              <w:spacing w:line="300" w:lineRule="exact"/>
              <w:jc w:val="right"/>
              <w:rPr>
                <w:rFonts w:ascii="方正书宋_GBK" w:eastAsia="方正书宋_GBK"/>
              </w:rPr>
            </w:pPr>
            <w:r>
              <w:rPr>
                <w:rFonts w:ascii="方正书宋_GBK" w:eastAsia="方正书宋_GBK"/>
              </w:rPr>
              <w:t>474.96</w:t>
            </w:r>
          </w:p>
        </w:tc>
        <w:tc>
          <w:tcPr>
            <w:tcW w:w="330" w:type="pct"/>
            <w:shd w:val="clear" w:color="auto" w:fill="auto"/>
            <w:vAlign w:val="center"/>
          </w:tcPr>
          <w:p>
            <w:pPr>
              <w:spacing w:line="300" w:lineRule="exact"/>
              <w:jc w:val="right"/>
              <w:rPr>
                <w:rFonts w:ascii="方正书宋_GBK" w:eastAsia="方正书宋_GBK"/>
              </w:rPr>
            </w:pPr>
          </w:p>
        </w:tc>
        <w:tc>
          <w:tcPr>
            <w:tcW w:w="331" w:type="pct"/>
            <w:shd w:val="clear" w:color="auto" w:fill="auto"/>
            <w:vAlign w:val="center"/>
          </w:tcPr>
          <w:p>
            <w:pPr>
              <w:spacing w:line="300" w:lineRule="exact"/>
              <w:jc w:val="right"/>
              <w:rPr>
                <w:rFonts w:ascii="方正书宋_GBK" w:eastAsia="方正书宋_GBK"/>
              </w:rPr>
            </w:pPr>
          </w:p>
        </w:tc>
        <w:tc>
          <w:tcPr>
            <w:tcW w:w="331" w:type="pct"/>
            <w:shd w:val="clear" w:color="auto" w:fill="auto"/>
            <w:vAlign w:val="center"/>
          </w:tcPr>
          <w:p>
            <w:pPr>
              <w:spacing w:line="300" w:lineRule="exact"/>
              <w:jc w:val="right"/>
              <w:rPr>
                <w:rFonts w:ascii="方正书宋_GBK" w:eastAsia="方正书宋_GBK"/>
              </w:rPr>
            </w:pPr>
          </w:p>
        </w:tc>
        <w:tc>
          <w:tcPr>
            <w:tcW w:w="317" w:type="pct"/>
            <w:shd w:val="clear" w:color="auto" w:fill="auto"/>
            <w:vAlign w:val="center"/>
          </w:tcPr>
          <w:p>
            <w:pPr>
              <w:spacing w:line="300" w:lineRule="exact"/>
              <w:jc w:val="right"/>
              <w:rPr>
                <w:rFonts w:ascii="方正书宋_GBK" w:eastAsia="方正书宋_GBK"/>
              </w:rPr>
            </w:pPr>
          </w:p>
        </w:tc>
      </w:tr>
    </w:tbl>
    <w:p>
      <w:pPr>
        <w:ind w:firstLine="645" w:firstLineChars="215"/>
        <w:rPr>
          <w:rFonts w:ascii="仿宋_GB2312" w:eastAsia="仿宋_GB2312"/>
          <w:sz w:val="30"/>
          <w:szCs w:val="30"/>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七、国有资产信息</w:t>
      </w:r>
    </w:p>
    <w:p>
      <w:pPr>
        <w:ind w:firstLine="688" w:firstLineChars="215"/>
        <w:rPr>
          <w:rFonts w:ascii="仿宋" w:hAnsi="仿宋" w:eastAsia="仿宋" w:cs="仿宋"/>
          <w:sz w:val="32"/>
          <w:szCs w:val="32"/>
        </w:rPr>
      </w:pPr>
      <w:r>
        <w:rPr>
          <w:rFonts w:hint="eastAsia" w:ascii="仿宋" w:hAnsi="仿宋" w:eastAsia="仿宋" w:cs="仿宋"/>
          <w:sz w:val="32"/>
          <w:szCs w:val="32"/>
        </w:rPr>
        <w:t>无极县住建局上年末固定资产金额为 987.6万元（详见下表）。本年度拟购置固定资产金额为0万元。</w:t>
      </w:r>
    </w:p>
    <w:p>
      <w:pPr>
        <w:autoSpaceDE w:val="0"/>
        <w:autoSpaceDN w:val="0"/>
        <w:adjustRightInd w:val="0"/>
        <w:ind w:left="420" w:leftChars="200"/>
        <w:jc w:val="center"/>
        <w:rPr>
          <w:rFonts w:ascii="仿宋" w:hAnsi="仿宋" w:eastAsia="仿宋"/>
          <w:sz w:val="32"/>
        </w:rPr>
      </w:pPr>
      <w:r>
        <w:rPr>
          <w:rFonts w:hint="eastAsia" w:ascii="仿宋" w:hAnsi="仿宋" w:eastAsia="仿宋"/>
          <w:sz w:val="32"/>
        </w:rPr>
        <w:t>无极县住建局固定资产占用情况表</w:t>
      </w:r>
    </w:p>
    <w:tbl>
      <w:tblPr>
        <w:tblStyle w:val="4"/>
        <w:tblW w:w="0" w:type="auto"/>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ind w:firstLine="643" w:firstLineChars="200"/>
              <w:jc w:val="center"/>
              <w:rPr>
                <w:rFonts w:ascii="仿宋_GB2312" w:hAnsi="宋体" w:eastAsia="仿宋_GB2312" w:cs="宋体"/>
                <w:b/>
                <w:bCs/>
                <w:kern w:val="0"/>
                <w:sz w:val="32"/>
                <w:szCs w:val="32"/>
              </w:rPr>
            </w:pP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ind w:firstLine="480" w:firstLineChars="200"/>
              <w:jc w:val="left"/>
              <w:rPr>
                <w:rFonts w:ascii="仿宋_GB2312" w:eastAsia="仿宋_GB2312" w:cs="仿宋_GB2312"/>
                <w:bCs/>
                <w:sz w:val="24"/>
                <w:szCs w:val="32"/>
              </w:rPr>
            </w:pPr>
            <w:r>
              <w:rPr>
                <w:rFonts w:hint="eastAsia" w:ascii="仿宋_GB2312" w:hAnsi="宋体" w:eastAsia="仿宋_GB2312" w:cs="宋体"/>
                <w:kern w:val="0"/>
                <w:sz w:val="24"/>
                <w:szCs w:val="32"/>
              </w:rPr>
              <w:t>编制部门：</w:t>
            </w:r>
            <w:r>
              <w:rPr>
                <w:rFonts w:hint="eastAsia" w:ascii="仿宋_GB2312" w:eastAsia="仿宋_GB2312" w:cs="仿宋_GB2312"/>
                <w:bCs/>
                <w:sz w:val="24"/>
                <w:szCs w:val="32"/>
              </w:rPr>
              <w:t>无极县住建局</w:t>
            </w:r>
          </w:p>
        </w:tc>
        <w:tc>
          <w:tcPr>
            <w:tcW w:w="5103" w:type="dxa"/>
            <w:tcBorders>
              <w:top w:val="nil"/>
              <w:left w:val="nil"/>
              <w:bottom w:val="nil"/>
              <w:right w:val="nil"/>
            </w:tcBorders>
            <w:vAlign w:val="center"/>
          </w:tcPr>
          <w:p>
            <w:pPr>
              <w:widowControl/>
              <w:ind w:firstLine="480" w:firstLineChars="200"/>
              <w:jc w:val="left"/>
              <w:rPr>
                <w:rFonts w:ascii="仿宋_GB2312" w:hAnsi="宋体" w:eastAsia="仿宋_GB2312" w:cs="宋体"/>
                <w:kern w:val="0"/>
                <w:sz w:val="24"/>
                <w:szCs w:val="32"/>
              </w:rPr>
            </w:pPr>
            <w:r>
              <w:rPr>
                <w:rFonts w:hint="eastAsia" w:ascii="仿宋_GB2312" w:hAnsi="宋体" w:eastAsia="仿宋_GB2312" w:cs="宋体"/>
                <w:kern w:val="0"/>
                <w:sz w:val="24"/>
                <w:szCs w:val="32"/>
              </w:rPr>
              <w:t xml:space="preserve">截止时间：2017年12月31日  </w:t>
            </w:r>
          </w:p>
        </w:tc>
      </w:tr>
      <w:tr>
        <w:tblPrEx>
          <w:tblCellMar>
            <w:top w:w="0" w:type="dxa"/>
            <w:left w:w="108" w:type="dxa"/>
            <w:bottom w:w="0" w:type="dxa"/>
            <w:right w:w="108" w:type="dxa"/>
          </w:tblCellMar>
        </w:tblPrEx>
        <w:trPr>
          <w:trHeight w:val="645" w:hRule="atLeast"/>
        </w:trPr>
        <w:tc>
          <w:tcPr>
            <w:tcW w:w="5224" w:type="dxa"/>
            <w:tcBorders>
              <w:top w:val="single" w:color="000000" w:sz="4" w:space="0"/>
              <w:left w:val="single" w:color="000000" w:sz="4" w:space="0"/>
              <w:bottom w:val="single" w:color="000000" w:sz="4" w:space="0"/>
              <w:right w:val="single" w:color="000000" w:sz="4" w:space="0"/>
            </w:tcBorders>
            <w:vAlign w:val="center"/>
          </w:tcPr>
          <w:p>
            <w:pPr>
              <w:widowControl/>
              <w:ind w:firstLine="482" w:firstLineChars="200"/>
              <w:jc w:val="center"/>
              <w:rPr>
                <w:rFonts w:ascii="仿宋_GB2312" w:hAnsi="宋体" w:eastAsia="仿宋_GB2312" w:cs="宋体"/>
                <w:b/>
                <w:bCs/>
                <w:kern w:val="0"/>
                <w:sz w:val="24"/>
                <w:szCs w:val="32"/>
              </w:rPr>
            </w:pPr>
            <w:r>
              <w:rPr>
                <w:rFonts w:hint="eastAsia" w:ascii="仿宋_GB2312" w:hAnsi="宋体" w:eastAsia="仿宋_GB2312" w:cs="宋体"/>
                <w:b/>
                <w:bCs/>
                <w:kern w:val="0"/>
                <w:sz w:val="24"/>
                <w:szCs w:val="32"/>
              </w:rPr>
              <w:t>项   目</w:t>
            </w:r>
          </w:p>
        </w:tc>
        <w:tc>
          <w:tcPr>
            <w:tcW w:w="3155" w:type="dxa"/>
            <w:tcBorders>
              <w:top w:val="single" w:color="000000" w:sz="4" w:space="0"/>
              <w:left w:val="nil"/>
              <w:bottom w:val="single" w:color="000000" w:sz="4" w:space="0"/>
              <w:right w:val="single" w:color="000000" w:sz="4" w:space="0"/>
            </w:tcBorders>
            <w:vAlign w:val="center"/>
          </w:tcPr>
          <w:p>
            <w:pPr>
              <w:widowControl/>
              <w:ind w:firstLine="482" w:firstLineChars="200"/>
              <w:jc w:val="center"/>
              <w:rPr>
                <w:rFonts w:ascii="仿宋_GB2312" w:hAnsi="宋体" w:eastAsia="仿宋_GB2312" w:cs="宋体"/>
                <w:b/>
                <w:bCs/>
                <w:kern w:val="0"/>
                <w:sz w:val="24"/>
                <w:szCs w:val="32"/>
              </w:rPr>
            </w:pPr>
            <w:r>
              <w:rPr>
                <w:rFonts w:hint="eastAsia" w:ascii="仿宋_GB2312" w:hAnsi="宋体" w:eastAsia="仿宋_GB2312" w:cs="宋体"/>
                <w:b/>
                <w:bCs/>
                <w:kern w:val="0"/>
                <w:sz w:val="24"/>
                <w:szCs w:val="32"/>
              </w:rPr>
              <w:t>数量</w:t>
            </w:r>
          </w:p>
        </w:tc>
        <w:tc>
          <w:tcPr>
            <w:tcW w:w="5103" w:type="dxa"/>
            <w:tcBorders>
              <w:top w:val="single" w:color="000000" w:sz="4" w:space="0"/>
              <w:left w:val="nil"/>
              <w:bottom w:val="single" w:color="000000" w:sz="4" w:space="0"/>
              <w:right w:val="single" w:color="000000" w:sz="4" w:space="0"/>
            </w:tcBorders>
            <w:vAlign w:val="center"/>
          </w:tcPr>
          <w:p>
            <w:pPr>
              <w:widowControl/>
              <w:ind w:firstLine="482" w:firstLineChars="200"/>
              <w:jc w:val="center"/>
              <w:rPr>
                <w:rFonts w:ascii="仿宋_GB2312" w:hAnsi="宋体" w:eastAsia="仿宋_GB2312" w:cs="宋体"/>
                <w:b/>
                <w:bCs/>
                <w:kern w:val="0"/>
                <w:sz w:val="24"/>
                <w:szCs w:val="32"/>
              </w:rPr>
            </w:pPr>
            <w:r>
              <w:rPr>
                <w:rFonts w:hint="eastAsia" w:ascii="仿宋_GB2312" w:hAnsi="宋体" w:eastAsia="仿宋_GB2312" w:cs="宋体"/>
                <w:b/>
                <w:bCs/>
                <w:kern w:val="0"/>
                <w:sz w:val="24"/>
                <w:szCs w:val="3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ind w:firstLine="480" w:firstLineChars="200"/>
              <w:jc w:val="center"/>
              <w:rPr>
                <w:rFonts w:ascii="仿宋_GB2312" w:hAnsi="宋体" w:eastAsia="仿宋_GB2312" w:cs="宋体"/>
                <w:kern w:val="0"/>
                <w:sz w:val="24"/>
                <w:szCs w:val="32"/>
              </w:rPr>
            </w:pPr>
            <w:r>
              <w:rPr>
                <w:rFonts w:hint="eastAsia" w:ascii="仿宋_GB2312" w:hAnsi="宋体" w:eastAsia="仿宋_GB2312" w:cs="宋体"/>
                <w:kern w:val="0"/>
                <w:sz w:val="24"/>
                <w:szCs w:val="32"/>
              </w:rPr>
              <w:t>资产总额</w:t>
            </w:r>
          </w:p>
        </w:tc>
        <w:tc>
          <w:tcPr>
            <w:tcW w:w="3155" w:type="dxa"/>
            <w:tcBorders>
              <w:top w:val="nil"/>
              <w:left w:val="nil"/>
              <w:bottom w:val="single" w:color="000000" w:sz="4" w:space="0"/>
              <w:right w:val="single" w:color="000000" w:sz="4" w:space="0"/>
            </w:tcBorders>
            <w:vAlign w:val="center"/>
          </w:tcPr>
          <w:p>
            <w:pPr>
              <w:widowControl/>
              <w:ind w:firstLine="480" w:firstLineChars="200"/>
              <w:jc w:val="center"/>
              <w:rPr>
                <w:rFonts w:ascii="仿宋_GB2312" w:hAnsi="宋体" w:eastAsia="仿宋_GB2312" w:cs="宋体"/>
                <w:kern w:val="0"/>
                <w:sz w:val="24"/>
                <w:szCs w:val="32"/>
              </w:rPr>
            </w:pPr>
            <w:r>
              <w:rPr>
                <w:rFonts w:hint="eastAsia" w:ascii="仿宋_GB2312" w:hAnsi="宋体" w:eastAsia="仿宋_GB2312" w:cs="宋体"/>
                <w:kern w:val="0"/>
                <w:sz w:val="24"/>
                <w:szCs w:val="32"/>
              </w:rPr>
              <w:t>——</w:t>
            </w:r>
          </w:p>
        </w:tc>
        <w:tc>
          <w:tcPr>
            <w:tcW w:w="5103" w:type="dxa"/>
            <w:tcBorders>
              <w:top w:val="nil"/>
              <w:left w:val="nil"/>
              <w:bottom w:val="single" w:color="000000" w:sz="4" w:space="0"/>
              <w:right w:val="single" w:color="000000" w:sz="4" w:space="0"/>
            </w:tcBorders>
            <w:vAlign w:val="center"/>
          </w:tcPr>
          <w:p>
            <w:pPr>
              <w:widowControl/>
              <w:ind w:firstLine="480" w:firstLineChars="200"/>
              <w:jc w:val="center"/>
              <w:rPr>
                <w:rFonts w:ascii="仿宋_GB2312" w:hAnsi="宋体" w:eastAsia="仿宋_GB2312" w:cs="宋体"/>
                <w:kern w:val="0"/>
                <w:sz w:val="24"/>
                <w:szCs w:val="32"/>
              </w:rPr>
            </w:pPr>
            <w:r>
              <w:rPr>
                <w:rFonts w:ascii="仿宋_GB2312" w:hAnsi="宋体" w:eastAsia="仿宋_GB2312" w:cs="宋体"/>
                <w:kern w:val="0"/>
                <w:sz w:val="24"/>
                <w:szCs w:val="32"/>
              </w:rPr>
              <w:t>987.</w:t>
            </w:r>
            <w:r>
              <w:rPr>
                <w:rFonts w:hint="eastAsia" w:ascii="仿宋_GB2312" w:hAnsi="宋体" w:eastAsia="仿宋_GB2312" w:cs="宋体"/>
                <w:kern w:val="0"/>
                <w:sz w:val="24"/>
                <w:szCs w:val="32"/>
              </w:rPr>
              <w:t>8</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ind w:firstLine="480" w:firstLineChars="200"/>
              <w:jc w:val="left"/>
              <w:rPr>
                <w:rFonts w:ascii="仿宋_GB2312" w:hAnsi="宋体" w:eastAsia="仿宋_GB2312" w:cs="宋体"/>
                <w:kern w:val="0"/>
                <w:sz w:val="24"/>
                <w:szCs w:val="32"/>
              </w:rPr>
            </w:pPr>
            <w:r>
              <w:rPr>
                <w:rFonts w:hint="eastAsia" w:ascii="仿宋_GB2312" w:hAnsi="宋体" w:eastAsia="仿宋_GB2312" w:cs="宋体"/>
                <w:kern w:val="0"/>
                <w:sz w:val="24"/>
                <w:szCs w:val="32"/>
              </w:rPr>
              <w:t>1、房屋（平方米）</w:t>
            </w:r>
          </w:p>
        </w:tc>
        <w:tc>
          <w:tcPr>
            <w:tcW w:w="3155" w:type="dxa"/>
            <w:tcBorders>
              <w:top w:val="nil"/>
              <w:left w:val="nil"/>
              <w:bottom w:val="single" w:color="000000" w:sz="4" w:space="0"/>
              <w:right w:val="single" w:color="000000" w:sz="4" w:space="0"/>
            </w:tcBorders>
            <w:vAlign w:val="center"/>
          </w:tcPr>
          <w:p>
            <w:pPr>
              <w:widowControl/>
              <w:ind w:firstLine="480" w:firstLineChars="200"/>
              <w:jc w:val="center"/>
              <w:rPr>
                <w:rFonts w:ascii="仿宋_GB2312" w:hAnsi="宋体" w:eastAsia="仿宋_GB2312" w:cs="宋体"/>
                <w:kern w:val="0"/>
                <w:sz w:val="24"/>
                <w:szCs w:val="32"/>
              </w:rPr>
            </w:pPr>
            <w:r>
              <w:rPr>
                <w:rFonts w:ascii="仿宋_GB2312" w:hAnsi="宋体" w:eastAsia="仿宋_GB2312" w:cs="宋体"/>
                <w:kern w:val="0"/>
                <w:sz w:val="24"/>
                <w:szCs w:val="32"/>
              </w:rPr>
              <w:t>12,422.13</w:t>
            </w:r>
          </w:p>
        </w:tc>
        <w:tc>
          <w:tcPr>
            <w:tcW w:w="5103" w:type="dxa"/>
            <w:tcBorders>
              <w:top w:val="nil"/>
              <w:left w:val="nil"/>
              <w:bottom w:val="single" w:color="000000" w:sz="4" w:space="0"/>
              <w:right w:val="single" w:color="000000" w:sz="4" w:space="0"/>
            </w:tcBorders>
            <w:vAlign w:val="center"/>
          </w:tcPr>
          <w:p>
            <w:pPr>
              <w:widowControl/>
              <w:ind w:firstLine="480" w:firstLineChars="200"/>
              <w:jc w:val="center"/>
              <w:rPr>
                <w:rFonts w:ascii="仿宋_GB2312" w:hAnsi="宋体" w:eastAsia="仿宋_GB2312" w:cs="宋体"/>
                <w:kern w:val="0"/>
                <w:sz w:val="24"/>
                <w:szCs w:val="32"/>
              </w:rPr>
            </w:pPr>
            <w:r>
              <w:rPr>
                <w:rFonts w:ascii="仿宋_GB2312" w:hAnsi="宋体" w:eastAsia="仿宋_GB2312" w:cs="宋体"/>
                <w:kern w:val="0"/>
                <w:sz w:val="24"/>
                <w:szCs w:val="32"/>
              </w:rPr>
              <w:t>342.9</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ind w:firstLine="480" w:firstLineChars="200"/>
              <w:jc w:val="left"/>
              <w:rPr>
                <w:rFonts w:ascii="仿宋_GB2312" w:hAnsi="宋体" w:eastAsia="仿宋_GB2312" w:cs="宋体"/>
                <w:kern w:val="0"/>
                <w:sz w:val="24"/>
                <w:szCs w:val="32"/>
              </w:rPr>
            </w:pPr>
            <w:r>
              <w:rPr>
                <w:rFonts w:hint="eastAsia" w:ascii="仿宋_GB2312" w:hAnsi="宋体" w:eastAsia="仿宋_GB2312" w:cs="宋体"/>
                <w:kern w:val="0"/>
                <w:sz w:val="24"/>
                <w:szCs w:val="32"/>
              </w:rPr>
              <w:t xml:space="preserve">  其中：办公用房（平方米）</w:t>
            </w:r>
          </w:p>
        </w:tc>
        <w:tc>
          <w:tcPr>
            <w:tcW w:w="3155" w:type="dxa"/>
            <w:tcBorders>
              <w:top w:val="nil"/>
              <w:left w:val="nil"/>
              <w:bottom w:val="single" w:color="000000" w:sz="4" w:space="0"/>
              <w:right w:val="single" w:color="000000" w:sz="4" w:space="0"/>
            </w:tcBorders>
            <w:vAlign w:val="center"/>
          </w:tcPr>
          <w:p>
            <w:pPr>
              <w:widowControl/>
              <w:ind w:firstLine="480" w:firstLineChars="200"/>
              <w:jc w:val="center"/>
              <w:rPr>
                <w:rFonts w:ascii="仿宋_GB2312" w:hAnsi="宋体" w:eastAsia="仿宋_GB2312" w:cs="宋体"/>
                <w:kern w:val="0"/>
                <w:sz w:val="24"/>
                <w:szCs w:val="32"/>
              </w:rPr>
            </w:pPr>
            <w:r>
              <w:rPr>
                <w:rFonts w:ascii="仿宋_GB2312" w:hAnsi="宋体" w:eastAsia="仿宋_GB2312" w:cs="宋体"/>
                <w:kern w:val="0"/>
                <w:sz w:val="24"/>
                <w:szCs w:val="32"/>
              </w:rPr>
              <w:t>12,422.13</w:t>
            </w:r>
          </w:p>
        </w:tc>
        <w:tc>
          <w:tcPr>
            <w:tcW w:w="5103" w:type="dxa"/>
            <w:tcBorders>
              <w:top w:val="nil"/>
              <w:left w:val="nil"/>
              <w:bottom w:val="single" w:color="000000" w:sz="4" w:space="0"/>
              <w:right w:val="single" w:color="000000" w:sz="4" w:space="0"/>
            </w:tcBorders>
            <w:vAlign w:val="center"/>
          </w:tcPr>
          <w:p>
            <w:pPr>
              <w:widowControl/>
              <w:ind w:firstLine="480" w:firstLineChars="200"/>
              <w:jc w:val="center"/>
              <w:rPr>
                <w:rFonts w:ascii="仿宋_GB2312" w:hAnsi="宋体" w:eastAsia="仿宋_GB2312" w:cs="宋体"/>
                <w:kern w:val="0"/>
                <w:sz w:val="24"/>
                <w:szCs w:val="32"/>
              </w:rPr>
            </w:pPr>
            <w:r>
              <w:rPr>
                <w:rFonts w:ascii="仿宋_GB2312" w:hAnsi="宋体" w:eastAsia="仿宋_GB2312" w:cs="宋体"/>
                <w:kern w:val="0"/>
                <w:sz w:val="24"/>
                <w:szCs w:val="32"/>
              </w:rPr>
              <w:t>342.9</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ind w:firstLine="480" w:firstLineChars="200"/>
              <w:jc w:val="left"/>
              <w:rPr>
                <w:rFonts w:ascii="仿宋_GB2312" w:hAnsi="宋体" w:eastAsia="仿宋_GB2312" w:cs="宋体"/>
                <w:kern w:val="0"/>
                <w:sz w:val="24"/>
                <w:szCs w:val="32"/>
              </w:rPr>
            </w:pPr>
            <w:r>
              <w:rPr>
                <w:rFonts w:hint="eastAsia" w:ascii="仿宋_GB2312" w:hAnsi="宋体" w:eastAsia="仿宋_GB2312" w:cs="宋体"/>
                <w:kern w:val="0"/>
                <w:sz w:val="24"/>
                <w:szCs w:val="32"/>
              </w:rPr>
              <w:t>2、车辆（台、辆）</w:t>
            </w:r>
          </w:p>
        </w:tc>
        <w:tc>
          <w:tcPr>
            <w:tcW w:w="3155" w:type="dxa"/>
            <w:tcBorders>
              <w:top w:val="nil"/>
              <w:left w:val="nil"/>
              <w:bottom w:val="single" w:color="000000" w:sz="4" w:space="0"/>
              <w:right w:val="single" w:color="000000" w:sz="4" w:space="0"/>
            </w:tcBorders>
            <w:vAlign w:val="center"/>
          </w:tcPr>
          <w:p>
            <w:pPr>
              <w:widowControl/>
              <w:ind w:firstLine="480" w:firstLineChars="200"/>
              <w:jc w:val="center"/>
              <w:rPr>
                <w:rFonts w:ascii="仿宋_GB2312" w:hAnsi="宋体" w:eastAsia="仿宋_GB2312" w:cs="宋体"/>
                <w:kern w:val="0"/>
                <w:sz w:val="24"/>
                <w:szCs w:val="32"/>
              </w:rPr>
            </w:pPr>
            <w:r>
              <w:rPr>
                <w:rFonts w:hint="eastAsia" w:ascii="仿宋_GB2312" w:hAnsi="宋体" w:eastAsia="仿宋_GB2312" w:cs="宋体"/>
                <w:kern w:val="0"/>
                <w:sz w:val="24"/>
                <w:szCs w:val="32"/>
              </w:rPr>
              <w:t>29</w:t>
            </w:r>
          </w:p>
        </w:tc>
        <w:tc>
          <w:tcPr>
            <w:tcW w:w="5103" w:type="dxa"/>
            <w:tcBorders>
              <w:top w:val="nil"/>
              <w:left w:val="nil"/>
              <w:bottom w:val="single" w:color="000000" w:sz="4" w:space="0"/>
              <w:right w:val="single" w:color="000000" w:sz="4" w:space="0"/>
            </w:tcBorders>
            <w:vAlign w:val="center"/>
          </w:tcPr>
          <w:p>
            <w:pPr>
              <w:widowControl/>
              <w:ind w:firstLine="480" w:firstLineChars="200"/>
              <w:jc w:val="center"/>
              <w:rPr>
                <w:rFonts w:ascii="仿宋_GB2312" w:hAnsi="宋体" w:eastAsia="仿宋_GB2312" w:cs="宋体"/>
                <w:kern w:val="0"/>
                <w:sz w:val="24"/>
                <w:szCs w:val="32"/>
              </w:rPr>
            </w:pPr>
          </w:p>
          <w:p>
            <w:pPr>
              <w:widowControl/>
              <w:ind w:firstLine="480" w:firstLineChars="200"/>
              <w:jc w:val="center"/>
              <w:rPr>
                <w:rFonts w:ascii="仿宋_GB2312" w:hAnsi="宋体" w:eastAsia="仿宋_GB2312" w:cs="宋体"/>
                <w:kern w:val="0"/>
                <w:sz w:val="24"/>
                <w:szCs w:val="32"/>
              </w:rPr>
            </w:pPr>
            <w:r>
              <w:rPr>
                <w:rFonts w:hint="eastAsia" w:ascii="仿宋_GB2312" w:hAnsi="宋体" w:eastAsia="仿宋_GB2312" w:cs="宋体"/>
                <w:kern w:val="0"/>
                <w:sz w:val="24"/>
                <w:szCs w:val="32"/>
              </w:rPr>
              <w:t>334.4</w:t>
            </w:r>
          </w:p>
          <w:p>
            <w:pPr>
              <w:widowControl/>
              <w:rPr>
                <w:rFonts w:ascii="仿宋_GB2312" w:hAnsi="宋体" w:eastAsia="仿宋_GB2312" w:cs="宋体"/>
                <w:kern w:val="0"/>
                <w:sz w:val="24"/>
                <w:szCs w:val="32"/>
              </w:rPr>
            </w:pP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ind w:firstLine="480" w:firstLineChars="200"/>
              <w:jc w:val="left"/>
              <w:rPr>
                <w:rFonts w:ascii="仿宋_GB2312" w:hAnsi="宋体" w:eastAsia="仿宋_GB2312" w:cs="宋体"/>
                <w:kern w:val="0"/>
                <w:sz w:val="24"/>
                <w:szCs w:val="32"/>
              </w:rPr>
            </w:pPr>
            <w:r>
              <w:rPr>
                <w:rFonts w:hint="eastAsia" w:ascii="仿宋_GB2312" w:hAnsi="宋体" w:eastAsia="仿宋_GB2312" w:cs="宋体"/>
                <w:kern w:val="0"/>
                <w:sz w:val="24"/>
                <w:szCs w:val="32"/>
              </w:rPr>
              <w:t>3、单价在20万元以上设备</w:t>
            </w:r>
          </w:p>
        </w:tc>
        <w:tc>
          <w:tcPr>
            <w:tcW w:w="3155" w:type="dxa"/>
            <w:tcBorders>
              <w:top w:val="nil"/>
              <w:left w:val="nil"/>
              <w:bottom w:val="single" w:color="000000" w:sz="4" w:space="0"/>
              <w:right w:val="single" w:color="000000" w:sz="4" w:space="0"/>
            </w:tcBorders>
            <w:vAlign w:val="center"/>
          </w:tcPr>
          <w:p>
            <w:pPr>
              <w:widowControl/>
              <w:ind w:firstLine="480" w:firstLineChars="200"/>
              <w:jc w:val="center"/>
              <w:rPr>
                <w:rFonts w:ascii="仿宋_GB2312" w:hAnsi="宋体" w:eastAsia="仿宋_GB2312" w:cs="宋体"/>
                <w:kern w:val="0"/>
                <w:sz w:val="24"/>
                <w:szCs w:val="32"/>
              </w:rPr>
            </w:pPr>
            <w:r>
              <w:rPr>
                <w:rFonts w:hint="eastAsia" w:ascii="仿宋_GB2312" w:hAnsi="宋体" w:eastAsia="仿宋_GB2312" w:cs="宋体"/>
                <w:kern w:val="0"/>
                <w:sz w:val="24"/>
                <w:szCs w:val="32"/>
              </w:rPr>
              <w:t>——</w:t>
            </w:r>
          </w:p>
        </w:tc>
        <w:tc>
          <w:tcPr>
            <w:tcW w:w="5103" w:type="dxa"/>
            <w:tcBorders>
              <w:top w:val="nil"/>
              <w:left w:val="nil"/>
              <w:bottom w:val="single" w:color="000000" w:sz="4" w:space="0"/>
              <w:right w:val="single" w:color="000000" w:sz="4" w:space="0"/>
            </w:tcBorders>
            <w:vAlign w:val="center"/>
          </w:tcPr>
          <w:p>
            <w:pPr>
              <w:widowControl/>
              <w:ind w:firstLine="480" w:firstLineChars="200"/>
              <w:jc w:val="center"/>
              <w:rPr>
                <w:rFonts w:ascii="仿宋_GB2312" w:hAnsi="宋体" w:eastAsia="仿宋_GB2312" w:cs="宋体"/>
                <w:kern w:val="0"/>
                <w:sz w:val="24"/>
                <w:szCs w:val="32"/>
              </w:rPr>
            </w:pP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ind w:firstLine="480" w:firstLineChars="200"/>
              <w:jc w:val="left"/>
              <w:rPr>
                <w:rFonts w:ascii="仿宋_GB2312" w:hAnsi="宋体" w:eastAsia="仿宋_GB2312" w:cs="宋体"/>
                <w:kern w:val="0"/>
                <w:sz w:val="24"/>
                <w:szCs w:val="32"/>
              </w:rPr>
            </w:pPr>
            <w:r>
              <w:rPr>
                <w:rFonts w:hint="eastAsia" w:ascii="仿宋_GB2312" w:hAnsi="宋体" w:eastAsia="仿宋_GB2312" w:cs="宋体"/>
                <w:kern w:val="0"/>
                <w:sz w:val="24"/>
                <w:szCs w:val="32"/>
              </w:rPr>
              <w:t>4、其他固定资产</w:t>
            </w:r>
          </w:p>
        </w:tc>
        <w:tc>
          <w:tcPr>
            <w:tcW w:w="3155" w:type="dxa"/>
            <w:tcBorders>
              <w:top w:val="nil"/>
              <w:left w:val="nil"/>
              <w:bottom w:val="single" w:color="000000" w:sz="4" w:space="0"/>
              <w:right w:val="single" w:color="000000" w:sz="4" w:space="0"/>
            </w:tcBorders>
            <w:vAlign w:val="center"/>
          </w:tcPr>
          <w:p>
            <w:pPr>
              <w:widowControl/>
              <w:ind w:firstLine="480" w:firstLineChars="200"/>
              <w:jc w:val="center"/>
              <w:rPr>
                <w:rFonts w:ascii="仿宋_GB2312" w:hAnsi="宋体" w:eastAsia="仿宋_GB2312" w:cs="宋体"/>
                <w:kern w:val="0"/>
                <w:sz w:val="24"/>
                <w:szCs w:val="32"/>
              </w:rPr>
            </w:pPr>
            <w:r>
              <w:rPr>
                <w:rFonts w:hint="eastAsia" w:ascii="仿宋_GB2312" w:hAnsi="宋体" w:eastAsia="仿宋_GB2312" w:cs="宋体"/>
                <w:kern w:val="0"/>
                <w:sz w:val="24"/>
                <w:szCs w:val="32"/>
              </w:rPr>
              <w:t>——</w:t>
            </w:r>
          </w:p>
        </w:tc>
        <w:tc>
          <w:tcPr>
            <w:tcW w:w="5103" w:type="dxa"/>
            <w:tcBorders>
              <w:top w:val="nil"/>
              <w:left w:val="nil"/>
              <w:bottom w:val="single" w:color="000000" w:sz="4" w:space="0"/>
              <w:right w:val="single" w:color="000000" w:sz="4" w:space="0"/>
            </w:tcBorders>
            <w:vAlign w:val="center"/>
          </w:tcPr>
          <w:p>
            <w:pPr>
              <w:widowControl/>
              <w:ind w:firstLine="480" w:firstLineChars="200"/>
              <w:jc w:val="center"/>
              <w:rPr>
                <w:rFonts w:ascii="仿宋_GB2312" w:hAnsi="宋体" w:eastAsia="仿宋_GB2312" w:cs="宋体"/>
                <w:kern w:val="0"/>
                <w:sz w:val="24"/>
                <w:szCs w:val="32"/>
              </w:rPr>
            </w:pPr>
            <w:r>
              <w:rPr>
                <w:rFonts w:hint="eastAsia" w:ascii="仿宋_GB2312" w:hAnsi="宋体" w:eastAsia="仿宋_GB2312" w:cs="宋体"/>
                <w:kern w:val="0"/>
                <w:sz w:val="24"/>
                <w:szCs w:val="32"/>
              </w:rPr>
              <w:t>310.5</w:t>
            </w:r>
          </w:p>
        </w:tc>
      </w:tr>
    </w:tbl>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ind w:firstLine="720"/>
        <w:rPr>
          <w:rFonts w:ascii="仿宋" w:hAnsi="仿宋" w:eastAsia="仿宋"/>
          <w:b/>
          <w:sz w:val="32"/>
          <w:szCs w:val="32"/>
        </w:rPr>
      </w:pPr>
      <w:r>
        <w:rPr>
          <w:rFonts w:hint="eastAsia" w:ascii="仿宋" w:hAnsi="仿宋" w:eastAsia="仿宋"/>
          <w:b/>
          <w:sz w:val="32"/>
          <w:szCs w:val="32"/>
        </w:rPr>
        <w:t>1.财政拨款收入</w:t>
      </w:r>
    </w:p>
    <w:p>
      <w:pPr>
        <w:ind w:firstLine="720"/>
        <w:rPr>
          <w:rFonts w:ascii="仿宋" w:hAnsi="仿宋" w:eastAsia="仿宋"/>
          <w:sz w:val="32"/>
          <w:szCs w:val="32"/>
        </w:rPr>
      </w:pPr>
      <w:r>
        <w:rPr>
          <w:rFonts w:hint="eastAsia" w:ascii="仿宋" w:hAnsi="仿宋" w:eastAsia="仿宋"/>
          <w:sz w:val="32"/>
          <w:szCs w:val="32"/>
        </w:rPr>
        <w:t>财政拨款收入是指财政部门按照批复的预算核拨给单位的财政预算资金。</w:t>
      </w:r>
    </w:p>
    <w:p>
      <w:pPr>
        <w:ind w:firstLine="720"/>
        <w:rPr>
          <w:rFonts w:ascii="仿宋" w:hAnsi="仿宋" w:eastAsia="仿宋"/>
          <w:b/>
          <w:sz w:val="32"/>
          <w:szCs w:val="32"/>
        </w:rPr>
      </w:pPr>
      <w:r>
        <w:rPr>
          <w:rFonts w:hint="eastAsia" w:ascii="仿宋" w:hAnsi="仿宋" w:eastAsia="仿宋"/>
          <w:b/>
          <w:sz w:val="32"/>
          <w:szCs w:val="32"/>
        </w:rPr>
        <w:t>2.基本支出、项目支出</w:t>
      </w:r>
    </w:p>
    <w:p>
      <w:pPr>
        <w:ind w:firstLine="720"/>
        <w:rPr>
          <w:rFonts w:ascii="仿宋" w:hAnsi="仿宋" w:eastAsia="仿宋"/>
          <w:sz w:val="32"/>
          <w:szCs w:val="32"/>
        </w:rPr>
      </w:pPr>
      <w:r>
        <w:rPr>
          <w:rFonts w:hint="eastAsia" w:ascii="仿宋" w:hAnsi="仿宋" w:eastAsia="仿宋"/>
          <w:sz w:val="32"/>
          <w:szCs w:val="32"/>
        </w:rPr>
        <w:t>基本支出是指预算单位为保障机构正常运转和完成日常工作而发生的各项支出，包括人员经费和日常公用经费。</w:t>
      </w:r>
    </w:p>
    <w:p>
      <w:pPr>
        <w:ind w:firstLine="720"/>
        <w:rPr>
          <w:rFonts w:ascii="仿宋" w:hAnsi="仿宋" w:eastAsia="仿宋"/>
          <w:sz w:val="32"/>
          <w:szCs w:val="32"/>
        </w:rPr>
      </w:pPr>
      <w:r>
        <w:rPr>
          <w:rFonts w:hint="eastAsia" w:ascii="仿宋" w:hAnsi="仿宋" w:eastAsia="仿宋"/>
          <w:sz w:val="32"/>
          <w:szCs w:val="32"/>
        </w:rPr>
        <w:t>项目支出是指在基本支出之外完成特定行政任务和事业发展目标所发生的支出。</w:t>
      </w:r>
    </w:p>
    <w:p>
      <w:pPr>
        <w:ind w:firstLine="720"/>
        <w:rPr>
          <w:rFonts w:ascii="仿宋" w:hAnsi="仿宋" w:eastAsia="仿宋"/>
          <w:b/>
          <w:sz w:val="32"/>
          <w:szCs w:val="32"/>
        </w:rPr>
      </w:pPr>
      <w:r>
        <w:rPr>
          <w:rFonts w:hint="eastAsia" w:ascii="仿宋" w:hAnsi="仿宋" w:eastAsia="仿宋"/>
          <w:b/>
          <w:sz w:val="32"/>
          <w:szCs w:val="32"/>
        </w:rPr>
        <w:t>3.一般公共服务支出</w:t>
      </w:r>
    </w:p>
    <w:p>
      <w:pPr>
        <w:ind w:firstLine="720"/>
        <w:rPr>
          <w:rFonts w:ascii="仿宋" w:hAnsi="仿宋" w:eastAsia="仿宋"/>
          <w:sz w:val="32"/>
          <w:szCs w:val="32"/>
        </w:rPr>
      </w:pPr>
      <w:r>
        <w:rPr>
          <w:rFonts w:hint="eastAsia" w:ascii="仿宋" w:hAnsi="仿宋" w:eastAsia="仿宋"/>
          <w:sz w:val="32"/>
          <w:szCs w:val="32"/>
        </w:rPr>
        <w:t>一般公共服务支出是指反映预算单位一般公共服务的支出。</w:t>
      </w:r>
    </w:p>
    <w:p>
      <w:pPr>
        <w:ind w:firstLine="720"/>
        <w:rPr>
          <w:rFonts w:ascii="仿宋" w:hAnsi="仿宋" w:eastAsia="仿宋"/>
          <w:b/>
          <w:sz w:val="32"/>
          <w:szCs w:val="32"/>
        </w:rPr>
      </w:pPr>
      <w:r>
        <w:rPr>
          <w:rFonts w:hint="eastAsia" w:ascii="仿宋" w:hAnsi="仿宋" w:eastAsia="仿宋"/>
          <w:b/>
          <w:sz w:val="32"/>
          <w:szCs w:val="32"/>
        </w:rPr>
        <w:t>4.文化体育与传媒支出</w:t>
      </w:r>
    </w:p>
    <w:p>
      <w:pPr>
        <w:ind w:firstLine="720"/>
        <w:rPr>
          <w:rFonts w:ascii="仿宋" w:hAnsi="仿宋" w:eastAsia="仿宋"/>
          <w:sz w:val="32"/>
          <w:szCs w:val="32"/>
        </w:rPr>
      </w:pPr>
      <w:r>
        <w:rPr>
          <w:rFonts w:hint="eastAsia" w:ascii="仿宋" w:hAnsi="仿宋" w:eastAsia="仿宋"/>
          <w:sz w:val="32"/>
          <w:szCs w:val="32"/>
        </w:rPr>
        <w:t>文化体育与传媒支出是指反映预算单位在文化、文物、体育、广播影视、新闻出版等方面的支出。</w:t>
      </w:r>
    </w:p>
    <w:p>
      <w:pPr>
        <w:ind w:firstLine="720"/>
        <w:rPr>
          <w:rFonts w:ascii="仿宋" w:hAnsi="仿宋" w:eastAsia="仿宋"/>
          <w:b/>
          <w:sz w:val="32"/>
          <w:szCs w:val="32"/>
        </w:rPr>
      </w:pPr>
      <w:r>
        <w:rPr>
          <w:rFonts w:hint="eastAsia" w:ascii="仿宋" w:hAnsi="仿宋" w:eastAsia="仿宋"/>
          <w:b/>
          <w:sz w:val="32"/>
          <w:szCs w:val="32"/>
        </w:rPr>
        <w:t>5.社会保障和就业支出</w:t>
      </w:r>
    </w:p>
    <w:p>
      <w:pPr>
        <w:ind w:firstLine="720"/>
        <w:rPr>
          <w:rFonts w:ascii="仿宋" w:hAnsi="仿宋" w:eastAsia="仿宋"/>
          <w:sz w:val="32"/>
          <w:szCs w:val="32"/>
        </w:rPr>
      </w:pPr>
      <w:r>
        <w:rPr>
          <w:rFonts w:hint="eastAsia" w:ascii="仿宋" w:hAnsi="仿宋" w:eastAsia="仿宋"/>
          <w:sz w:val="32"/>
          <w:szCs w:val="32"/>
        </w:rPr>
        <w:t>社会保障和就业支出是指预算单位在社会保障和就业方面的支出。</w:t>
      </w:r>
    </w:p>
    <w:p>
      <w:pPr>
        <w:ind w:firstLine="720"/>
        <w:rPr>
          <w:rFonts w:ascii="仿宋" w:hAnsi="仿宋" w:eastAsia="仿宋"/>
          <w:b/>
          <w:sz w:val="32"/>
          <w:szCs w:val="32"/>
        </w:rPr>
      </w:pPr>
      <w:r>
        <w:rPr>
          <w:rFonts w:hint="eastAsia" w:ascii="仿宋" w:hAnsi="仿宋" w:eastAsia="仿宋"/>
          <w:b/>
          <w:sz w:val="32"/>
          <w:szCs w:val="32"/>
        </w:rPr>
        <w:t>6.机关运行经费</w:t>
      </w:r>
    </w:p>
    <w:p>
      <w:pPr>
        <w:ind w:firstLine="720"/>
        <w:rPr>
          <w:rFonts w:ascii="仿宋" w:hAnsi="仿宋" w:eastAsia="仿宋"/>
          <w:sz w:val="32"/>
          <w:szCs w:val="32"/>
        </w:rPr>
      </w:pPr>
      <w:r>
        <w:rPr>
          <w:rFonts w:hint="eastAsia" w:ascii="仿宋" w:hAnsi="仿宋" w:eastAsia="仿宋"/>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仿宋" w:hAnsi="仿宋" w:eastAsia="仿宋"/>
          <w:b/>
          <w:sz w:val="32"/>
          <w:szCs w:val="32"/>
        </w:rPr>
      </w:pPr>
      <w:r>
        <w:rPr>
          <w:rFonts w:hint="eastAsia" w:ascii="仿宋" w:hAnsi="仿宋" w:eastAsia="仿宋"/>
          <w:b/>
          <w:sz w:val="32"/>
          <w:szCs w:val="32"/>
        </w:rPr>
        <w:t>7.“三公”经费</w:t>
      </w:r>
    </w:p>
    <w:p>
      <w:pPr>
        <w:ind w:firstLine="720"/>
        <w:rPr>
          <w:rFonts w:ascii="仿宋" w:hAnsi="仿宋" w:eastAsia="仿宋"/>
          <w:sz w:val="32"/>
          <w:szCs w:val="32"/>
        </w:rPr>
      </w:pPr>
      <w:r>
        <w:rPr>
          <w:rFonts w:hint="eastAsia" w:ascii="仿宋" w:hAnsi="仿宋" w:eastAsia="仿宋"/>
          <w:sz w:val="32"/>
          <w:szCs w:val="32"/>
        </w:rPr>
        <w:t>“三公”经费是指因公出国（境）费、公务用车购置及运行维护费和公务接待费。</w:t>
      </w:r>
    </w:p>
    <w:p>
      <w:pPr>
        <w:ind w:firstLine="720"/>
        <w:rPr>
          <w:rFonts w:ascii="仿宋" w:hAnsi="仿宋" w:eastAsia="仿宋"/>
          <w:sz w:val="32"/>
          <w:szCs w:val="32"/>
        </w:rPr>
      </w:pPr>
      <w:r>
        <w:rPr>
          <w:rFonts w:hint="eastAsia" w:ascii="仿宋" w:hAnsi="仿宋" w:eastAsia="仿宋"/>
          <w:sz w:val="32"/>
          <w:szCs w:val="32"/>
        </w:rPr>
        <w:t>因公出国（境）费是指单位公务出国（境）的国际旅费、国外城市间交通费、住宿费、伙食费、培训费、公杂费等支出。</w:t>
      </w:r>
    </w:p>
    <w:p>
      <w:pPr>
        <w:ind w:firstLine="720"/>
        <w:rPr>
          <w:rFonts w:ascii="仿宋" w:hAnsi="仿宋" w:eastAsia="仿宋"/>
          <w:sz w:val="32"/>
          <w:szCs w:val="32"/>
        </w:rPr>
      </w:pPr>
      <w:r>
        <w:rPr>
          <w:rFonts w:hint="eastAsia" w:ascii="仿宋" w:hAnsi="仿宋" w:eastAsia="仿宋"/>
          <w:sz w:val="32"/>
          <w:szCs w:val="32"/>
        </w:rPr>
        <w:t>公务用车购置及运行维护费是指单位购置公务用车及公务用车租用费、燃料费、维修费、路桥费、保险费等支出。</w:t>
      </w:r>
    </w:p>
    <w:p>
      <w:pPr>
        <w:ind w:firstLine="720"/>
        <w:rPr>
          <w:rFonts w:ascii="仿宋" w:hAnsi="仿宋" w:eastAsia="仿宋"/>
          <w:sz w:val="32"/>
          <w:szCs w:val="32"/>
        </w:rPr>
      </w:pPr>
      <w:r>
        <w:rPr>
          <w:rFonts w:hint="eastAsia" w:ascii="仿宋" w:hAnsi="仿宋" w:eastAsia="仿宋"/>
          <w:sz w:val="32"/>
          <w:szCs w:val="32"/>
        </w:rPr>
        <w:t>公务接待费是指单位按规定开支的各类公务接待（含外宾接待）费用。</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ind w:firstLine="688" w:firstLineChars="215"/>
        <w:rPr>
          <w:rFonts w:ascii="仿宋" w:hAnsi="仿宋" w:eastAsia="仿宋"/>
          <w:sz w:val="32"/>
          <w:szCs w:val="32"/>
        </w:rPr>
      </w:pPr>
      <w:r>
        <w:rPr>
          <w:rFonts w:hint="eastAsia" w:ascii="仿宋" w:hAnsi="仿宋" w:eastAsia="仿宋"/>
          <w:sz w:val="32"/>
          <w:szCs w:val="32"/>
        </w:rPr>
        <w:t>我部门无其他需要说明的事项。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小标宋_GBK">
    <w:altName w:val="宋体"/>
    <w:panose1 w:val="00000000000000000000"/>
    <w:charset w:val="86"/>
    <w:family w:val="script"/>
    <w:pitch w:val="default"/>
    <w:sig w:usb0="00000000" w:usb1="00000000" w:usb2="00000010" w:usb3="00000000" w:csb0="00040000" w:csb1="00000000"/>
  </w:font>
  <w:font w:name="方正书宋_GBK">
    <w:altName w:val="宋体"/>
    <w:panose1 w:val="00000000000000000000"/>
    <w:charset w:val="86"/>
    <w:family w:val="script"/>
    <w:pitch w:val="default"/>
    <w:sig w:usb0="00000000" w:usb1="00000000" w:usb2="00000010" w:usb3="00000000" w:csb0="00040000" w:csb1="00000000"/>
  </w:font>
  <w:font w:name="方正仿宋_GBK">
    <w:altName w:val="宋体"/>
    <w:panose1 w:val="00000000000000000000"/>
    <w:charset w:val="86"/>
    <w:family w:val="roman"/>
    <w:pitch w:val="default"/>
    <w:sig w:usb0="00000000" w:usb1="00000000" w:usb2="00000000"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8E9797D"/>
    <w:multiLevelType w:val="multilevel"/>
    <w:tmpl w:val="38E9797D"/>
    <w:lvl w:ilvl="0" w:tentative="0">
      <w:start w:val="1"/>
      <w:numFmt w:val="japaneseCounting"/>
      <w:lvlText w:val="（%1）"/>
      <w:lvlJc w:val="left"/>
      <w:pPr>
        <w:ind w:left="1680" w:hanging="1080"/>
      </w:pPr>
      <w:rPr>
        <w:rFonts w:hint="default"/>
      </w:rPr>
    </w:lvl>
    <w:lvl w:ilvl="1" w:tentative="0">
      <w:start w:val="1"/>
      <w:numFmt w:val="lowerLetter"/>
      <w:lvlText w:val="%2)"/>
      <w:lvlJc w:val="left"/>
      <w:pPr>
        <w:ind w:left="1440" w:hanging="420"/>
      </w:pPr>
    </w:lvl>
    <w:lvl w:ilvl="2" w:tentative="0">
      <w:start w:val="1"/>
      <w:numFmt w:val="lowerRoman"/>
      <w:lvlText w:val="%3."/>
      <w:lvlJc w:val="right"/>
      <w:pPr>
        <w:ind w:left="1860" w:hanging="420"/>
      </w:pPr>
    </w:lvl>
    <w:lvl w:ilvl="3" w:tentative="0">
      <w:start w:val="1"/>
      <w:numFmt w:val="decimal"/>
      <w:lvlText w:val="%4."/>
      <w:lvlJc w:val="left"/>
      <w:pPr>
        <w:ind w:left="2280" w:hanging="420"/>
      </w:pPr>
    </w:lvl>
    <w:lvl w:ilvl="4" w:tentative="0">
      <w:start w:val="1"/>
      <w:numFmt w:val="lowerLetter"/>
      <w:lvlText w:val="%5)"/>
      <w:lvlJc w:val="left"/>
      <w:pPr>
        <w:ind w:left="2700" w:hanging="420"/>
      </w:pPr>
    </w:lvl>
    <w:lvl w:ilvl="5" w:tentative="0">
      <w:start w:val="1"/>
      <w:numFmt w:val="lowerRoman"/>
      <w:lvlText w:val="%6."/>
      <w:lvlJc w:val="right"/>
      <w:pPr>
        <w:ind w:left="3120" w:hanging="420"/>
      </w:pPr>
    </w:lvl>
    <w:lvl w:ilvl="6" w:tentative="0">
      <w:start w:val="1"/>
      <w:numFmt w:val="decimal"/>
      <w:lvlText w:val="%7."/>
      <w:lvlJc w:val="left"/>
      <w:pPr>
        <w:ind w:left="3540" w:hanging="420"/>
      </w:pPr>
    </w:lvl>
    <w:lvl w:ilvl="7" w:tentative="0">
      <w:start w:val="1"/>
      <w:numFmt w:val="lowerLetter"/>
      <w:lvlText w:val="%8)"/>
      <w:lvlJc w:val="left"/>
      <w:pPr>
        <w:ind w:left="3960" w:hanging="420"/>
      </w:pPr>
    </w:lvl>
    <w:lvl w:ilvl="8" w:tentative="0">
      <w:start w:val="1"/>
      <w:numFmt w:val="lowerRoman"/>
      <w:lvlText w:val="%9."/>
      <w:lvlJc w:val="right"/>
      <w:pPr>
        <w:ind w:left="43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3576F4"/>
    <w:rsid w:val="000261A2"/>
    <w:rsid w:val="000B3C55"/>
    <w:rsid w:val="001400FE"/>
    <w:rsid w:val="00187BA2"/>
    <w:rsid w:val="00197AD1"/>
    <w:rsid w:val="001B0556"/>
    <w:rsid w:val="00235282"/>
    <w:rsid w:val="00235D6E"/>
    <w:rsid w:val="00284CD4"/>
    <w:rsid w:val="002B614A"/>
    <w:rsid w:val="002F5884"/>
    <w:rsid w:val="00345A4D"/>
    <w:rsid w:val="003576F4"/>
    <w:rsid w:val="00393814"/>
    <w:rsid w:val="003F0051"/>
    <w:rsid w:val="00442230"/>
    <w:rsid w:val="00466B26"/>
    <w:rsid w:val="005978E5"/>
    <w:rsid w:val="005A19B3"/>
    <w:rsid w:val="0063034A"/>
    <w:rsid w:val="00664920"/>
    <w:rsid w:val="006A2358"/>
    <w:rsid w:val="006A47AD"/>
    <w:rsid w:val="006A76DF"/>
    <w:rsid w:val="00721BA7"/>
    <w:rsid w:val="007565DF"/>
    <w:rsid w:val="007E3295"/>
    <w:rsid w:val="008320E4"/>
    <w:rsid w:val="00832657"/>
    <w:rsid w:val="0086352D"/>
    <w:rsid w:val="00894905"/>
    <w:rsid w:val="008A0C88"/>
    <w:rsid w:val="008F1F36"/>
    <w:rsid w:val="0098281E"/>
    <w:rsid w:val="009C626C"/>
    <w:rsid w:val="009D61CF"/>
    <w:rsid w:val="00A23A45"/>
    <w:rsid w:val="00A72301"/>
    <w:rsid w:val="00A91147"/>
    <w:rsid w:val="00AC22AE"/>
    <w:rsid w:val="00AE4524"/>
    <w:rsid w:val="00B07677"/>
    <w:rsid w:val="00B718E1"/>
    <w:rsid w:val="00C03BC5"/>
    <w:rsid w:val="00C42BCB"/>
    <w:rsid w:val="00C44FEC"/>
    <w:rsid w:val="00C50826"/>
    <w:rsid w:val="00CC658C"/>
    <w:rsid w:val="00D0515F"/>
    <w:rsid w:val="00D408F7"/>
    <w:rsid w:val="00D77FCE"/>
    <w:rsid w:val="00D9247F"/>
    <w:rsid w:val="00D929B0"/>
    <w:rsid w:val="00DD6BD4"/>
    <w:rsid w:val="00E41187"/>
    <w:rsid w:val="00E636B7"/>
    <w:rsid w:val="00E9533A"/>
    <w:rsid w:val="00F71149"/>
    <w:rsid w:val="00F90658"/>
    <w:rsid w:val="63CC44C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qFormat/>
    <w:uiPriority w:val="99"/>
    <w:rPr>
      <w:rFonts w:ascii="Times New Roman" w:hAnsi="Times New Roman" w:eastAsia="宋体" w:cs="Times New Roman"/>
      <w:sz w:val="18"/>
      <w:szCs w:val="18"/>
    </w:rPr>
  </w:style>
  <w:style w:type="character" w:customStyle="1" w:styleId="7">
    <w:name w:val="页脚 字符"/>
    <w:basedOn w:val="5"/>
    <w:link w:val="2"/>
    <w:qFormat/>
    <w:uiPriority w:val="99"/>
    <w:rPr>
      <w:rFonts w:ascii="Times New Roman" w:hAnsi="Times New Roman" w:eastAsia="宋体" w:cs="Times New Roman"/>
      <w:sz w:val="18"/>
      <w:szCs w:val="18"/>
    </w:rPr>
  </w:style>
  <w:style w:type="paragraph" w:styleId="8">
    <w:name w:val="List Paragraph"/>
    <w:basedOn w:val="1"/>
    <w:qFormat/>
    <w:uiPriority w:val="34"/>
    <w:pPr>
      <w:ind w:firstLine="420" w:firstLineChars="200"/>
    </w:pPr>
  </w:style>
  <w:style w:type="paragraph" w:customStyle="1" w:styleId="9">
    <w:name w:val="p0"/>
    <w:basedOn w:val="1"/>
    <w:qFormat/>
    <w:uiPriority w:val="0"/>
    <w:pPr>
      <w:widowControl/>
    </w:pPr>
    <w:rPr>
      <w:rFonts w:ascii="Calibri" w:hAnsi="Calibri" w:cs="宋体"/>
      <w:kern w:val="0"/>
      <w:szCs w:val="21"/>
    </w:rPr>
  </w:style>
  <w:style w:type="paragraph" w:customStyle="1" w:styleId="10">
    <w:name w:val="[Normal]"/>
    <w:qFormat/>
    <w:uiPriority w:val="0"/>
    <w:rPr>
      <w:rFonts w:ascii="宋体" w:hAnsi="Times New Roman" w:eastAsia="宋体" w:cs="Times New Roman"/>
      <w:kern w:val="0"/>
      <w:sz w:val="24"/>
      <w:szCs w:val="20"/>
      <w:lang w:val="en-US" w:eastAsia="en-US"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16</Pages>
  <Words>976</Words>
  <Characters>5567</Characters>
  <Lines>46</Lines>
  <Paragraphs>13</Paragraphs>
  <TotalTime>64</TotalTime>
  <ScaleCrop>false</ScaleCrop>
  <LinksUpToDate>false</LinksUpToDate>
  <CharactersWithSpaces>6530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2018-04-03T11:13:00Z</dcterms:created>
  <dc:creator>微软用户</dc:creator>
  <cp:lastModifiedBy>Administrator</cp:lastModifiedBy>
  <dcterms:modified xsi:type="dcterms:W3CDTF">2024-01-16T01:52:51Z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