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0" w:name="_GoBack"/>
      <w:bookmarkEnd w:id="0"/>
    </w:p>
    <w:p>
      <w:pPr>
        <w:ind w:firstLine="5429" w:firstLineChars="1229"/>
        <w:rPr>
          <w:rFonts w:ascii="宋体" w:hAnsi="宋体" w:cs="宋体"/>
          <w:b/>
          <w:bCs/>
          <w:sz w:val="44"/>
          <w:szCs w:val="44"/>
        </w:rPr>
      </w:pPr>
      <w:r>
        <w:rPr>
          <w:rFonts w:hint="eastAsia" w:ascii="宋体" w:hAnsi="宋体" w:cs="宋体"/>
          <w:b/>
          <w:bCs/>
          <w:sz w:val="44"/>
          <w:szCs w:val="44"/>
        </w:rPr>
        <w:t>无极县住建局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、《地方预决算公开操作规程》和《河北省省级预算公开办法》规定，现将无极县住建局2017年部门预算公开如下：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5"/>
        <w:rPr>
          <w:rFonts w:ascii="仿宋" w:hAnsi="仿宋" w:eastAsia="仿宋" w:cs="仿宋_GB2312"/>
          <w:sz w:val="32"/>
          <w:szCs w:val="32"/>
        </w:rPr>
      </w:pPr>
      <w:r>
        <w:rPr>
          <w:rFonts w:hint="eastAsia" w:ascii="仿宋" w:hAnsi="仿宋" w:eastAsia="仿宋" w:cs="仿宋"/>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pPr>
        <w:ind w:firstLine="645"/>
        <w:rPr>
          <w:rFonts w:hint="eastAsia" w:ascii="楷体" w:hAnsi="楷体" w:eastAsia="楷体" w:cs="仿宋_GB2312"/>
          <w:sz w:val="32"/>
          <w:szCs w:val="32"/>
        </w:rPr>
      </w:pPr>
    </w:p>
    <w:p>
      <w:pPr>
        <w:ind w:firstLine="645"/>
        <w:rPr>
          <w:rFonts w:hint="eastAsia" w:ascii="楷体" w:hAnsi="楷体" w:eastAsia="楷体" w:cs="仿宋_GB2312"/>
          <w:sz w:val="32"/>
          <w:szCs w:val="32"/>
        </w:rPr>
      </w:pP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4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3"/>
        <w:gridCol w:w="2159"/>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21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tblHeader/>
          <w:jc w:val="center"/>
        </w:trPr>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21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tblHeader/>
          <w:jc w:val="center"/>
        </w:trPr>
        <w:tc>
          <w:tcPr>
            <w:tcW w:w="3013" w:type="dxa"/>
            <w:vMerge w:val="continue"/>
            <w:shd w:val="clear" w:color="auto" w:fill="auto"/>
            <w:vAlign w:val="center"/>
          </w:tcPr>
          <w:p>
            <w:pPr>
              <w:spacing w:line="300" w:lineRule="exact"/>
              <w:jc w:val="left"/>
              <w:outlineLvl w:val="0"/>
            </w:pPr>
          </w:p>
        </w:tc>
        <w:tc>
          <w:tcPr>
            <w:tcW w:w="2159"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301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2159"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30</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103</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无极县住房和城乡建设局</w:t>
            </w:r>
          </w:p>
        </w:tc>
        <w:tc>
          <w:tcPr>
            <w:tcW w:w="215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无极县建筑工程质量监督站</w:t>
            </w:r>
          </w:p>
        </w:tc>
        <w:tc>
          <w:tcPr>
            <w:tcW w:w="2159" w:type="dxa"/>
            <w:shd w:val="clear" w:color="auto" w:fill="auto"/>
            <w:vAlign w:val="center"/>
          </w:tcPr>
          <w:p>
            <w:pPr>
              <w:spacing w:line="300" w:lineRule="exact"/>
              <w:jc w:val="center"/>
              <w:rPr>
                <w:rFonts w:ascii="方正书宋_GBK" w:eastAsia="方正书宋_GBK"/>
              </w:rPr>
            </w:pPr>
            <w:r>
              <w:rPr>
                <w:rFonts w:hint="eastAsia" w:ascii="方正书宋_GBK"/>
              </w:rPr>
              <w:t>自收自支</w:t>
            </w:r>
          </w:p>
        </w:tc>
        <w:tc>
          <w:tcPr>
            <w:tcW w:w="1276" w:type="dxa"/>
            <w:shd w:val="clear" w:color="auto" w:fill="auto"/>
            <w:vAlign w:val="center"/>
          </w:tcPr>
          <w:p>
            <w:pPr>
              <w:spacing w:line="300" w:lineRule="exact"/>
              <w:jc w:val="center"/>
              <w:rPr>
                <w:rFonts w:ascii="方正书宋_GBK"/>
              </w:rPr>
            </w:pPr>
            <w:r>
              <w:rPr>
                <w:rFonts w:hint="eastAsia" w:ascii="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财政性资金零补助</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无极县城市管理局</w:t>
            </w:r>
          </w:p>
        </w:tc>
        <w:tc>
          <w:tcPr>
            <w:tcW w:w="2159" w:type="dxa"/>
            <w:shd w:val="clear" w:color="auto" w:fill="auto"/>
            <w:vAlign w:val="center"/>
          </w:tcPr>
          <w:p>
            <w:pPr>
              <w:spacing w:line="300" w:lineRule="exact"/>
              <w:jc w:val="center"/>
              <w:rPr>
                <w:rFonts w:ascii="方正书宋_GBK"/>
              </w:rPr>
            </w:pPr>
            <w:r>
              <w:rPr>
                <w:rFonts w:hint="eastAsia" w:ascii="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副科级</w:t>
            </w:r>
          </w:p>
        </w:tc>
        <w:tc>
          <w:tcPr>
            <w:tcW w:w="2353" w:type="dxa"/>
            <w:shd w:val="clear" w:color="auto" w:fill="auto"/>
            <w:vAlign w:val="center"/>
          </w:tcPr>
          <w:p>
            <w:pPr>
              <w:spacing w:line="300" w:lineRule="exact"/>
              <w:jc w:val="center"/>
              <w:rPr>
                <w:rFonts w:ascii="方正书宋_GBK"/>
              </w:rPr>
            </w:pPr>
            <w:r>
              <w:rPr>
                <w:rFonts w:hint="eastAsia" w:ascii="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无极县住建局2017年预算收入总计3545.2万元。其中，一般公共预算收入3545.2万元、政府性基金收入0万元、财政专户核拨收入0万元，其他来源收入0万元。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2017年预算支出3545.2万元。其中，人员经费支出747.8万元，正常公用经费261.4万元，项目支出2536万元。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pStyle w:val="9"/>
        <w:spacing w:line="360" w:lineRule="auto"/>
        <w:ind w:left="601" w:leftChars="286" w:firstLine="640" w:firstLineChars="200"/>
        <w:rPr>
          <w:rFonts w:ascii="仿宋_GB2312" w:eastAsia="仿宋_GB2312"/>
          <w:sz w:val="32"/>
          <w:szCs w:val="32"/>
        </w:rPr>
      </w:pPr>
      <w:r>
        <w:rPr>
          <w:rFonts w:hint="eastAsia" w:ascii="仿宋_GB2312" w:eastAsia="仿宋_GB2312"/>
          <w:sz w:val="32"/>
          <w:szCs w:val="32"/>
        </w:rPr>
        <w:t>2017年部门预算较2016年减少783.22万元，主要是部分人员经费调入项目和公用经费标准定额调整；项目支出增加1436万元，主要是由于项目调整增加，供暖补贴加入部门预算。</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2017年机关运行经费共计安排261.4万元，主要用于我部门日常办公，办公区水电费、日常维修，办公用房取暖费，办公用房物业管理费等日常运行支出。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2017年本部门安排“三公”经费 18万元。2017年三公经费与上年相比减少 2万元。</w:t>
      </w:r>
    </w:p>
    <w:p>
      <w:pPr>
        <w:autoSpaceDE w:val="0"/>
        <w:autoSpaceDN w:val="0"/>
        <w:adjustRightInd w:val="0"/>
        <w:ind w:firstLine="640" w:firstLineChars="200"/>
        <w:jc w:val="left"/>
        <w:rPr>
          <w:rFonts w:ascii="黑体" w:hAnsi="黑体" w:eastAsia="黑体" w:cs="仿宋_GB2312"/>
          <w:sz w:val="32"/>
          <w:szCs w:val="32"/>
        </w:rPr>
      </w:pPr>
      <w:r>
        <w:rPr>
          <w:rFonts w:hint="eastAsia" w:ascii="仿宋_GB2312" w:hAnsi="仿宋" w:eastAsia="仿宋_GB2312"/>
          <w:sz w:val="32"/>
          <w:szCs w:val="32"/>
        </w:rPr>
        <w:t>其中：公务用车购置0万元，与上年一致；公务用车运行维护费 18万元，与上年相比减少2万元。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2、公务用车购置0万元，公务用车运行维护费18万元，与上年相比减少2万元，主要是压缩经费开支。</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1.总体目标：  进一步健全住房保障体系，稳妥推进住房制度改革，按照国家要求达到城镇住房保障工作目标；加强市政设施管理，提高城市承载能力和宜居度；加强村镇建设，改善农村人居环境，实现城乡统筹发展；规范建筑市场各方主体行为，促进建筑市场健康发展，提高建筑工程质量，减少建筑安全事故，提高行业水平；提高建设科技对住房城乡建设发展的贡献率，充分发挥建筑节能在城镇节能减排中的作用，提高新型墙体材料、新技术和建筑节能产品在新建筑中的应用；加强全县住房城乡建设人才队伍建设，提高人才业务素质，提高行业水平，规范审批行为，推进政务公开，增强服务意识，提高工作效率。负责城镇古树名木和风景名胜资源保护，加强风景名胜区监测管理，编制历史文化名城名镇名村及传统村落规划，加强保护，对核心保护范围内的历史建筑、传统建筑修缮、基础设施改造和环境综合整治。</w:t>
      </w:r>
    </w:p>
    <w:p>
      <w:pPr>
        <w:ind w:firstLine="560"/>
        <w:rPr>
          <w:rFonts w:ascii="仿宋_GB2312" w:hAnsi="方正仿宋_GBK" w:eastAsia="仿宋_GB2312" w:cs="仿宋"/>
          <w:sz w:val="32"/>
          <w:szCs w:val="32"/>
        </w:rPr>
      </w:pPr>
      <w:r>
        <w:rPr>
          <w:rFonts w:hint="eastAsia" w:ascii="仿宋_GB2312" w:hAnsi="方正仿宋_GBK" w:eastAsia="仿宋_GB2312" w:cs="仿宋"/>
          <w:sz w:val="32"/>
          <w:szCs w:val="32"/>
        </w:rPr>
        <w:t>2.实现年度发展规划目标的保障措施</w:t>
      </w:r>
    </w:p>
    <w:p>
      <w:pPr>
        <w:ind w:firstLine="560"/>
        <w:rPr>
          <w:rFonts w:ascii="仿宋_GB2312" w:hAnsi="仿宋_GB2312" w:eastAsia="仿宋_GB2312" w:cs="仿宋_GB2312"/>
          <w:sz w:val="32"/>
          <w:szCs w:val="32"/>
        </w:rPr>
      </w:pPr>
      <w:r>
        <w:rPr>
          <w:rFonts w:hint="eastAsia" w:ascii="仿宋_GB2312" w:eastAsia="仿宋_GB2312"/>
          <w:sz w:val="32"/>
          <w:szCs w:val="32"/>
        </w:rPr>
        <w:t xml:space="preserve"> </w:t>
      </w:r>
      <w:r>
        <w:rPr>
          <w:rFonts w:hint="eastAsia" w:ascii="仿宋_GB2312" w:hAnsi="仿宋_GB2312" w:eastAsia="仿宋_GB2312" w:cs="仿宋_GB2312"/>
          <w:sz w:val="32"/>
          <w:szCs w:val="32"/>
        </w:rPr>
        <w:t xml:space="preserve"> 及时出台措施，建立健全公平公正公开的分配机制和优质高效管理服务机制，使保障性住房及时分配到位；加强村镇建设管理，改善农村人居环境实现城乡的统筹发展；加强传统村落保护的宣传力度；加强城镇古树名木和风景名胜、历史文化名城和街区保护的宣传力度；加强干部队伍建设，激励工作热情，提高整体业务素质和行业管理服务水平。提升机关及行业信息化水平，保障各类业务系统安全稳定运行，加大信息宣传力度，创造良好舆论氛围，提高干部职工文化和身体素质。</w:t>
      </w:r>
    </w:p>
    <w:p>
      <w:pPr>
        <w:ind w:firstLine="645"/>
        <w:rPr>
          <w:rFonts w:ascii="楷体" w:hAnsi="楷体" w:eastAsia="楷体"/>
          <w:sz w:val="32"/>
          <w:szCs w:val="32"/>
        </w:rPr>
      </w:pPr>
      <w:r>
        <w:rPr>
          <w:rFonts w:hint="eastAsia" w:ascii="楷体" w:hAnsi="楷体" w:eastAsia="楷体"/>
          <w:sz w:val="32"/>
          <w:szCs w:val="32"/>
        </w:rPr>
        <w:t>（二）部门职责-工作活动绩效目标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住房保障及公积金管理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住房保障政策并指导实施；承办中央和省级城镇保障性安居工程资金安排有关事项；组织编制住房保障建设发展规划和年度计划并监督实施；指导住房建设和住房制度改革；组织拟订住房公积金政策、规章制度和发展规划并组织实施，指导和监督住房公积金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建立健全多层次城镇住房保障体系，稳妥推进住房制度改革，按照国家要求达到城镇住房保障工作目标，确保住房公积金的有效使用。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保障性安居工程建设管理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制定保障性安居工程建设规划，拟定年度建设目标并监督实施；承担县保障性安居工程领导小组办公室职责；选聘和管理县级督查员；研究拟定保障性安居工程政策并监督实施，对项目分配、管理和运营情况监督指导</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完成城镇保障性安居工程年度建设任务，建立健全公平、公正、公开的分配机制和优质、高效管理服务机制，保障性住房及时分配到位。及时出台政策；妥善处理房改遗留问题，避免产生新的社会矛盾</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新增租赁补贴户数完成率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保障性住房竣工率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保障性住房开工率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城乡建设管理</w:t>
            </w:r>
          </w:p>
          <w:p>
            <w:pPr>
              <w:spacing w:line="300" w:lineRule="exact"/>
              <w:jc w:val="left"/>
              <w:rPr>
                <w:rFonts w:ascii="方正书宋_GBK" w:eastAsia="方正书宋_GBK"/>
                <w:b/>
              </w:rPr>
            </w:pPr>
            <w:r>
              <w:rPr>
                <w:rFonts w:hint="eastAsia" w:ascii="方正书宋_GBK" w:eastAsia="方正书宋_GBK"/>
                <w:b/>
              </w:rPr>
              <w:t>　　市政公用设施建设与管理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796.00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负责市政公用设施建设、安全和应急管理；负责镇、乡村庄规划的编制和实施；负责农村住房建设、住房安全和危房改造；改善小城镇和村庄人居环境。</w:t>
            </w:r>
          </w:p>
          <w:p>
            <w:pPr>
              <w:spacing w:line="300" w:lineRule="exact"/>
              <w:jc w:val="left"/>
              <w:rPr>
                <w:rFonts w:ascii="方正书宋_GBK" w:eastAsia="方正书宋_GBK"/>
              </w:rPr>
            </w:pPr>
            <w:r>
              <w:rPr>
                <w:rFonts w:hint="eastAsia" w:ascii="方正书宋_GBK" w:eastAsia="方正书宋_GBK"/>
              </w:rPr>
              <w:t>负责市政公用事业建设、市政公用设施安全和应急管理；逐步推进供热计量改革，开展燃气行业安全监督检查；开展城市园林水域安全监管、公园和绿地技术评估和动态监测。</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p>
            <w:pPr>
              <w:spacing w:line="300" w:lineRule="exact"/>
              <w:jc w:val="left"/>
              <w:rPr>
                <w:rFonts w:ascii="方正书宋_GBK" w:eastAsia="方正书宋_GBK"/>
              </w:rPr>
            </w:pPr>
            <w:r>
              <w:rPr>
                <w:rFonts w:hint="eastAsia" w:ascii="方正书宋_GBK" w:eastAsia="方正书宋_GBK"/>
              </w:rPr>
              <w:t>市政公用事业建设、市政公用设施安全和应急管理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星级公园、园林式单位、小区创建数量（个）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城市公园绿地、城市植树、城镇古树名木和风景名胜资源保护完成率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市政公用事业基础设施建设及维护工作目标完成率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城市容貌环境综合整治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负责城区市容环境治理、城建监察等各项工作，改善人居环境，大气污染治理。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推进洁净城市创建进程，加强大气污染治理力度。</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市容环境治理完成率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推进城镇化建设</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指导农村住房建设、住房安全和危房改造，推进小城镇村庄人居环境改善，指导国家级重点镇及省级重点镇的建设；做好县城规划、环境质量、居住水平、产业聚集、风貌特色、综合管理、城建投融资等指导工作，全面推进县城建设；协调和指导推进城镇化工作，城市建设投融资体制改革。</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建筑业、房地产市场监管</w:t>
            </w:r>
          </w:p>
          <w:p>
            <w:pPr>
              <w:spacing w:line="300" w:lineRule="exact"/>
              <w:jc w:val="left"/>
              <w:rPr>
                <w:rFonts w:ascii="方正书宋_GBK" w:eastAsia="方正书宋_GBK"/>
                <w:b/>
              </w:rPr>
            </w:pPr>
            <w:r>
              <w:rPr>
                <w:rFonts w:hint="eastAsia" w:ascii="方正书宋_GBK" w:eastAsia="方正书宋_GBK"/>
                <w:b/>
              </w:rPr>
              <w:t>　　全省建筑业管理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90.00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规范建筑市场、工程造价管理及建筑工程招投标管理，落实工程建设、建筑业行业发展政策、规章制度</w:t>
            </w:r>
            <w:r>
              <w:rPr>
                <w:rFonts w:ascii="方正书宋_GBK" w:eastAsia="方正书宋_GBK"/>
              </w:rPr>
              <w:t>;</w:t>
            </w:r>
            <w:r>
              <w:rPr>
                <w:rFonts w:hint="eastAsia" w:ascii="方正书宋_GBK" w:eastAsia="方正书宋_GBK"/>
              </w:rPr>
              <w:t>落实房地产市场监管、房地产开发、房屋租赁、房屋面积管理、房地产估价与经纪管理、物业管理的规章制度。</w:t>
            </w:r>
          </w:p>
          <w:p>
            <w:pPr>
              <w:spacing w:line="300" w:lineRule="exact"/>
              <w:jc w:val="left"/>
              <w:rPr>
                <w:rFonts w:ascii="方正书宋_GBK" w:eastAsia="方正书宋_GBK"/>
              </w:rPr>
            </w:pPr>
            <w:r>
              <w:rPr>
                <w:rFonts w:hint="eastAsia" w:ascii="方正书宋_GBK" w:eastAsia="方正书宋_GBK"/>
              </w:rPr>
              <w:t>拟定全省工程建设、建筑业发展政策、规章制度并监督执行，规范建筑市场各方主体行为。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规范建筑市场各方主体行为，促进建筑市场健康发展。提高建筑工程质量，减少建筑安全生产事故，提高行业水平。加强市场监测，促进全县房地产市场持续健康发展。</w:t>
            </w:r>
          </w:p>
          <w:p>
            <w:pPr>
              <w:spacing w:line="300" w:lineRule="exact"/>
              <w:jc w:val="left"/>
              <w:rPr>
                <w:rFonts w:ascii="方正书宋_GBK" w:eastAsia="方正书宋_GBK"/>
              </w:rPr>
            </w:pPr>
            <w:r>
              <w:rPr>
                <w:rFonts w:hint="eastAsia" w:ascii="方正书宋_GBK" w:eastAsia="方正书宋_GBK"/>
              </w:rPr>
              <w:t>规范建筑市场各方主体行为，促进建筑市场健康发展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农民工工资保证金增长率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执行农民工工资保证金落实程度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房地产市场监管</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90.00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规范房地产市场秩序、监督管理房地产市场。落实房地产市场监管、房地产开发、房屋租赁、房屋面积管理、房地产估价与经纪管理、物业管理、房屋征收的规章制度。</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加强市场监测，促进全县房地产市场持续健康发展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房地产市场统计分析工作完成及时率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工程质量投诉结案率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建筑工程质量安全监管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落实工程建设地方标准、工程质量、建筑安全生产的政策和规章制度，组织编制城乡建设防灾减灾规划，组织或参与工程重大质量、安全事故的调查处理，减少建筑安全生产事故，提高行业水平。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加强工程勘察设计行业管理，提高建筑工程勘察设计质量水平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建筑工程施工现场达标率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推进建筑节能</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加强城镇新建建筑节能监管；开展既有建筑节能改造；推动绿色建筑发展；推进可再生能源建筑应用；开展建筑节能和绿色建筑示范建设；加强新型墙体材料、新技术和新建筑节能产品的推广应用。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提高建设科技对住房城乡建设发展的贡献率，充分发挥建筑节能在城镇节能减排中的作用；提高新型墙体材料、新技术和新建筑节能产品在新建建筑中应用。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建筑应用可再生能源面积比例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推进建筑节能</w:t>
            </w:r>
          </w:p>
          <w:p>
            <w:pPr>
              <w:spacing w:line="300" w:lineRule="exact"/>
              <w:jc w:val="left"/>
              <w:rPr>
                <w:rFonts w:ascii="方正书宋_GBK" w:eastAsia="方正书宋_GBK"/>
                <w:b/>
              </w:rPr>
            </w:pPr>
            <w:r>
              <w:rPr>
                <w:rFonts w:hint="eastAsia" w:ascii="方正书宋_GBK" w:eastAsia="方正书宋_GBK"/>
                <w:b/>
              </w:rPr>
              <w:t>　　建筑节能材料管理</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引导推进建筑节能和绿色建筑，组织实施各项建筑节能、绿色建筑、新技术、新体系应用示范项目。推动绿色建筑及住宅产业化，引导建造方式转变，提升住宅性能和品质。</w:t>
            </w:r>
          </w:p>
          <w:p>
            <w:pPr>
              <w:spacing w:line="300" w:lineRule="exact"/>
              <w:jc w:val="left"/>
              <w:rPr>
                <w:rFonts w:ascii="方正书宋_GBK" w:eastAsia="方正书宋_GBK"/>
              </w:rPr>
            </w:pPr>
            <w:r>
              <w:rPr>
                <w:rFonts w:hint="eastAsia" w:ascii="方正书宋_GBK" w:eastAsia="方正书宋_GBK"/>
              </w:rPr>
              <w:t>组织建筑节能材料产品推广应用，定期发布建设机械材料设备淘汰、限制使用和推广应用产品目录，定期开展建材市场秩序专项整治。开展绿色建材星级评价工作。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提高既有居住建筑的保温性能。经改造的公共建筑达到节能标准。积累新技术新体系应用经验</w:t>
            </w:r>
          </w:p>
          <w:p>
            <w:pPr>
              <w:spacing w:line="300" w:lineRule="exact"/>
              <w:jc w:val="left"/>
              <w:rPr>
                <w:rFonts w:ascii="方正书宋_GBK" w:eastAsia="方正书宋_GBK"/>
              </w:rPr>
            </w:pPr>
            <w:r>
              <w:rPr>
                <w:rFonts w:hint="eastAsia" w:ascii="方正书宋_GBK" w:eastAsia="方正书宋_GBK"/>
              </w:rPr>
              <w:t>建材市场秩序规范，绿色建材得到广泛应用，低效耗能建设机械及时淘汰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既有居住建筑供热计量及节能改造任务完成面积（平方米）</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节能环保建筑产品推广应用项目个数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抽检在建工程数量（个）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住建政务管理</w:t>
            </w:r>
          </w:p>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1640.00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负责住建系统综合业务管理和机关综合事务管理。</w:t>
            </w:r>
          </w:p>
          <w:p>
            <w:pPr>
              <w:spacing w:line="300" w:lineRule="exact"/>
              <w:jc w:val="left"/>
              <w:rPr>
                <w:rFonts w:ascii="方正书宋_GBK" w:eastAsia="方正书宋_GBK"/>
              </w:rPr>
            </w:pPr>
            <w:r>
              <w:rPr>
                <w:rFonts w:hint="eastAsia" w:ascii="方正书宋_GBK" w:eastAsia="方正书宋_GBK"/>
              </w:rPr>
              <w:t>组织编制住房和城乡建设的行业发展规划，拟定相关法规规章草案政策和行业技术标准，推进全系统依法行政，加强行政许可管理，开展建设行业对外合作交流；拟订适合县情的住房政策，指导住房建设和住房制度改革；组织编制科技发展规划，推进建设科技发展。</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p>
          <w:p>
            <w:pPr>
              <w:spacing w:line="300" w:lineRule="exact"/>
              <w:jc w:val="left"/>
              <w:rPr>
                <w:rFonts w:ascii="方正书宋_GBK" w:eastAsia="方正书宋_GBK"/>
              </w:rPr>
            </w:pPr>
            <w:r>
              <w:rPr>
                <w:rFonts w:hint="eastAsia" w:ascii="方正书宋_GBK" w:eastAsia="方正书宋_GBK"/>
              </w:rPr>
              <w:t>加强干部队伍建设，激励工作热情，提高整体业务素质和行业管理服务水平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行政应诉率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1640.00</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推进住房和城乡建设行业信息化建设、建设系统综合管理等综合事务工作，保证行政工作高效有序运行。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提升机关及行业信息化水平，保障各类业务系统安全稳定运行；加大信息宣传力度，创造良好舆论氛围。组织文娱活动，提高干部职工文化和身体素质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hint="eastAsia" w:ascii="仿宋_GB2312" w:eastAsia="仿宋_GB2312"/>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无极县住建局上年末固定资产金额为 987.6万元（详见下表）。本年度拟购置固定资产金额为0万元。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无极县住建局固定资产占用情况表</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firstLineChars="200"/>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480" w:firstLineChars="200"/>
              <w:jc w:val="left"/>
              <w:rPr>
                <w:rFonts w:ascii="仿宋_GB2312" w:eastAsia="仿宋_GB2312" w:cs="仿宋_GB2312"/>
                <w:bCs/>
                <w:sz w:val="24"/>
                <w:szCs w:val="32"/>
              </w:rPr>
            </w:pPr>
            <w:r>
              <w:rPr>
                <w:rFonts w:hint="eastAsia" w:ascii="仿宋_GB2312" w:hAnsi="宋体" w:eastAsia="仿宋_GB2312" w:cs="宋体"/>
                <w:kern w:val="0"/>
                <w:sz w:val="24"/>
                <w:szCs w:val="32"/>
              </w:rPr>
              <w:t>编制部门：</w:t>
            </w:r>
            <w:r>
              <w:rPr>
                <w:rFonts w:hint="eastAsia" w:ascii="仿宋_GB2312" w:eastAsia="仿宋_GB2312" w:cs="仿宋_GB2312"/>
                <w:bCs/>
                <w:sz w:val="24"/>
                <w:szCs w:val="32"/>
              </w:rPr>
              <w:t>无极县住建局</w:t>
            </w:r>
          </w:p>
        </w:tc>
        <w:tc>
          <w:tcPr>
            <w:tcW w:w="5103" w:type="dxa"/>
            <w:tcBorders>
              <w:top w:val="nil"/>
              <w:left w:val="nil"/>
              <w:bottom w:val="nil"/>
              <w:right w:val="nil"/>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资产总额</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987.6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12,422.13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342.9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12,422.13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342.9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2、车辆（台、辆）</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29</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395.1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249.5</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仿宋"/>
    <w:panose1 w:val="00000000000000000000"/>
    <w:charset w:val="86"/>
    <w:family w:val="roman"/>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E9797D"/>
    <w:multiLevelType w:val="multilevel"/>
    <w:tmpl w:val="38E9797D"/>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61A2"/>
    <w:rsid w:val="000B3C55"/>
    <w:rsid w:val="00187BA2"/>
    <w:rsid w:val="00197AD1"/>
    <w:rsid w:val="00235D6E"/>
    <w:rsid w:val="00284CD4"/>
    <w:rsid w:val="002B614A"/>
    <w:rsid w:val="00345A4D"/>
    <w:rsid w:val="003576F4"/>
    <w:rsid w:val="0063034A"/>
    <w:rsid w:val="00664920"/>
    <w:rsid w:val="006A2358"/>
    <w:rsid w:val="007E3295"/>
    <w:rsid w:val="00832657"/>
    <w:rsid w:val="00894905"/>
    <w:rsid w:val="0098281E"/>
    <w:rsid w:val="00A23A45"/>
    <w:rsid w:val="00A91147"/>
    <w:rsid w:val="00AC22AE"/>
    <w:rsid w:val="00AE4524"/>
    <w:rsid w:val="00C03BC5"/>
    <w:rsid w:val="00C42BCB"/>
    <w:rsid w:val="00C50826"/>
    <w:rsid w:val="00CC658C"/>
    <w:rsid w:val="00D0515F"/>
    <w:rsid w:val="00D408F7"/>
    <w:rsid w:val="00D77FCE"/>
    <w:rsid w:val="00F71149"/>
    <w:rsid w:val="64DC5E4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p0"/>
    <w:basedOn w:val="1"/>
    <w:uiPriority w:val="0"/>
    <w:pPr>
      <w:widowControl/>
    </w:pPr>
    <w:rPr>
      <w:rFonts w:ascii="Calibri" w:hAnsi="Calibri" w:cs="宋体"/>
      <w:kern w:val="0"/>
      <w:szCs w:val="21"/>
    </w:rPr>
  </w:style>
  <w:style w:type="paragraph" w:customStyle="1" w:styleId="10">
    <w:name w:val="[Normal]"/>
    <w:uiPriority w:val="0"/>
    <w:rPr>
      <w:rFonts w:ascii="宋体" w:hAnsi="Times New Roman" w:eastAsia="宋体" w:cs="Times New Roman"/>
      <w:kern w:val="0"/>
      <w:sz w:val="24"/>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902</Words>
  <Characters>5145</Characters>
  <Lines>42</Lines>
  <Paragraphs>12</Paragraphs>
  <TotalTime>59</TotalTime>
  <ScaleCrop>false</ScaleCrop>
  <LinksUpToDate>false</LinksUpToDate>
  <CharactersWithSpaces>6035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2024-01-16T01:52:04Z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