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20" w:name="_GoBack"/>
      <w:bookmarkEnd w:id="20"/>
      <w:r>
        <w:rPr>
          <w:rFonts w:hint="eastAsia" w:ascii="方正小标宋_GBK" w:hAnsi="Times New Roman" w:eastAsia="方正小标宋_GBK" w:cs="Times New Roman"/>
          <w:bCs/>
          <w:sz w:val="44"/>
          <w:szCs w:val="44"/>
          <w:lang w:eastAsia="zh-CN"/>
        </w:rPr>
        <w:t>无极县水利局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28"/>
          <w:szCs w:val="28"/>
        </w:rPr>
        <w:t>按照</w:t>
      </w:r>
      <w:r>
        <w:rPr>
          <w:rFonts w:hint="eastAsia" w:ascii="Times New Roman" w:hAnsi="Times New Roman" w:eastAsia="仿宋" w:cs="Times New Roman"/>
          <w:sz w:val="28"/>
          <w:szCs w:val="28"/>
          <w:lang w:eastAsia="zh-CN"/>
        </w:rPr>
        <w:t>《中华人民共和国预算法》</w:t>
      </w:r>
      <w:r>
        <w:rPr>
          <w:rFonts w:hint="eastAsia" w:ascii="Times New Roman" w:hAnsi="Times New Roman" w:eastAsia="仿宋" w:cs="Times New Roman"/>
          <w:sz w:val="28"/>
          <w:szCs w:val="28"/>
        </w:rPr>
        <w:t>、《地方预决算公开操作规程》和《河北省省级预算公开办法》规定，现将</w:t>
      </w:r>
      <w:r>
        <w:rPr>
          <w:rFonts w:hint="eastAsia" w:ascii="Times New Roman" w:hAnsi="Times New Roman" w:eastAsia="仿宋" w:cs="Times New Roman"/>
          <w:sz w:val="28"/>
          <w:szCs w:val="28"/>
          <w:lang w:eastAsia="zh-CN"/>
        </w:rPr>
        <w:t>无极县水利局</w:t>
      </w:r>
      <w:r>
        <w:rPr>
          <w:rFonts w:hint="eastAsia" w:ascii="Times New Roman" w:hAnsi="Times New Roman" w:eastAsia="仿宋" w:cs="Times New Roman"/>
          <w:sz w:val="28"/>
          <w:szCs w:val="28"/>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hint="eastAsia" w:hAnsi="宋体"/>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eastAsia="方正仿宋_GBK"/>
          <w:sz w:val="28"/>
        </w:rPr>
        <w:t>根据《水利局职能配置、内设机构和人员编制规定》， 水利局的主要职责是：</w:t>
      </w:r>
    </w:p>
    <w:p>
      <w:pPr>
        <w:spacing w:line="500" w:lineRule="exact"/>
        <w:ind w:firstLine="560" w:firstLineChars="200"/>
        <w:jc w:val="left"/>
        <w:rPr>
          <w:rFonts w:eastAsia="方正仿宋_GBK"/>
          <w:sz w:val="28"/>
        </w:rPr>
      </w:pPr>
      <w:r>
        <w:rPr>
          <w:rFonts w:eastAsia="方正仿宋_GBK"/>
          <w:sz w:val="28"/>
        </w:rPr>
        <w:t>1、负责保障水资源合理开发利用，贯彻落实上级水利政策，贯彻落实有关法规、政府规章，组织编制全县水资源战略规划、重要河流、防洪规划等水利规划。</w:t>
      </w:r>
    </w:p>
    <w:p>
      <w:pPr>
        <w:spacing w:line="500" w:lineRule="exact"/>
        <w:ind w:firstLine="560" w:firstLineChars="200"/>
        <w:jc w:val="left"/>
        <w:rPr>
          <w:rFonts w:eastAsia="方正仿宋_GBK"/>
          <w:sz w:val="28"/>
        </w:rPr>
      </w:pPr>
      <w:r>
        <w:rPr>
          <w:rFonts w:eastAsia="方正仿宋_GBK"/>
          <w:sz w:val="28"/>
        </w:rPr>
        <w:t>2、负责生活、生产经营和生态环境用水的统筹和保障。组织实施最严格水资源管理制度，实施水资源的统一监督管理，拟定全县水中长期供求规划、水量分配方案并实施。负责重要河流、区域以及重大调水工程的水资源调度。负责开展水资源有偿使用工作。指导水利行业和乡镇供水工作。</w:t>
      </w:r>
    </w:p>
    <w:p>
      <w:pPr>
        <w:spacing w:line="500" w:lineRule="exact"/>
        <w:ind w:firstLine="560" w:firstLineChars="200"/>
        <w:jc w:val="left"/>
        <w:rPr>
          <w:rFonts w:eastAsia="方正仿宋_GBK"/>
          <w:sz w:val="28"/>
        </w:rPr>
      </w:pPr>
      <w:r>
        <w:rPr>
          <w:rFonts w:eastAsia="方正仿宋_GBK"/>
          <w:sz w:val="28"/>
        </w:rPr>
        <w:t>3、按规定制定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spacing w:line="500" w:lineRule="exact"/>
        <w:ind w:firstLine="560" w:firstLineChars="200"/>
        <w:jc w:val="left"/>
        <w:rPr>
          <w:rFonts w:eastAsia="方正仿宋_GBK"/>
          <w:sz w:val="28"/>
        </w:rPr>
      </w:pPr>
      <w:r>
        <w:rPr>
          <w:rFonts w:eastAsia="方正仿宋_GBK"/>
          <w:sz w:val="28"/>
        </w:rPr>
        <w:t>4、负责水资源保护工作。组织编制并实施水资源保护规划。按规定开展饮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spacing w:line="500" w:lineRule="exact"/>
        <w:ind w:firstLine="560" w:firstLineChars="200"/>
        <w:jc w:val="left"/>
        <w:rPr>
          <w:rFonts w:eastAsia="方正仿宋_GBK"/>
          <w:sz w:val="28"/>
        </w:rPr>
      </w:pPr>
      <w:r>
        <w:rPr>
          <w:rFonts w:eastAsia="方正仿宋_GBK"/>
          <w:sz w:val="28"/>
        </w:rPr>
        <w:t>5、负责节约用水工作。贯彻落实节约用水政策，组织编制节约用水规划并监督实施。组织实施用水总量控制等管理制度，指导和推动节水型社会建设工作。</w:t>
      </w:r>
    </w:p>
    <w:p>
      <w:pPr>
        <w:spacing w:line="500" w:lineRule="exact"/>
        <w:ind w:firstLine="560" w:firstLineChars="200"/>
        <w:jc w:val="left"/>
        <w:rPr>
          <w:rFonts w:eastAsia="方正仿宋_GBK"/>
          <w:sz w:val="28"/>
        </w:rPr>
      </w:pPr>
      <w:r>
        <w:rPr>
          <w:rFonts w:eastAsia="方正仿宋_GBK"/>
          <w:sz w:val="28"/>
        </w:rPr>
        <w:t>6、负责水利设施、水域及其岸线的管理、保护与综合利用。负责水利基础设施网络建设。负责主要河流的治理、开发和保护。负责河道生态保护与修复及河湖水系连通工作。</w:t>
      </w:r>
    </w:p>
    <w:p>
      <w:pPr>
        <w:spacing w:line="500" w:lineRule="exact"/>
        <w:ind w:firstLine="560" w:firstLineChars="200"/>
        <w:jc w:val="left"/>
        <w:rPr>
          <w:rFonts w:eastAsia="方正仿宋_GBK"/>
          <w:sz w:val="28"/>
        </w:rPr>
      </w:pPr>
      <w:r>
        <w:rPr>
          <w:rFonts w:eastAsia="方正仿宋_GBK"/>
          <w:sz w:val="28"/>
        </w:rPr>
        <w:t>7、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spacing w:line="500" w:lineRule="exact"/>
        <w:ind w:firstLine="560" w:firstLineChars="200"/>
        <w:jc w:val="left"/>
        <w:rPr>
          <w:rFonts w:eastAsia="方正仿宋_GBK"/>
          <w:sz w:val="28"/>
        </w:rPr>
      </w:pPr>
      <w:r>
        <w:rPr>
          <w:rFonts w:eastAsia="方正仿宋_GBK"/>
          <w:sz w:val="28"/>
        </w:rPr>
        <w:t>8、负责水土保持工作。拟定水土保持规划并负责实施，组织实施水土流失的综合防治、监测预报。负责建设项目水土保持监督管理工作，组织重点水土保持建设项目的实施。</w:t>
      </w:r>
    </w:p>
    <w:p>
      <w:pPr>
        <w:spacing w:line="500" w:lineRule="exact"/>
        <w:ind w:firstLine="560" w:firstLineChars="200"/>
        <w:jc w:val="left"/>
        <w:rPr>
          <w:rFonts w:eastAsia="方正仿宋_GBK"/>
          <w:sz w:val="28"/>
        </w:rPr>
      </w:pPr>
      <w:r>
        <w:rPr>
          <w:rFonts w:eastAsia="方正仿宋_GBK"/>
          <w:sz w:val="28"/>
        </w:rPr>
        <w:t>9、指导农村水利工作。指导农村饮水安全工程建设管理工作，指导节水灌溉有关工作。指导农村水利改革创新和社会化服务建设体系建设。</w:t>
      </w:r>
    </w:p>
    <w:p>
      <w:pPr>
        <w:spacing w:line="500" w:lineRule="exact"/>
        <w:ind w:firstLine="560" w:firstLineChars="200"/>
        <w:jc w:val="left"/>
        <w:rPr>
          <w:rFonts w:eastAsia="方正仿宋_GBK"/>
          <w:sz w:val="28"/>
        </w:rPr>
      </w:pPr>
      <w:r>
        <w:rPr>
          <w:rFonts w:eastAsia="方正仿宋_GBK"/>
          <w:sz w:val="28"/>
        </w:rPr>
        <w:t>10、负责涉水违法事件的查处，协调水事纠纷，开展水政监察和水行政执法。依法负责水利行业安全生产工作。负责水利建设市场的监督管理，组织实施水利工程建设的监督。</w:t>
      </w:r>
    </w:p>
    <w:p>
      <w:pPr>
        <w:spacing w:line="500" w:lineRule="exact"/>
        <w:ind w:firstLine="560" w:firstLineChars="200"/>
        <w:jc w:val="left"/>
        <w:rPr>
          <w:rFonts w:eastAsia="方正仿宋_GBK"/>
          <w:sz w:val="28"/>
        </w:rPr>
      </w:pPr>
      <w:r>
        <w:rPr>
          <w:rFonts w:eastAsia="方正仿宋_GBK"/>
          <w:sz w:val="28"/>
        </w:rPr>
        <w:t>11、组织开展水利行业质量监督工作。监督实施水利行业的技术标准、规程规范。组织实施技术引进和科技推广，开展水利交流与合作。</w:t>
      </w:r>
    </w:p>
    <w:p>
      <w:pPr>
        <w:spacing w:line="500" w:lineRule="exact"/>
        <w:ind w:firstLine="560" w:firstLineChars="200"/>
        <w:jc w:val="left"/>
        <w:rPr>
          <w:rFonts w:eastAsia="方正仿宋_GBK"/>
          <w:sz w:val="28"/>
        </w:rPr>
      </w:pPr>
      <w:r>
        <w:rPr>
          <w:rFonts w:eastAsia="方正仿宋_GBK"/>
          <w:sz w:val="28"/>
        </w:rPr>
        <w:t>12、负责落实综合防灾减灾规划相关要求，组织编制洪水干旱灾害防治体系。承担水情旱情监测预警工作。组织编制重要河道和重要工程的防御洪水抗御旱灾调度及应急水量调度方案，按程序报批并组织实施。承担防御洪水应急抢险的技术支撑。</w:t>
      </w:r>
    </w:p>
    <w:p>
      <w:pPr>
        <w:ind w:firstLine="640"/>
        <w:rPr>
          <w:rFonts w:ascii="Times New Roman" w:hAnsi="Times New Roman" w:eastAsia="仿宋" w:cs="Times New Roman"/>
          <w:sz w:val="32"/>
          <w:szCs w:val="32"/>
        </w:rPr>
      </w:pPr>
      <w:r>
        <w:rPr>
          <w:rFonts w:eastAsia="方正仿宋_GBK"/>
          <w:sz w:val="28"/>
        </w:rPr>
        <w:t>13、完成县委、县政府交办的其他事项。</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无极县水利局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eastAsia="zh-CN"/>
              </w:rPr>
              <w:t>其他</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eastAsia="zh-CN"/>
        </w:rPr>
        <w:t>在</w:t>
      </w:r>
      <w:r>
        <w:rPr>
          <w:rFonts w:ascii="Times New Roman" w:hAnsi="Times New Roman" w:eastAsia="仿宋" w:cs="Times New Roman"/>
          <w:sz w:val="32"/>
          <w:szCs w:val="32"/>
        </w:rPr>
        <w:t>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4153.15</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4152.37</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0.78</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rPr>
        <w:t>无极县水利局</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4153.15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1298.64</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1218.04</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80.6</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2854.51</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地下水超采</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36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水利发展资金</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2721.53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水库移民</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0.78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中小河流治理项目</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96.2</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hint="eastAsia" w:ascii="仿宋_GB2312" w:hAnsi="仿宋_GB2312" w:eastAsia="仿宋_GB2312" w:cs="仿宋_GB2312"/>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4153.15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2224.35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961.82</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增加了自收自支</w:t>
      </w:r>
      <w:r>
        <w:rPr>
          <w:rFonts w:hint="eastAsia" w:ascii="Times New Roman" w:hAnsi="Times New Roman" w:eastAsia="仿宋" w:cs="Times New Roman"/>
          <w:sz w:val="32"/>
          <w:szCs w:val="32"/>
        </w:rPr>
        <w:t>人员</w:t>
      </w:r>
      <w:r>
        <w:rPr>
          <w:rFonts w:hint="eastAsia" w:ascii="Times New Roman" w:hAnsi="Times New Roman" w:eastAsia="仿宋" w:cs="Times New Roman"/>
          <w:sz w:val="32"/>
          <w:szCs w:val="32"/>
          <w:lang w:eastAsia="zh-CN"/>
        </w:rPr>
        <w:t>的预算安排</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1262.53</w:t>
      </w:r>
      <w:r>
        <w:rPr>
          <w:rFonts w:hint="eastAsia" w:ascii="Times New Roman" w:hAnsi="Times New Roman" w:eastAsia="仿宋" w:cs="Times New Roman"/>
          <w:sz w:val="32"/>
          <w:szCs w:val="32"/>
        </w:rPr>
        <w:t>万元，主要是增加地下水</w:t>
      </w:r>
      <w:r>
        <w:rPr>
          <w:rFonts w:hint="eastAsia" w:ascii="仿宋_GB2312" w:hAnsi="仿宋_GB2312" w:eastAsia="仿宋_GB2312" w:cs="仿宋_GB2312"/>
          <w:sz w:val="32"/>
          <w:szCs w:val="32"/>
        </w:rPr>
        <w:t>超采综合治理资金、村级河长巡河护河补助</w:t>
      </w:r>
      <w:r>
        <w:rPr>
          <w:rFonts w:hint="eastAsia" w:ascii="仿宋_GB2312" w:hAnsi="仿宋_GB2312" w:eastAsia="仿宋_GB2312" w:cs="仿宋_GB2312"/>
          <w:sz w:val="32"/>
          <w:szCs w:val="32"/>
          <w:lang w:eastAsia="zh-CN"/>
        </w:rPr>
        <w:t>资金</w:t>
      </w:r>
      <w:r>
        <w:rPr>
          <w:rFonts w:hint="eastAsia" w:ascii="仿宋_GB2312" w:hAnsi="仿宋_GB2312" w:eastAsia="仿宋_GB2312" w:cs="仿宋_GB2312"/>
          <w:sz w:val="32"/>
          <w:szCs w:val="32"/>
        </w:rPr>
        <w:t>、</w:t>
      </w:r>
      <w:r>
        <w:rPr>
          <w:rFonts w:hint="eastAsia" w:ascii="仿宋_GB2312" w:hAnsi="仿宋_GB2312" w:eastAsia="仿宋_GB2312" w:cs="仿宋_GB2312"/>
          <w:b w:val="0"/>
          <w:bCs/>
          <w:sz w:val="32"/>
          <w:szCs w:val="32"/>
        </w:rPr>
        <w:t>堤顶路建设工程</w:t>
      </w:r>
      <w:r>
        <w:rPr>
          <w:rFonts w:hint="eastAsia" w:ascii="仿宋_GB2312" w:hAnsi="仿宋_GB2312" w:eastAsia="仿宋_GB2312" w:cs="仿宋_GB2312"/>
          <w:sz w:val="32"/>
          <w:szCs w:val="32"/>
        </w:rPr>
        <w:t>资金</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80.6</w:t>
      </w:r>
      <w:r>
        <w:rPr>
          <w:rFonts w:hint="eastAsia" w:ascii="Times New Roman" w:hAnsi="Times New Roman" w:eastAsia="仿宋" w:cs="Times New Roman"/>
          <w:sz w:val="32"/>
          <w:szCs w:val="32"/>
        </w:rPr>
        <w:t>万元，主要用于保证机关正常运转的办公及印刷费、邮电费、差旅费、</w:t>
      </w:r>
      <w:r>
        <w:rPr>
          <w:rFonts w:hint="eastAsia" w:ascii="Times New Roman" w:hAnsi="Times New Roman" w:eastAsia="仿宋" w:cs="Times New Roman"/>
          <w:sz w:val="32"/>
          <w:szCs w:val="32"/>
          <w:lang w:eastAsia="zh-CN"/>
        </w:rPr>
        <w:t>工会经</w:t>
      </w:r>
      <w:r>
        <w:rPr>
          <w:rFonts w:hint="eastAsia" w:ascii="Times New Roman" w:hAnsi="Times New Roman" w:eastAsia="仿宋" w:cs="Times New Roman"/>
          <w:sz w:val="32"/>
          <w:szCs w:val="32"/>
        </w:rPr>
        <w:t>费、专用材料及</w:t>
      </w:r>
      <w:r>
        <w:rPr>
          <w:rFonts w:hint="eastAsia" w:ascii="Times New Roman" w:hAnsi="Times New Roman" w:eastAsia="仿宋" w:cs="Times New Roman"/>
          <w:sz w:val="32"/>
          <w:szCs w:val="32"/>
          <w:lang w:eastAsia="zh-CN"/>
        </w:rPr>
        <w:t>其他交通</w:t>
      </w:r>
      <w:r>
        <w:rPr>
          <w:rFonts w:hint="eastAsia" w:ascii="Times New Roman" w:hAnsi="Times New Roman" w:eastAsia="仿宋" w:cs="Times New Roman"/>
          <w:sz w:val="32"/>
          <w:szCs w:val="32"/>
        </w:rPr>
        <w:t>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2020年，我部门财政拨款“三公”经费预算安排3万元，其中：因公出国（境）费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eastAsia="方正仿宋_GBK"/>
          <w:sz w:val="28"/>
        </w:rPr>
      </w:pPr>
      <w:r>
        <w:rPr>
          <w:rFonts w:eastAsia="方正仿宋_GBK"/>
          <w:sz w:val="28"/>
        </w:rPr>
        <w:t>根据上级部门重要工作部署，部门战略发展规划，年度工作计划与工作重点等，确定本部门总体绩效目标认真贯彻落实上级水利政策，拟定水利战略规划、全市水中长期供求规划、水资源保护、防洪等规划，起草有关政府规章草案，组织实施各项规划负责城市供水及农村水利工作，做好重大涉水违法事件的查处，落实综合防灾减灾规划相关要求，组织编制洪水干旱灾害防洪规划，承担防御洪水应急抢险的技术支撑工作。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落实南水北调配套工程运行和后续工程建设的有关政策措施。</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eastAsia="方正仿宋_GBK"/>
          <w:sz w:val="28"/>
        </w:rPr>
      </w:pPr>
      <w:r>
        <w:rPr>
          <w:rFonts w:eastAsia="方正仿宋_GBK"/>
          <w:sz w:val="28"/>
        </w:rPr>
        <w:t>（一）负责水库工程移民管理工作</w:t>
      </w:r>
    </w:p>
    <w:p>
      <w:pPr>
        <w:spacing w:line="500" w:lineRule="exact"/>
        <w:ind w:firstLine="560" w:firstLineChars="200"/>
        <w:jc w:val="left"/>
        <w:rPr>
          <w:rFonts w:eastAsia="方正仿宋_GBK"/>
          <w:sz w:val="28"/>
        </w:rPr>
      </w:pPr>
      <w:r>
        <w:rPr>
          <w:rFonts w:eastAsia="方正仿宋_GBK"/>
          <w:sz w:val="28"/>
        </w:rPr>
        <w:t>绩效目标：落实移民政策，做好移民后期扶持。</w:t>
      </w:r>
    </w:p>
    <w:p>
      <w:pPr>
        <w:spacing w:line="500" w:lineRule="exact"/>
        <w:ind w:firstLine="560" w:firstLineChars="200"/>
        <w:jc w:val="left"/>
        <w:rPr>
          <w:rFonts w:eastAsia="方正仿宋_GBK"/>
          <w:sz w:val="28"/>
        </w:rPr>
      </w:pPr>
      <w:r>
        <w:rPr>
          <w:rFonts w:eastAsia="方正仿宋_GBK"/>
          <w:sz w:val="28"/>
        </w:rPr>
        <w:t>绩效指标：移民生产生活条件改善情况，移民政策落实率100%。</w:t>
      </w:r>
    </w:p>
    <w:p>
      <w:pPr>
        <w:spacing w:line="500" w:lineRule="exact"/>
        <w:ind w:firstLine="560" w:firstLineChars="200"/>
        <w:jc w:val="left"/>
        <w:rPr>
          <w:rFonts w:eastAsia="方正仿宋_GBK"/>
          <w:sz w:val="28"/>
        </w:rPr>
      </w:pPr>
      <w:r>
        <w:rPr>
          <w:rFonts w:eastAsia="方正仿宋_GBK"/>
          <w:sz w:val="28"/>
        </w:rPr>
        <w:t>（二）地下水超采综合治理</w:t>
      </w:r>
    </w:p>
    <w:p>
      <w:pPr>
        <w:spacing w:line="500" w:lineRule="exact"/>
        <w:ind w:firstLine="560" w:firstLineChars="200"/>
        <w:jc w:val="left"/>
        <w:rPr>
          <w:rFonts w:eastAsia="方正仿宋_GBK"/>
          <w:sz w:val="28"/>
        </w:rPr>
      </w:pPr>
      <w:r>
        <w:rPr>
          <w:rFonts w:eastAsia="方正仿宋_GBK"/>
          <w:sz w:val="28"/>
        </w:rPr>
        <w:t>绩效目标：全部完成4个水厂的水源置换，摸排自备井情况，做好自备井封停工作；通过实施非农取水在线计量项目，加强节水意识，节约水资源，为征收水资源税提供技术支撑，避免税费流失。</w:t>
      </w:r>
    </w:p>
    <w:p>
      <w:pPr>
        <w:spacing w:line="500" w:lineRule="exact"/>
        <w:ind w:firstLine="560" w:firstLineChars="200"/>
        <w:jc w:val="left"/>
        <w:rPr>
          <w:rFonts w:eastAsia="方正仿宋_GBK"/>
          <w:sz w:val="28"/>
        </w:rPr>
      </w:pPr>
      <w:r>
        <w:rPr>
          <w:rFonts w:eastAsia="方正仿宋_GBK"/>
          <w:sz w:val="28"/>
        </w:rPr>
        <w:t>绩效指标：计量数据传输到水资源税平台的上传率≥100%，数据准确率≥100%，铺设管道23千米，自备井封停数量12个。</w:t>
      </w:r>
    </w:p>
    <w:p>
      <w:pPr>
        <w:spacing w:line="500" w:lineRule="exact"/>
        <w:ind w:firstLine="560" w:firstLineChars="200"/>
        <w:jc w:val="left"/>
        <w:rPr>
          <w:rFonts w:eastAsia="方正仿宋_GBK"/>
          <w:sz w:val="28"/>
        </w:rPr>
      </w:pPr>
      <w:r>
        <w:rPr>
          <w:rFonts w:eastAsia="方正仿宋_GBK"/>
          <w:sz w:val="28"/>
        </w:rPr>
        <w:t>（三）农村基层防汛预报预警体系</w:t>
      </w:r>
    </w:p>
    <w:p>
      <w:pPr>
        <w:spacing w:line="500" w:lineRule="exact"/>
        <w:ind w:firstLine="560" w:firstLineChars="200"/>
        <w:jc w:val="left"/>
        <w:rPr>
          <w:rFonts w:eastAsia="方正仿宋_GBK"/>
          <w:sz w:val="28"/>
        </w:rPr>
      </w:pPr>
      <w:r>
        <w:rPr>
          <w:rFonts w:eastAsia="方正仿宋_GBK"/>
          <w:sz w:val="28"/>
        </w:rPr>
        <w:t>绩效目标：农村基层防汛预报预警体系正常运行，确保汛期信息畅通，保证安全度汛。</w:t>
      </w:r>
    </w:p>
    <w:p>
      <w:pPr>
        <w:spacing w:line="500" w:lineRule="exact"/>
        <w:ind w:firstLine="560" w:firstLineChars="200"/>
        <w:jc w:val="left"/>
        <w:rPr>
          <w:rFonts w:eastAsia="方正仿宋_GBK"/>
          <w:sz w:val="28"/>
        </w:rPr>
      </w:pPr>
      <w:r>
        <w:rPr>
          <w:rFonts w:eastAsia="方正仿宋_GBK"/>
          <w:sz w:val="28"/>
        </w:rPr>
        <w:t>绩效指标：系统正常运转率≥95%</w:t>
      </w:r>
    </w:p>
    <w:p>
      <w:pPr>
        <w:spacing w:line="500" w:lineRule="exact"/>
        <w:ind w:firstLine="560" w:firstLineChars="200"/>
        <w:jc w:val="left"/>
        <w:rPr>
          <w:rFonts w:eastAsia="方正仿宋_GBK"/>
          <w:sz w:val="28"/>
        </w:rPr>
      </w:pPr>
      <w:r>
        <w:rPr>
          <w:rFonts w:eastAsia="方正仿宋_GBK"/>
          <w:sz w:val="28"/>
        </w:rPr>
        <w:t>（四）农村基层防汛预报预警体系</w:t>
      </w:r>
    </w:p>
    <w:p>
      <w:pPr>
        <w:spacing w:line="500" w:lineRule="exact"/>
        <w:ind w:firstLine="560" w:firstLineChars="200"/>
        <w:jc w:val="left"/>
        <w:rPr>
          <w:rFonts w:eastAsia="方正仿宋_GBK"/>
          <w:sz w:val="28"/>
        </w:rPr>
      </w:pPr>
      <w:r>
        <w:rPr>
          <w:rFonts w:eastAsia="方正仿宋_GBK"/>
          <w:sz w:val="28"/>
        </w:rPr>
        <w:t>绩效目标：农村基层防汛预报预警体系正常运行，确保汛期信息畅通，保证安全度汛。</w:t>
      </w:r>
    </w:p>
    <w:p>
      <w:pPr>
        <w:spacing w:line="500" w:lineRule="exact"/>
        <w:ind w:firstLine="560" w:firstLineChars="200"/>
        <w:jc w:val="left"/>
        <w:rPr>
          <w:rFonts w:eastAsia="方正仿宋_GBK"/>
          <w:sz w:val="28"/>
        </w:rPr>
      </w:pPr>
      <w:r>
        <w:rPr>
          <w:rFonts w:eastAsia="方正仿宋_GBK"/>
          <w:sz w:val="28"/>
        </w:rPr>
        <w:t>绩效指标：系统正常运转率≥95%</w:t>
      </w:r>
    </w:p>
    <w:p>
      <w:pPr>
        <w:spacing w:line="500" w:lineRule="exact"/>
        <w:ind w:firstLine="560" w:firstLineChars="200"/>
        <w:jc w:val="left"/>
        <w:rPr>
          <w:rFonts w:eastAsia="方正仿宋_GBK"/>
          <w:sz w:val="28"/>
        </w:rPr>
      </w:pPr>
      <w:r>
        <w:rPr>
          <w:rFonts w:eastAsia="方正仿宋_GBK"/>
          <w:sz w:val="28"/>
        </w:rPr>
        <w:t>（五）城乡供水工程</w:t>
      </w:r>
    </w:p>
    <w:p>
      <w:pPr>
        <w:spacing w:line="500" w:lineRule="exact"/>
        <w:ind w:firstLine="560" w:firstLineChars="200"/>
        <w:jc w:val="left"/>
        <w:rPr>
          <w:rFonts w:eastAsia="方正仿宋_GBK"/>
          <w:sz w:val="28"/>
        </w:rPr>
      </w:pPr>
      <w:r>
        <w:rPr>
          <w:rFonts w:eastAsia="方正仿宋_GBK"/>
          <w:sz w:val="28"/>
        </w:rPr>
        <w:t>绩效目标：及时对饮水工程损坏设施进行维修养护，涉及机井更新、水泵更换、管网改造、水质监测，通过项目实施，确保工程正常运行，保障居民饮水安全。</w:t>
      </w:r>
      <w:r>
        <w:rPr>
          <w:rFonts w:eastAsia="方正仿宋_GBK"/>
          <w:sz w:val="28"/>
        </w:rPr>
        <w:tab/>
      </w:r>
    </w:p>
    <w:p>
      <w:pPr>
        <w:spacing w:line="500" w:lineRule="exact"/>
        <w:ind w:firstLine="560" w:firstLineChars="200"/>
        <w:jc w:val="left"/>
        <w:rPr>
          <w:rFonts w:eastAsia="方正仿宋_GBK"/>
          <w:sz w:val="28"/>
        </w:rPr>
      </w:pPr>
      <w:r>
        <w:rPr>
          <w:rFonts w:eastAsia="方正仿宋_GBK"/>
          <w:sz w:val="28"/>
        </w:rPr>
        <w:t>绩效指标：水量供应每人每日≥40升，水质合格率（GB5749-2006）100%，水源保障率≥95%，用水方便程度100%入户。</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eastAsia="方正仿宋_GBK"/>
          <w:sz w:val="28"/>
        </w:rPr>
      </w:pPr>
      <w:r>
        <w:rPr>
          <w:rFonts w:eastAsia="方正仿宋_GBK"/>
          <w:sz w:val="28"/>
        </w:rPr>
        <w:t>为确保各项目标任务的圆满完成，经我局班子研究制定以下工作措施：</w:t>
      </w:r>
    </w:p>
    <w:p>
      <w:pPr>
        <w:spacing w:line="500" w:lineRule="exact"/>
        <w:ind w:firstLine="560" w:firstLineChars="200"/>
        <w:jc w:val="left"/>
        <w:rPr>
          <w:rFonts w:eastAsia="方正仿宋_GBK"/>
          <w:sz w:val="28"/>
        </w:rPr>
      </w:pPr>
      <w:r>
        <w:rPr>
          <w:rFonts w:hint="eastAsia" w:eastAsia="方正仿宋_GBK"/>
          <w:sz w:val="28"/>
          <w:lang w:val="en-US" w:eastAsia="zh-CN"/>
        </w:rPr>
        <w:t>1、</w:t>
      </w:r>
      <w:r>
        <w:rPr>
          <w:rFonts w:eastAsia="方正仿宋_GBK"/>
          <w:sz w:val="28"/>
        </w:rPr>
        <w:t>狠抓干部队伍理念信念和政治思想教育，切实转变作风，增强为人民服务意识，把涉水惠民政策真正</w:t>
      </w:r>
      <w:r>
        <w:rPr>
          <w:rFonts w:hint="eastAsia" w:eastAsia="方正仿宋_GBK"/>
          <w:sz w:val="28"/>
          <w:lang w:eastAsia="zh-CN"/>
        </w:rPr>
        <w:t>落到实处</w:t>
      </w:r>
      <w:r>
        <w:rPr>
          <w:rFonts w:eastAsia="方正仿宋_GBK"/>
          <w:sz w:val="28"/>
        </w:rPr>
        <w:t>，造福全县群众。</w:t>
      </w:r>
    </w:p>
    <w:p>
      <w:pPr>
        <w:spacing w:line="500" w:lineRule="exact"/>
        <w:ind w:firstLine="560" w:firstLineChars="200"/>
        <w:jc w:val="left"/>
        <w:rPr>
          <w:rFonts w:eastAsia="方正仿宋_GBK"/>
          <w:sz w:val="28"/>
        </w:rPr>
      </w:pPr>
      <w:r>
        <w:rPr>
          <w:rFonts w:hint="eastAsia" w:eastAsia="方正仿宋_GBK"/>
          <w:sz w:val="28"/>
          <w:lang w:val="en-US" w:eastAsia="zh-CN"/>
        </w:rPr>
        <w:t>2、</w:t>
      </w:r>
      <w:r>
        <w:rPr>
          <w:rFonts w:eastAsia="方正仿宋_GBK"/>
          <w:sz w:val="28"/>
        </w:rPr>
        <w:t>凝心聚力，攻坚克难，切实确保各项工程建设有序推进，同时强化各类项目储备，积极争取项目投入，确保水利投资建设快速增长。</w:t>
      </w:r>
    </w:p>
    <w:p>
      <w:pPr>
        <w:spacing w:line="500" w:lineRule="exact"/>
        <w:ind w:firstLine="560" w:firstLineChars="200"/>
        <w:jc w:val="left"/>
        <w:rPr>
          <w:rFonts w:eastAsia="方正仿宋_GBK"/>
          <w:sz w:val="28"/>
        </w:rPr>
      </w:pPr>
      <w:r>
        <w:rPr>
          <w:rFonts w:hint="eastAsia" w:eastAsia="方正仿宋_GBK"/>
          <w:sz w:val="28"/>
          <w:lang w:val="en-US" w:eastAsia="zh-CN"/>
        </w:rPr>
        <w:t>3、</w:t>
      </w:r>
      <w:r>
        <w:rPr>
          <w:rFonts w:eastAsia="方正仿宋_GBK"/>
          <w:sz w:val="28"/>
        </w:rPr>
        <w:t>深化和完善项目健身管理机制，严格规范项目建设基本程序，严格规范资金管理使用，严格工程质量监管，确保建设程序规范、资金使用合法、工程质量优良。</w:t>
      </w:r>
    </w:p>
    <w:p>
      <w:pPr>
        <w:spacing w:line="500" w:lineRule="exact"/>
        <w:ind w:firstLine="560" w:firstLineChars="200"/>
        <w:jc w:val="left"/>
        <w:rPr>
          <w:rFonts w:eastAsia="方正仿宋_GBK"/>
          <w:sz w:val="28"/>
        </w:rPr>
      </w:pPr>
      <w:r>
        <w:rPr>
          <w:rFonts w:hint="eastAsia" w:eastAsia="方正仿宋_GBK"/>
          <w:sz w:val="28"/>
          <w:lang w:val="en-US" w:eastAsia="zh-CN"/>
        </w:rPr>
        <w:t>4、</w:t>
      </w:r>
      <w:r>
        <w:rPr>
          <w:rFonts w:eastAsia="方正仿宋_GBK"/>
          <w:sz w:val="28"/>
        </w:rPr>
        <w:t>切实确保各项水利工程建设有序推进，同时强化各类项目储备，积极争取项目投入，确保水利投资建设快速增长。</w:t>
      </w:r>
    </w:p>
    <w:p>
      <w:pPr>
        <w:spacing w:line="500" w:lineRule="exact"/>
        <w:ind w:firstLine="560" w:firstLineChars="200"/>
        <w:jc w:val="left"/>
        <w:rPr>
          <w:rFonts w:eastAsia="方正仿宋_GBK"/>
          <w:sz w:val="28"/>
        </w:rPr>
      </w:pPr>
      <w:r>
        <w:rPr>
          <w:rFonts w:hint="eastAsia" w:eastAsia="方正仿宋_GBK"/>
          <w:sz w:val="28"/>
          <w:lang w:val="en-US" w:eastAsia="zh-CN"/>
        </w:rPr>
        <w:t>5、</w:t>
      </w:r>
      <w:r>
        <w:rPr>
          <w:rFonts w:eastAsia="方正仿宋_GBK"/>
          <w:sz w:val="28"/>
        </w:rPr>
        <w:t>健全水利工程运行管护机制，强化管理责任落实，强化日常运行，调度和维护，确保水利工程常年、常态发挥效益，更好的服务于群众生产生活用水需求。</w:t>
      </w:r>
    </w:p>
    <w:p>
      <w:pPr>
        <w:spacing w:line="500" w:lineRule="exact"/>
        <w:ind w:firstLine="560" w:firstLineChars="200"/>
        <w:jc w:val="left"/>
        <w:rPr>
          <w:rFonts w:eastAsia="方正仿宋_GBK"/>
          <w:sz w:val="28"/>
        </w:rPr>
      </w:pPr>
      <w:r>
        <w:rPr>
          <w:rFonts w:hint="eastAsia" w:eastAsia="方正仿宋_GBK"/>
          <w:sz w:val="28"/>
          <w:lang w:val="en-US" w:eastAsia="zh-CN"/>
        </w:rPr>
        <w:t>6、</w:t>
      </w:r>
      <w:r>
        <w:rPr>
          <w:rFonts w:eastAsia="方正仿宋_GBK"/>
          <w:sz w:val="28"/>
        </w:rPr>
        <w:t>确保南水北调地表水厂正常运行。关停城区自备井，保证南水北调工程分配水调来、用得好。</w:t>
      </w:r>
    </w:p>
    <w:p>
      <w:pPr>
        <w:spacing w:line="500" w:lineRule="exact"/>
        <w:ind w:firstLine="560" w:firstLineChars="200"/>
        <w:jc w:val="left"/>
        <w:rPr>
          <w:rFonts w:eastAsia="方正仿宋_GBK"/>
          <w:sz w:val="28"/>
        </w:rPr>
      </w:pPr>
      <w:r>
        <w:rPr>
          <w:rFonts w:hint="eastAsia" w:eastAsia="方正仿宋_GBK"/>
          <w:sz w:val="28"/>
          <w:lang w:val="en-US" w:eastAsia="zh-CN"/>
        </w:rPr>
        <w:t>7、</w:t>
      </w:r>
      <w:r>
        <w:rPr>
          <w:rFonts w:eastAsia="方正仿宋_GBK"/>
          <w:sz w:val="28"/>
        </w:rPr>
        <w:t>扎实做好防汛抗旱工作，确保人民生命财产安全。</w:t>
      </w:r>
    </w:p>
    <w:p>
      <w:pPr>
        <w:autoSpaceDE w:val="0"/>
        <w:autoSpaceDN w:val="0"/>
        <w:adjustRightInd w:val="0"/>
        <w:ind w:firstLine="560" w:firstLineChars="200"/>
        <w:jc w:val="left"/>
        <w:rPr>
          <w:rFonts w:eastAsia="方正仿宋_GBK"/>
          <w:sz w:val="28"/>
        </w:rPr>
      </w:pPr>
      <w:r>
        <w:rPr>
          <w:rFonts w:hint="eastAsia" w:eastAsia="方正仿宋_GBK"/>
          <w:sz w:val="28"/>
          <w:lang w:val="en-US" w:eastAsia="zh-CN"/>
        </w:rPr>
        <w:t>8、</w:t>
      </w:r>
      <w:r>
        <w:rPr>
          <w:rFonts w:eastAsia="方正仿宋_GBK"/>
          <w:sz w:val="28"/>
        </w:rPr>
        <w:t>实施地下水超采综合治理项目。</w:t>
      </w:r>
    </w:p>
    <w:p>
      <w:pPr>
        <w:autoSpaceDE w:val="0"/>
        <w:autoSpaceDN w:val="0"/>
        <w:adjustRightInd w:val="0"/>
        <w:ind w:left="198" w:firstLine="643" w:firstLineChars="200"/>
        <w:jc w:val="left"/>
        <w:rPr>
          <w:rFonts w:hint="eastAsia" w:ascii="方正仿宋_GBK" w:eastAsia="方正仿宋_GBK"/>
          <w:b/>
          <w:sz w:val="28"/>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hAnsi="宋体"/>
          <w:b/>
          <w:sz w:val="28"/>
        </w:rPr>
      </w:pPr>
      <w:r>
        <w:rPr>
          <w:rFonts w:hint="eastAsia" w:ascii="方正仿宋_GBK" w:eastAsia="方正仿宋_GBK"/>
          <w:b/>
          <w:sz w:val="28"/>
        </w:rPr>
        <w:t>1、地下水超采综合治理专项资金（地下水保护与利用规划）绩效目标表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954373"/>
      <w:r>
        <w:rPr>
          <w:rFonts w:hint="eastAsia" w:ascii="方正仿宋_GBK" w:eastAsia="方正仿宋_GBK"/>
          <w:b/>
          <w:sz w:val="28"/>
        </w:rPr>
        <w:instrText xml:space="preserve">1、地下水超采综合治理专项资金（地下水保护与利用规划）绩效目标表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332-0402-YQN-8P8X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地下水超采综合治理专项资金（地下水保护与利用规划）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编制无极县地下水保护与利用规划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、地下水保护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、减少地下水开采利用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实际完成量占总数量的比率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按时编制完成占总量的比率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2、关于提前下达2020年省级水利发展资金的通知-冀财农（2019）177号绩效目标表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954374"/>
      <w:r>
        <w:rPr>
          <w:rFonts w:hint="eastAsia" w:ascii="方正仿宋_GBK" w:eastAsia="方正仿宋_GBK"/>
          <w:b/>
          <w:sz w:val="28"/>
        </w:rPr>
        <w:instrText xml:space="preserve">2、关于提前下达2020年省级水利发展资金的通知-冀财农（2019）177号绩效目标表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332-0401-YQN-T1UE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年省级水利发展资金的通知</w:t>
            </w:r>
            <w:r>
              <w:rPr>
                <w:rFonts w:ascii="方正书宋_GBK" w:eastAsia="方正书宋_GBK"/>
              </w:rPr>
              <w:t>-</w:t>
            </w:r>
            <w:r>
              <w:rPr>
                <w:rFonts w:hint="eastAsia" w:ascii="方正书宋_GBK" w:eastAsia="方正书宋_GBK"/>
              </w:rPr>
              <w:t>冀财农（</w:t>
            </w:r>
            <w:r>
              <w:rPr>
                <w:rFonts w:ascii="方正书宋_GBK" w:eastAsia="方正书宋_GBK"/>
              </w:rPr>
              <w:t>2019</w:t>
            </w:r>
            <w:r>
              <w:rPr>
                <w:rFonts w:hint="eastAsia" w:ascii="方正书宋_GBK" w:eastAsia="方正书宋_GBK"/>
              </w:rPr>
              <w:t>）</w:t>
            </w:r>
            <w:r>
              <w:rPr>
                <w:rFonts w:ascii="方正书宋_GBK" w:eastAsia="方正书宋_GBK"/>
              </w:rPr>
              <w:t>177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0.36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0.36</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购买安装非农取水计量设施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、取用水计量准确，可实现</w:t>
            </w:r>
            <w:r>
              <w:rPr>
                <w:rFonts w:ascii="方正书宋_GBK" w:eastAsia="方正书宋_GBK"/>
              </w:rPr>
              <w:t>5</w:t>
            </w:r>
            <w:r>
              <w:rPr>
                <w:rFonts w:hint="eastAsia" w:ascii="方正书宋_GBK" w:eastAsia="方正书宋_GBK"/>
              </w:rPr>
              <w:t>万方以上取水企业全覆盖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、达到取水及时准确上传市局</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验收合格工程个数占总工程数的比例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设施完好率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水利设施完好数量占总水利设施数量的比率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3、关于提前下达2020年市级水利发展资金预算指标的通知（村级河长巡河护河补助资金）石财农（2019）1绩效目标表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954375"/>
      <w:r>
        <w:rPr>
          <w:rFonts w:hint="eastAsia" w:ascii="方正仿宋_GBK" w:eastAsia="方正仿宋_GBK"/>
          <w:b/>
          <w:sz w:val="28"/>
        </w:rPr>
        <w:instrText xml:space="preserve">3、关于提前下达2020年市级水利发展资金预算指标的通知（村级河长巡河护河补助资金）石财农（2019）1绩效目标表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332-0402-YQN-OYUG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年市级水利发展资金预算指标的通知（村级河长巡河护河补助资金）石财农（</w:t>
            </w:r>
            <w:r>
              <w:rPr>
                <w:rFonts w:ascii="方正书宋_GBK" w:eastAsia="方正书宋_GBK"/>
              </w:rPr>
              <w:t>2019</w:t>
            </w: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12.48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12.48</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年沿河村村级河长落实巡河护河补助资金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、及时足额发放村级河长巡河补助资金。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、改善加强村级河长巡河护河的积极性和责任感。</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已补助人数占应补助人数的比率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实际发放的补助金额占计划发放金额的比率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补助发放数量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补助发放的人数</w:t>
            </w:r>
          </w:p>
        </w:tc>
        <w:tc>
          <w:tcPr>
            <w:tcW w:w="1276" w:type="dxa"/>
            <w:vAlign w:val="center"/>
          </w:tcPr>
          <w:p>
            <w:pPr>
              <w:spacing w:line="300" w:lineRule="exact"/>
              <w:jc w:val="left"/>
              <w:rPr>
                <w:rFonts w:ascii="方正书宋_GBK" w:eastAsia="方正书宋_GBK"/>
              </w:rPr>
            </w:pPr>
            <w:r>
              <w:rPr>
                <w:rFonts w:ascii="方正书宋_GBK" w:eastAsia="方正书宋_GBK"/>
              </w:rPr>
              <w:t>104</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通过调查，满意和较满意的受益对象满意度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Ansi="宋体"/>
          <w:b/>
          <w:sz w:val="28"/>
        </w:rPr>
      </w:pPr>
      <w:r>
        <w:rPr>
          <w:rFonts w:hint="eastAsia" w:ascii="方正仿宋_GBK" w:eastAsia="方正仿宋_GBK"/>
          <w:b/>
          <w:sz w:val="28"/>
        </w:rPr>
        <w:t>4、关于提前下达2020年中央水库移民后期扶持基金预算的通知绩效目标表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954376"/>
      <w:r>
        <w:rPr>
          <w:rFonts w:hint="eastAsia" w:ascii="方正仿宋_GBK" w:eastAsia="方正仿宋_GBK"/>
          <w:b/>
          <w:sz w:val="28"/>
        </w:rPr>
        <w:instrText xml:space="preserve">4、关于提前下达2020年中央水库移民后期扶持基金预算的通知绩效目标表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332-0402-YQN-M9IG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年中央水库移民后期扶持基金预算的通知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0.78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0.78</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名移民的直补资金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、增加移民收入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、提高移民对后期扶持政策的满意度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资金直补受益移民（人）</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移民直补的人数</w:t>
            </w:r>
          </w:p>
        </w:tc>
        <w:tc>
          <w:tcPr>
            <w:tcW w:w="1276" w:type="dxa"/>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人数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增加移民人均可支配收入</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增加移民收入</w:t>
            </w:r>
          </w:p>
        </w:tc>
        <w:tc>
          <w:tcPr>
            <w:tcW w:w="1276" w:type="dxa"/>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每人每年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移民对后期扶持政策实施满意度</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5、关于提前下达2020年中央水利发展资金（地下水超采综合治理）预算的通知绩效目标表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954377"/>
      <w:r>
        <w:rPr>
          <w:rFonts w:hint="eastAsia" w:ascii="方正仿宋_GBK" w:eastAsia="方正仿宋_GBK"/>
          <w:b/>
          <w:sz w:val="28"/>
        </w:rPr>
        <w:instrText xml:space="preserve">5、关于提前下达2020年中央水利发展资金（地下水超采综合治理）预算的通知绩效目标表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332-0201-YQN-T45G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年中央水利发展资金（地下水超采综合治理）预算的通知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2050.90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2050.90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农村水源置换，安装远传计量设施，自备井关停、填埋。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、有效改善地下水超采状况，压采地下水</w:t>
            </w:r>
            <w:r>
              <w:rPr>
                <w:rFonts w:ascii="方正书宋_GBK" w:eastAsia="方正书宋_GBK"/>
              </w:rPr>
              <w:t>252</w:t>
            </w:r>
            <w:r>
              <w:rPr>
                <w:rFonts w:hint="eastAsia" w:ascii="方正书宋_GBK" w:eastAsia="方正书宋_GBK"/>
              </w:rPr>
              <w:t>万立方米。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、关停自备井</w:t>
            </w:r>
            <w:r>
              <w:rPr>
                <w:rFonts w:ascii="方正书宋_GBK" w:eastAsia="方正书宋_GBK"/>
              </w:rPr>
              <w:t>12</w:t>
            </w:r>
            <w:r>
              <w:rPr>
                <w:rFonts w:hint="eastAsia" w:ascii="方正书宋_GBK" w:eastAsia="方正书宋_GBK"/>
              </w:rPr>
              <w:t>眼</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验收合格工程个数占总工程数的比例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工程设计使用年限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设计使用年限</w:t>
            </w:r>
          </w:p>
        </w:tc>
        <w:tc>
          <w:tcPr>
            <w:tcW w:w="1276" w:type="dxa"/>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6、关于提前下达2020年中央水利发展资金预算的通知冀财农（2019）143号绩效目标表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954378"/>
      <w:r>
        <w:rPr>
          <w:rFonts w:hint="eastAsia" w:ascii="方正仿宋_GBK" w:eastAsia="方正仿宋_GBK"/>
          <w:b/>
          <w:sz w:val="28"/>
        </w:rPr>
        <w:instrText xml:space="preserve">6、关于提前下达2020年中央水利发展资金预算的通知冀财农（2019）143号绩效目标表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332-0201-YQN-C7WX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年中央水利发展资金预算的通知冀财农（</w:t>
            </w:r>
            <w:r>
              <w:rPr>
                <w:rFonts w:ascii="方正书宋_GBK" w:eastAsia="方正书宋_GBK"/>
              </w:rPr>
              <w:t>2019</w:t>
            </w:r>
            <w:r>
              <w:rPr>
                <w:rFonts w:hint="eastAsia" w:ascii="方正书宋_GBK" w:eastAsia="方正书宋_GBK"/>
              </w:rPr>
              <w:t>）</w:t>
            </w:r>
            <w:r>
              <w:rPr>
                <w:rFonts w:ascii="方正书宋_GBK" w:eastAsia="方正书宋_GBK"/>
              </w:rPr>
              <w:t>143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58.00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58.00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河道清淤、险工段加固防护。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、加强河道治理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、提升水利防灾减灾能力</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验收合格工程个数占总工程数的比例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按时完成工程数量占总工程量的比例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7、水利发展专项资金（大陈镇、七汲镇灌溉井更新）绩效目标表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4954379"/>
      <w:r>
        <w:rPr>
          <w:rFonts w:hint="eastAsia" w:ascii="方正仿宋_GBK" w:eastAsia="方正仿宋_GBK"/>
          <w:b/>
          <w:sz w:val="28"/>
        </w:rPr>
        <w:instrText xml:space="preserve">7、水利发展专项资金（大陈镇、七汲镇灌溉井更新）绩效目标表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332-0201-YQN-2NIB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水利发展专项资金（大陈镇、七汲镇灌溉井更新）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33.88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33.88</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在大陈镇、七汲镇更新灌溉机井</w:t>
            </w:r>
            <w:r>
              <w:rPr>
                <w:rFonts w:ascii="方正书宋_GBK" w:eastAsia="方正书宋_GBK"/>
              </w:rPr>
              <w:t>9</w:t>
            </w:r>
            <w:r>
              <w:rPr>
                <w:rFonts w:hint="eastAsia" w:ascii="方正书宋_GBK" w:eastAsia="方正书宋_GBK"/>
              </w:rPr>
              <w:t>眼，井深</w:t>
            </w:r>
            <w:r>
              <w:rPr>
                <w:rFonts w:ascii="方正书宋_GBK" w:eastAsia="方正书宋_GBK"/>
              </w:rPr>
              <w:t>180</w:t>
            </w:r>
            <w:r>
              <w:rPr>
                <w:rFonts w:hint="eastAsia" w:ascii="方正书宋_GBK" w:eastAsia="方正书宋_GBK"/>
              </w:rPr>
              <w:t>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95.00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、完善水利基础设施建设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、改善耕地灌溉条件及农田生态环境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改善灌溉面积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改善农田灌溉的面积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每眼机井灌溉农田</w:t>
            </w:r>
            <w:r>
              <w:rPr>
                <w:rFonts w:ascii="方正书宋_GBK" w:eastAsia="方正书宋_GBK"/>
              </w:rPr>
              <w:t>45</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8、水利发展专项资金（防汛经费）绩效目标表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4954380"/>
      <w:r>
        <w:rPr>
          <w:rFonts w:hint="eastAsia" w:ascii="方正仿宋_GBK" w:eastAsia="方正仿宋_GBK"/>
          <w:b/>
          <w:sz w:val="28"/>
        </w:rPr>
        <w:instrText xml:space="preserve">8、水利发展专项资金（防汛经费）绩效目标表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332-0401-YQN-8R5I</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水利发展专项资金（防汛经费）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防汛演练，防汛物品的购买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、严格落实防汛措施，及时处理发现和处理灾情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、增强防汛保障能力，确保人民群众生命财产安全</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防汛演练合格率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防汛演练培训达标率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防汛设备维养合格率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防汛设备维养合格率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int="eastAsia"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9、水利发展专项资金（河长制工作经费）绩效目标表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4954381"/>
      <w:r>
        <w:rPr>
          <w:rFonts w:hint="eastAsia" w:ascii="方正仿宋_GBK" w:eastAsia="方正仿宋_GBK"/>
          <w:b/>
          <w:sz w:val="28"/>
        </w:rPr>
        <w:instrText xml:space="preserve">9、水利发展专项资金（河长制工作经费）绩效目标表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332-0401-YQN-G6AL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水利发展专项资金（河长制工作经费）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河长制经费主要用车辆燃油、</w:t>
            </w:r>
          </w:p>
          <w:p>
            <w:pPr>
              <w:spacing w:line="300" w:lineRule="exact"/>
              <w:jc w:val="left"/>
              <w:rPr>
                <w:rFonts w:ascii="方正书宋_GBK" w:eastAsia="方正书宋_GBK"/>
              </w:rPr>
            </w:pPr>
            <w:r>
              <w:rPr>
                <w:rFonts w:hint="eastAsia" w:ascii="方正书宋_GBK" w:eastAsia="方正书宋_GBK"/>
              </w:rPr>
              <w:t>维修和日常办公经费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、保障河长制经费日常开支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、做好河道监管</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三公经费控制率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实际支出与预算安排的比率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工作完成率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确保机关工作正常运行</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公用经费控制率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本年度实际支出占总支出的比率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职工满意数量占总数的比例。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Ansi="宋体"/>
          <w:b/>
          <w:sz w:val="28"/>
        </w:rPr>
      </w:pPr>
      <w:r>
        <w:rPr>
          <w:rFonts w:hint="eastAsia" w:ascii="方正仿宋_GBK" w:eastAsia="方正仿宋_GBK"/>
          <w:b/>
          <w:sz w:val="28"/>
        </w:rPr>
        <w:t>10、水利发展专项资金（河道拆违整治工作经费）绩效目标表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4954382"/>
      <w:r>
        <w:rPr>
          <w:rFonts w:hint="eastAsia" w:ascii="方正仿宋_GBK" w:eastAsia="方正仿宋_GBK"/>
          <w:b/>
          <w:sz w:val="28"/>
        </w:rPr>
        <w:instrText xml:space="preserve">10、水利发展专项资金（河道拆违整治工作经费）绩效目标表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332-0402-YQN-YAYZ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水利发展专项资金（河道拆违整治工作经费）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14.00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14.00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河道拆违用帐篷</w:t>
            </w:r>
            <w:r>
              <w:rPr>
                <w:rFonts w:ascii="方正书宋_GBK" w:eastAsia="方正书宋_GBK"/>
              </w:rPr>
              <w:t>29</w:t>
            </w:r>
            <w:r>
              <w:rPr>
                <w:rFonts w:hint="eastAsia" w:ascii="方正书宋_GBK" w:eastAsia="方正书宋_GBK"/>
              </w:rPr>
              <w:t>个，帆布</w:t>
            </w:r>
            <w:r>
              <w:rPr>
                <w:rFonts w:ascii="方正书宋_GBK" w:eastAsia="方正书宋_GBK"/>
              </w:rPr>
              <w:t>24</w:t>
            </w:r>
            <w:r>
              <w:rPr>
                <w:rFonts w:hint="eastAsia" w:ascii="方正书宋_GBK" w:eastAsia="方正书宋_GBK"/>
              </w:rPr>
              <w:t>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、河道拆违工作顺利进行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、加快河道拆违工作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购买数量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实际购买的数量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53</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实际购买的数量占总数量的比率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Ansi="宋体"/>
          <w:b/>
          <w:sz w:val="28"/>
        </w:rPr>
      </w:pPr>
      <w:r>
        <w:rPr>
          <w:rFonts w:hint="eastAsia" w:ascii="方正仿宋_GBK" w:eastAsia="方正仿宋_GBK"/>
          <w:b/>
          <w:sz w:val="28"/>
        </w:rPr>
        <w:t>11、水利发展专项资金（木刀沟河堤北牛-东北牛荆条补种资金）绩效目标表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4954383"/>
      <w:r>
        <w:rPr>
          <w:rFonts w:hint="eastAsia" w:ascii="方正仿宋_GBK" w:eastAsia="方正仿宋_GBK"/>
          <w:b/>
          <w:sz w:val="28"/>
        </w:rPr>
        <w:instrText xml:space="preserve">11、水利发展专项资金（木刀沟河堤北牛-东北牛荆条补种资金）绩效目标表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332-0402-YQN-MG3Z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水利发展专项资金（木刀沟河堤北牛</w:t>
            </w:r>
            <w:r>
              <w:rPr>
                <w:rFonts w:ascii="方正书宋_GBK" w:eastAsia="方正书宋_GBK"/>
              </w:rPr>
              <w:t>-</w:t>
            </w:r>
            <w:r>
              <w:rPr>
                <w:rFonts w:hint="eastAsia" w:ascii="方正书宋_GBK" w:eastAsia="方正书宋_GBK"/>
              </w:rPr>
              <w:t>东北牛荆条补种资金）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6.91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6.91</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在木刀沟河堤北牛至东北牛段补种荆条苗木，长度</w:t>
            </w:r>
            <w:r>
              <w:rPr>
                <w:rFonts w:ascii="方正书宋_GBK" w:eastAsia="方正书宋_GBK"/>
              </w:rPr>
              <w:t>5000</w:t>
            </w:r>
            <w:r>
              <w:rPr>
                <w:rFonts w:hint="eastAsia" w:ascii="方正书宋_GBK" w:eastAsia="方正书宋_GBK"/>
              </w:rPr>
              <w:t>米，补种荆条</w:t>
            </w:r>
            <w:r>
              <w:rPr>
                <w:rFonts w:ascii="方正书宋_GBK" w:eastAsia="方正书宋_GBK"/>
              </w:rPr>
              <w:t>3</w:t>
            </w:r>
            <w:r>
              <w:rPr>
                <w:rFonts w:hint="eastAsia" w:ascii="方正书宋_GBK" w:eastAsia="方正书宋_GBK"/>
              </w:rPr>
              <w:t>万棵。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、防风固坡维护河堤安全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、美化环境恢复河堤生态</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补种数量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补种荆条苗木的数量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30000</w:t>
            </w:r>
            <w:r>
              <w:rPr>
                <w:rFonts w:hint="eastAsia" w:ascii="方正书宋_GBK" w:eastAsia="方正书宋_GBK"/>
              </w:rPr>
              <w:t>棵</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实际补种数量占总数量的比率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成活数量占总数量比率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Ansi="宋体"/>
          <w:b/>
          <w:sz w:val="28"/>
        </w:rPr>
      </w:pPr>
      <w:r>
        <w:rPr>
          <w:rFonts w:hint="eastAsia" w:ascii="方正仿宋_GBK" w:eastAsia="方正仿宋_GBK"/>
          <w:b/>
          <w:sz w:val="28"/>
        </w:rPr>
        <w:t>12、水利发展专项资金（无极县堤顶路建设工程）绩效目标表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4954384"/>
      <w:r>
        <w:rPr>
          <w:rFonts w:hint="eastAsia" w:ascii="方正仿宋_GBK" w:eastAsia="方正仿宋_GBK"/>
          <w:b/>
          <w:sz w:val="28"/>
        </w:rPr>
        <w:instrText xml:space="preserve">12、水利发展专项资金（无极县堤顶路建设工程）绩效目标表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332-0102-YQN-M67U</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水利发展专项资金（无极县堤顶路建设工程）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490.00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490.00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无极县堤顶路建设工程，自木刀沟南堤朱家庄至大赵线、北堤石津高速连接线至大赵线段长</w:t>
            </w:r>
            <w:r>
              <w:rPr>
                <w:rFonts w:ascii="方正书宋_GBK" w:eastAsia="方正书宋_GBK"/>
              </w:rPr>
              <w:t>9.783</w:t>
            </w:r>
            <w:r>
              <w:rPr>
                <w:rFonts w:hint="eastAsia" w:ascii="方正书宋_GBK" w:eastAsia="方正书宋_GBK"/>
              </w:rPr>
              <w:t>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、保证防汛车辆顺利通行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、达到环保抑尘的效果</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堤顶路长度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硬化木刀沟堤顶路长度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9.78</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工程使用年限</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木刀沟堤顶路使用年限</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Ansi="宋体"/>
          <w:b/>
          <w:sz w:val="28"/>
        </w:rPr>
      </w:pPr>
      <w:r>
        <w:rPr>
          <w:rFonts w:hint="eastAsia" w:ascii="方正仿宋_GBK" w:eastAsia="方正仿宋_GBK"/>
          <w:b/>
          <w:sz w:val="28"/>
        </w:rPr>
        <w:t>13、水利发展专项资金（无极县供水工程运行管理经费）绩效目标表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4954385"/>
      <w:r>
        <w:rPr>
          <w:rFonts w:hint="eastAsia" w:ascii="方正仿宋_GBK" w:eastAsia="方正仿宋_GBK"/>
          <w:b/>
          <w:sz w:val="28"/>
        </w:rPr>
        <w:instrText xml:space="preserve">13、水利发展专项资金（无极县供水工程运行管理经费）绩效目标表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332-0401-YQN-IN2Q</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水利发展专项资金（无极县供水工程运行管理经费）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农村供水工程电费、管道维修、设备维修养护。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、保障农村饮水安全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、农村饮水工程长期有效发挥效益，保障供水保证率</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管道维修占总量的比率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按时完成维修工程占总工程的比率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ind w:firstLine="562" w:firstLineChars="200"/>
        <w:jc w:val="left"/>
        <w:outlineLvl w:val="1"/>
        <w:rPr>
          <w:rFonts w:hAnsi="宋体"/>
          <w:b/>
          <w:sz w:val="28"/>
        </w:rPr>
      </w:pPr>
      <w:r>
        <w:rPr>
          <w:rFonts w:hint="eastAsia" w:ascii="方正仿宋_GBK" w:eastAsia="方正仿宋_GBK"/>
          <w:b/>
          <w:sz w:val="28"/>
        </w:rPr>
        <w:t>14、水生态及中小河流治理等其他水利工程（老磁河无极段治理工程）绩效目标表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4954386"/>
      <w:r>
        <w:rPr>
          <w:rFonts w:hint="eastAsia" w:ascii="方正仿宋_GBK" w:eastAsia="方正仿宋_GBK"/>
          <w:b/>
          <w:sz w:val="28"/>
        </w:rPr>
        <w:instrText xml:space="preserve">14、水生态及中小河流治理等其他水利工程（老磁河无极段治理工程）绩效目标表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无极县水利局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332-0201-YQN-INCG</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水生态及中小河流治理等其他水利工程（老磁河无极段治理工程）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96.20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96.20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老磁河综合治理设计费、监理费、检测费、建设单位管理费。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、及时拨付资金，加快施工进度。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、提升水利防灾减灾能力。</w:t>
            </w:r>
          </w:p>
        </w:tc>
      </w:tr>
    </w:tbl>
    <w:p>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工程清淤量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实际清淤的长度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验收合格工程占总工程色比率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bl>
    <w:p>
      <w:pPr>
        <w:jc w:val="left"/>
        <w:outlineLvl w:val="1"/>
        <w:rPr>
          <w:rFonts w:ascii="Times New Roman" w:hAnsi="宋体"/>
          <w:b/>
          <w:sz w:val="28"/>
        </w:rPr>
      </w:pP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484634"/>
      <w:r>
        <w:rPr>
          <w:rFonts w:hint="eastAsia" w:ascii="方正仿宋_GBK" w:eastAsia="方正仿宋_GBK"/>
          <w:b/>
          <w:sz w:val="28"/>
        </w:rPr>
        <w:instrText xml:space="preserve">3、第三方评价工作经费绩效目标表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bookmarkEnd w:id="0"/>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9"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万元。</w:t>
      </w:r>
      <w:bookmarkEnd w:id="19"/>
    </w:p>
    <w:p>
      <w:pPr>
        <w:ind w:firstLine="640"/>
        <w:jc w:val="center"/>
        <w:outlineLvl w:val="0"/>
        <w:rPr>
          <w:rFonts w:hint="eastAsia" w:ascii="仿宋_GB2312" w:hAnsi="仿宋_GB2312" w:cs="仿宋_GB2312"/>
        </w:rPr>
      </w:pPr>
      <w:r>
        <w:rPr>
          <w:rFonts w:hint="eastAsia" w:ascii="仿宋_GB2312" w:hAnsi="仿宋_GB2312" w:cs="仿宋_GB2312"/>
        </w:rPr>
        <w:t>部门政府采购预算</w:t>
      </w:r>
    </w:p>
    <w:tbl>
      <w:tblPr>
        <w:tblStyle w:val="7"/>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vAlign w:val="center"/>
          </w:tcPr>
          <w:p>
            <w:pPr>
              <w:spacing w:line="300" w:lineRule="exact"/>
              <w:ind w:firstLine="420"/>
              <w:jc w:val="left"/>
              <w:rPr>
                <w:rFonts w:hint="eastAsia" w:ascii="仿宋_GB2312" w:hAnsi="仿宋_GB2312" w:cs="仿宋_GB2312"/>
                <w:sz w:val="21"/>
                <w:szCs w:val="21"/>
              </w:rPr>
            </w:pPr>
            <w:r>
              <w:rPr>
                <w:rFonts w:hint="eastAsia" w:ascii="仿宋_GB2312" w:hAnsi="仿宋_GB2312" w:cs="仿宋_GB2312"/>
                <w:sz w:val="21"/>
                <w:szCs w:val="21"/>
              </w:rPr>
              <w:t>332水利局</w:t>
            </w:r>
          </w:p>
        </w:tc>
        <w:tc>
          <w:tcPr>
            <w:tcW w:w="6693" w:type="dxa"/>
            <w:gridSpan w:val="7"/>
            <w:tcBorders>
              <w:top w:val="single" w:color="FFFFFF" w:sz="6" w:space="0"/>
              <w:left w:val="single" w:color="FFFFFF" w:sz="6" w:space="0"/>
              <w:right w:val="single" w:color="FFFFFF" w:sz="6" w:space="0"/>
            </w:tcBorders>
            <w:vAlign w:val="center"/>
          </w:tcPr>
          <w:p>
            <w:pPr>
              <w:spacing w:line="300" w:lineRule="exact"/>
              <w:ind w:firstLine="420"/>
              <w:jc w:val="right"/>
              <w:rPr>
                <w:rFonts w:hint="eastAsia" w:ascii="仿宋_GB2312" w:hAnsi="仿宋_GB2312" w:cs="仿宋_GB2312"/>
                <w:sz w:val="21"/>
                <w:szCs w:val="21"/>
              </w:rPr>
            </w:pPr>
            <w:r>
              <w:rPr>
                <w:rFonts w:hint="eastAsia" w:ascii="仿宋_GB2312" w:hAnsi="仿宋_GB2312" w:cs="仿宋_GB2312"/>
                <w:sz w:val="21"/>
                <w:szCs w:val="21"/>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vAlign w:val="center"/>
          </w:tcPr>
          <w:p>
            <w:pPr>
              <w:spacing w:line="300" w:lineRule="exact"/>
              <w:ind w:firstLine="422"/>
              <w:rPr>
                <w:rFonts w:hint="eastAsia" w:ascii="仿宋_GB2312" w:hAnsi="仿宋_GB2312" w:cs="仿宋_GB2312"/>
                <w:b/>
                <w:sz w:val="21"/>
                <w:szCs w:val="21"/>
              </w:rPr>
            </w:pPr>
            <w:r>
              <w:rPr>
                <w:rFonts w:hint="eastAsia" w:ascii="仿宋_GB2312" w:hAnsi="仿宋_GB2312" w:cs="仿宋_GB2312"/>
                <w:b/>
                <w:sz w:val="21"/>
                <w:szCs w:val="21"/>
              </w:rPr>
              <w:t>政府采购项目来源</w:t>
            </w:r>
          </w:p>
        </w:tc>
        <w:tc>
          <w:tcPr>
            <w:tcW w:w="974"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采购物品名称</w:t>
            </w:r>
          </w:p>
        </w:tc>
        <w:tc>
          <w:tcPr>
            <w:tcW w:w="986"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政府采购目录序号</w:t>
            </w:r>
          </w:p>
        </w:tc>
        <w:tc>
          <w:tcPr>
            <w:tcW w:w="760"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数量  单位</w:t>
            </w:r>
          </w:p>
        </w:tc>
        <w:tc>
          <w:tcPr>
            <w:tcW w:w="760"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数量</w:t>
            </w:r>
          </w:p>
        </w:tc>
        <w:tc>
          <w:tcPr>
            <w:tcW w:w="848"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单价</w:t>
            </w:r>
          </w:p>
        </w:tc>
        <w:tc>
          <w:tcPr>
            <w:tcW w:w="6693" w:type="dxa"/>
            <w:gridSpan w:val="7"/>
            <w:vAlign w:val="center"/>
          </w:tcPr>
          <w:p>
            <w:pPr>
              <w:spacing w:line="300" w:lineRule="exact"/>
              <w:ind w:firstLine="422"/>
              <w:jc w:val="center"/>
              <w:rPr>
                <w:rFonts w:hint="eastAsia" w:ascii="仿宋_GB2312" w:hAnsi="仿宋_GB2312" w:cs="仿宋_GB2312"/>
                <w:b/>
                <w:sz w:val="21"/>
                <w:szCs w:val="21"/>
              </w:rPr>
            </w:pPr>
            <w:r>
              <w:rPr>
                <w:rFonts w:hint="eastAsia" w:ascii="仿宋_GB2312" w:hAnsi="仿宋_GB2312" w:cs="仿宋_GB2312"/>
                <w:b/>
                <w:sz w:val="21"/>
                <w:szCs w:val="21"/>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vAlign w:val="center"/>
          </w:tcPr>
          <w:p>
            <w:pPr>
              <w:spacing w:line="300" w:lineRule="exact"/>
              <w:ind w:firstLine="422"/>
              <w:jc w:val="center"/>
              <w:rPr>
                <w:rFonts w:hint="eastAsia" w:ascii="仿宋_GB2312" w:hAnsi="仿宋_GB2312" w:cs="仿宋_GB2312"/>
                <w:b/>
                <w:sz w:val="21"/>
                <w:szCs w:val="21"/>
              </w:rPr>
            </w:pPr>
            <w:r>
              <w:rPr>
                <w:rFonts w:hint="eastAsia" w:ascii="仿宋_GB2312" w:hAnsi="仿宋_GB2312" w:cs="仿宋_GB2312"/>
                <w:b/>
                <w:sz w:val="21"/>
                <w:szCs w:val="21"/>
              </w:rPr>
              <w:t>项目名称</w:t>
            </w:r>
          </w:p>
        </w:tc>
        <w:tc>
          <w:tcPr>
            <w:tcW w:w="1099"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预算资金</w:t>
            </w:r>
          </w:p>
        </w:tc>
        <w:tc>
          <w:tcPr>
            <w:tcW w:w="974"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986"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760"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760"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848"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961"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总计</w:t>
            </w:r>
          </w:p>
        </w:tc>
        <w:tc>
          <w:tcPr>
            <w:tcW w:w="4811" w:type="dxa"/>
            <w:gridSpan w:val="5"/>
            <w:vAlign w:val="center"/>
          </w:tcPr>
          <w:p>
            <w:pPr>
              <w:spacing w:line="300" w:lineRule="exact"/>
              <w:ind w:firstLine="422"/>
              <w:jc w:val="center"/>
              <w:rPr>
                <w:rFonts w:hint="eastAsia" w:ascii="仿宋_GB2312" w:hAnsi="仿宋_GB2312" w:cs="仿宋_GB2312"/>
                <w:b/>
                <w:sz w:val="21"/>
                <w:szCs w:val="21"/>
              </w:rPr>
            </w:pPr>
            <w:r>
              <w:rPr>
                <w:rFonts w:hint="eastAsia" w:ascii="仿宋_GB2312" w:hAnsi="仿宋_GB2312" w:cs="仿宋_GB2312"/>
                <w:b/>
                <w:sz w:val="21"/>
                <w:szCs w:val="21"/>
              </w:rPr>
              <w:t>当年部门预算安排资金</w:t>
            </w:r>
          </w:p>
        </w:tc>
        <w:tc>
          <w:tcPr>
            <w:tcW w:w="921" w:type="dxa"/>
            <w:vMerge w:val="restart"/>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1099"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974"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986"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760"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760"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848"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961" w:type="dxa"/>
            <w:vMerge w:val="continue"/>
            <w:vAlign w:val="center"/>
          </w:tcPr>
          <w:p>
            <w:pPr>
              <w:spacing w:line="300" w:lineRule="exact"/>
              <w:ind w:firstLine="420"/>
              <w:jc w:val="left"/>
              <w:outlineLvl w:val="0"/>
              <w:rPr>
                <w:rFonts w:hint="eastAsia" w:ascii="仿宋_GB2312" w:hAnsi="仿宋_GB2312" w:cs="仿宋_GB2312"/>
                <w:sz w:val="21"/>
                <w:szCs w:val="21"/>
              </w:rPr>
            </w:pPr>
          </w:p>
        </w:tc>
        <w:tc>
          <w:tcPr>
            <w:tcW w:w="961" w:type="dxa"/>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合计</w:t>
            </w:r>
          </w:p>
        </w:tc>
        <w:tc>
          <w:tcPr>
            <w:tcW w:w="961" w:type="dxa"/>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一般公共预算拨款</w:t>
            </w:r>
          </w:p>
        </w:tc>
        <w:tc>
          <w:tcPr>
            <w:tcW w:w="961" w:type="dxa"/>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基金预算拨款</w:t>
            </w:r>
          </w:p>
        </w:tc>
        <w:tc>
          <w:tcPr>
            <w:tcW w:w="964" w:type="dxa"/>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财政专户核拨</w:t>
            </w:r>
          </w:p>
        </w:tc>
        <w:tc>
          <w:tcPr>
            <w:tcW w:w="964" w:type="dxa"/>
            <w:vAlign w:val="center"/>
          </w:tcPr>
          <w:p>
            <w:pPr>
              <w:spacing w:line="300" w:lineRule="exact"/>
              <w:ind w:firstLine="0" w:firstLineChars="0"/>
              <w:rPr>
                <w:rFonts w:hint="eastAsia" w:ascii="仿宋_GB2312" w:hAnsi="仿宋_GB2312" w:cs="仿宋_GB2312"/>
                <w:b/>
                <w:sz w:val="21"/>
                <w:szCs w:val="21"/>
              </w:rPr>
            </w:pPr>
            <w:r>
              <w:rPr>
                <w:rFonts w:hint="eastAsia" w:ascii="仿宋_GB2312" w:hAnsi="仿宋_GB2312" w:cs="仿宋_GB2312"/>
                <w:b/>
                <w:sz w:val="21"/>
                <w:szCs w:val="21"/>
              </w:rPr>
              <w:t>其他来源收入</w:t>
            </w:r>
          </w:p>
        </w:tc>
        <w:tc>
          <w:tcPr>
            <w:tcW w:w="921" w:type="dxa"/>
            <w:vMerge w:val="continue"/>
            <w:vAlign w:val="center"/>
          </w:tcPr>
          <w:p>
            <w:pPr>
              <w:spacing w:line="300" w:lineRule="exact"/>
              <w:ind w:firstLine="420"/>
              <w:jc w:val="left"/>
              <w:outlineLvl w:val="0"/>
              <w:rPr>
                <w:rFonts w:hint="eastAsia" w:ascii="仿宋_GB2312" w:hAnsi="仿宋_GB2312" w:cs="仿宋_GB2312"/>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2448" w:type="dxa"/>
            <w:vAlign w:val="center"/>
          </w:tcPr>
          <w:p>
            <w:pPr>
              <w:spacing w:line="300" w:lineRule="exact"/>
              <w:ind w:firstLine="422"/>
              <w:jc w:val="center"/>
              <w:rPr>
                <w:rFonts w:hint="eastAsia" w:ascii="仿宋_GB2312" w:hAnsi="仿宋_GB2312" w:cs="仿宋_GB2312"/>
                <w:b/>
                <w:sz w:val="21"/>
                <w:szCs w:val="21"/>
              </w:rPr>
            </w:pPr>
          </w:p>
        </w:tc>
        <w:tc>
          <w:tcPr>
            <w:tcW w:w="1099" w:type="dxa"/>
            <w:vAlign w:val="center"/>
          </w:tcPr>
          <w:p>
            <w:pPr>
              <w:spacing w:line="300" w:lineRule="exact"/>
              <w:ind w:firstLine="422"/>
              <w:jc w:val="right"/>
              <w:rPr>
                <w:rFonts w:hint="eastAsia" w:ascii="仿宋_GB2312" w:hAnsi="仿宋_GB2312" w:cs="仿宋_GB2312"/>
                <w:b/>
                <w:sz w:val="21"/>
                <w:szCs w:val="21"/>
              </w:rPr>
            </w:pPr>
          </w:p>
        </w:tc>
        <w:tc>
          <w:tcPr>
            <w:tcW w:w="974" w:type="dxa"/>
            <w:vAlign w:val="center"/>
          </w:tcPr>
          <w:p>
            <w:pPr>
              <w:spacing w:line="300" w:lineRule="exact"/>
              <w:ind w:firstLine="422"/>
              <w:jc w:val="left"/>
              <w:rPr>
                <w:rFonts w:hint="eastAsia" w:ascii="仿宋_GB2312" w:hAnsi="仿宋_GB2312" w:cs="仿宋_GB2312"/>
                <w:b/>
                <w:sz w:val="21"/>
                <w:szCs w:val="21"/>
              </w:rPr>
            </w:pPr>
          </w:p>
        </w:tc>
        <w:tc>
          <w:tcPr>
            <w:tcW w:w="986" w:type="dxa"/>
            <w:vAlign w:val="center"/>
          </w:tcPr>
          <w:p>
            <w:pPr>
              <w:spacing w:line="300" w:lineRule="exact"/>
              <w:ind w:firstLine="422"/>
              <w:jc w:val="left"/>
              <w:rPr>
                <w:rFonts w:hint="eastAsia" w:ascii="仿宋_GB2312" w:hAnsi="仿宋_GB2312" w:cs="仿宋_GB2312"/>
                <w:b/>
                <w:sz w:val="21"/>
                <w:szCs w:val="21"/>
              </w:rPr>
            </w:pPr>
          </w:p>
        </w:tc>
        <w:tc>
          <w:tcPr>
            <w:tcW w:w="760" w:type="dxa"/>
            <w:vAlign w:val="center"/>
          </w:tcPr>
          <w:p>
            <w:pPr>
              <w:spacing w:line="300" w:lineRule="exact"/>
              <w:ind w:firstLine="422"/>
              <w:jc w:val="left"/>
              <w:rPr>
                <w:rFonts w:hint="eastAsia" w:ascii="仿宋_GB2312" w:hAnsi="仿宋_GB2312" w:cs="仿宋_GB2312"/>
                <w:b/>
                <w:sz w:val="21"/>
                <w:szCs w:val="21"/>
              </w:rPr>
            </w:pPr>
          </w:p>
        </w:tc>
        <w:tc>
          <w:tcPr>
            <w:tcW w:w="760" w:type="dxa"/>
            <w:vAlign w:val="center"/>
          </w:tcPr>
          <w:p>
            <w:pPr>
              <w:spacing w:line="300" w:lineRule="exact"/>
              <w:ind w:firstLine="422"/>
              <w:jc w:val="right"/>
              <w:rPr>
                <w:rFonts w:hint="eastAsia" w:ascii="仿宋_GB2312" w:hAnsi="仿宋_GB2312" w:cs="仿宋_GB2312"/>
                <w:b/>
                <w:sz w:val="21"/>
                <w:szCs w:val="21"/>
              </w:rPr>
            </w:pPr>
          </w:p>
        </w:tc>
        <w:tc>
          <w:tcPr>
            <w:tcW w:w="848" w:type="dxa"/>
            <w:vAlign w:val="center"/>
          </w:tcPr>
          <w:p>
            <w:pPr>
              <w:spacing w:line="300" w:lineRule="exact"/>
              <w:ind w:firstLine="422"/>
              <w:jc w:val="right"/>
              <w:rPr>
                <w:rFonts w:hint="eastAsia" w:ascii="仿宋_GB2312" w:hAnsi="仿宋_GB2312" w:cs="仿宋_GB2312"/>
                <w:b/>
                <w:sz w:val="21"/>
                <w:szCs w:val="21"/>
              </w:rPr>
            </w:pPr>
          </w:p>
        </w:tc>
        <w:tc>
          <w:tcPr>
            <w:tcW w:w="961" w:type="dxa"/>
            <w:vAlign w:val="center"/>
          </w:tcPr>
          <w:p>
            <w:pPr>
              <w:spacing w:line="300" w:lineRule="exact"/>
              <w:ind w:firstLine="0" w:firstLineChars="0"/>
              <w:jc w:val="center"/>
              <w:rPr>
                <w:rFonts w:hint="eastAsia" w:ascii="仿宋_GB2312" w:hAnsi="仿宋_GB2312" w:cs="仿宋_GB2312"/>
                <w:b/>
                <w:sz w:val="21"/>
                <w:szCs w:val="21"/>
              </w:rPr>
            </w:pPr>
          </w:p>
        </w:tc>
        <w:tc>
          <w:tcPr>
            <w:tcW w:w="961" w:type="dxa"/>
            <w:vAlign w:val="center"/>
          </w:tcPr>
          <w:p>
            <w:pPr>
              <w:spacing w:line="300" w:lineRule="exact"/>
              <w:ind w:firstLine="0" w:firstLineChars="0"/>
              <w:jc w:val="center"/>
              <w:rPr>
                <w:rFonts w:hint="eastAsia" w:ascii="仿宋_GB2312" w:hAnsi="仿宋_GB2312" w:cs="仿宋_GB2312"/>
                <w:b/>
                <w:sz w:val="21"/>
                <w:szCs w:val="21"/>
              </w:rPr>
            </w:pPr>
          </w:p>
        </w:tc>
        <w:tc>
          <w:tcPr>
            <w:tcW w:w="961" w:type="dxa"/>
            <w:vAlign w:val="center"/>
          </w:tcPr>
          <w:p>
            <w:pPr>
              <w:spacing w:line="300" w:lineRule="exact"/>
              <w:ind w:firstLine="0" w:firstLineChars="0"/>
              <w:rPr>
                <w:rFonts w:hint="eastAsia" w:ascii="仿宋_GB2312" w:hAnsi="仿宋_GB2312" w:cs="仿宋_GB2312"/>
                <w:b/>
                <w:sz w:val="21"/>
                <w:szCs w:val="21"/>
              </w:rPr>
            </w:pPr>
          </w:p>
        </w:tc>
        <w:tc>
          <w:tcPr>
            <w:tcW w:w="961" w:type="dxa"/>
            <w:vAlign w:val="center"/>
          </w:tcPr>
          <w:p>
            <w:pPr>
              <w:spacing w:line="300" w:lineRule="exact"/>
              <w:ind w:firstLine="422"/>
              <w:jc w:val="right"/>
              <w:rPr>
                <w:rFonts w:hint="eastAsia" w:ascii="仿宋_GB2312" w:hAnsi="仿宋_GB2312" w:cs="仿宋_GB2312"/>
                <w:b/>
                <w:sz w:val="21"/>
                <w:szCs w:val="21"/>
              </w:rPr>
            </w:pPr>
          </w:p>
        </w:tc>
        <w:tc>
          <w:tcPr>
            <w:tcW w:w="964" w:type="dxa"/>
            <w:vAlign w:val="center"/>
          </w:tcPr>
          <w:p>
            <w:pPr>
              <w:spacing w:line="300" w:lineRule="exact"/>
              <w:ind w:firstLine="422"/>
              <w:jc w:val="right"/>
              <w:rPr>
                <w:rFonts w:hint="eastAsia" w:ascii="仿宋_GB2312" w:hAnsi="仿宋_GB2312" w:cs="仿宋_GB2312"/>
                <w:b/>
                <w:sz w:val="21"/>
                <w:szCs w:val="21"/>
              </w:rPr>
            </w:pPr>
          </w:p>
        </w:tc>
        <w:tc>
          <w:tcPr>
            <w:tcW w:w="964" w:type="dxa"/>
            <w:vAlign w:val="center"/>
          </w:tcPr>
          <w:p>
            <w:pPr>
              <w:spacing w:line="300" w:lineRule="exact"/>
              <w:ind w:firstLine="422"/>
              <w:jc w:val="right"/>
              <w:rPr>
                <w:rFonts w:hint="eastAsia" w:ascii="仿宋_GB2312" w:hAnsi="仿宋_GB2312" w:cs="仿宋_GB2312"/>
                <w:b/>
                <w:sz w:val="21"/>
                <w:szCs w:val="21"/>
              </w:rPr>
            </w:pPr>
          </w:p>
        </w:tc>
        <w:tc>
          <w:tcPr>
            <w:tcW w:w="921" w:type="dxa"/>
            <w:vAlign w:val="center"/>
          </w:tcPr>
          <w:p>
            <w:pPr>
              <w:spacing w:line="300" w:lineRule="exact"/>
              <w:ind w:firstLine="422"/>
              <w:jc w:val="right"/>
              <w:rPr>
                <w:rFonts w:hint="eastAsia" w:ascii="仿宋_GB2312" w:hAnsi="仿宋_GB2312" w:cs="仿宋_GB2312"/>
                <w:b/>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2448" w:type="dxa"/>
            <w:vAlign w:val="center"/>
          </w:tcPr>
          <w:p>
            <w:pPr>
              <w:spacing w:line="300" w:lineRule="exact"/>
              <w:ind w:firstLine="422"/>
              <w:jc w:val="both"/>
              <w:rPr>
                <w:rFonts w:hint="eastAsia" w:ascii="仿宋_GB2312" w:hAnsi="仿宋_GB2312" w:cs="仿宋_GB2312"/>
                <w:b/>
                <w:sz w:val="21"/>
                <w:szCs w:val="21"/>
              </w:rPr>
            </w:pPr>
          </w:p>
        </w:tc>
        <w:tc>
          <w:tcPr>
            <w:tcW w:w="1099" w:type="dxa"/>
            <w:vAlign w:val="center"/>
          </w:tcPr>
          <w:p>
            <w:pPr>
              <w:spacing w:line="300" w:lineRule="exact"/>
              <w:ind w:firstLine="422"/>
              <w:jc w:val="right"/>
              <w:rPr>
                <w:rFonts w:hint="eastAsia" w:ascii="仿宋_GB2312" w:hAnsi="仿宋_GB2312" w:cs="仿宋_GB2312"/>
                <w:b/>
                <w:sz w:val="21"/>
                <w:szCs w:val="21"/>
              </w:rPr>
            </w:pPr>
          </w:p>
        </w:tc>
        <w:tc>
          <w:tcPr>
            <w:tcW w:w="974" w:type="dxa"/>
            <w:vAlign w:val="center"/>
          </w:tcPr>
          <w:p>
            <w:pPr>
              <w:spacing w:line="300" w:lineRule="exact"/>
              <w:ind w:firstLine="422"/>
              <w:jc w:val="left"/>
              <w:rPr>
                <w:rFonts w:hint="eastAsia" w:ascii="仿宋_GB2312" w:hAnsi="仿宋_GB2312" w:cs="仿宋_GB2312"/>
                <w:b/>
                <w:sz w:val="21"/>
                <w:szCs w:val="21"/>
              </w:rPr>
            </w:pPr>
          </w:p>
        </w:tc>
        <w:tc>
          <w:tcPr>
            <w:tcW w:w="986" w:type="dxa"/>
            <w:vAlign w:val="center"/>
          </w:tcPr>
          <w:p>
            <w:pPr>
              <w:spacing w:line="300" w:lineRule="exact"/>
              <w:ind w:firstLine="422"/>
              <w:jc w:val="left"/>
              <w:rPr>
                <w:rFonts w:hint="eastAsia" w:ascii="仿宋_GB2312" w:hAnsi="仿宋_GB2312" w:cs="仿宋_GB2312"/>
                <w:b/>
                <w:sz w:val="21"/>
                <w:szCs w:val="21"/>
              </w:rPr>
            </w:pPr>
          </w:p>
        </w:tc>
        <w:tc>
          <w:tcPr>
            <w:tcW w:w="760" w:type="dxa"/>
            <w:vAlign w:val="center"/>
          </w:tcPr>
          <w:p>
            <w:pPr>
              <w:spacing w:line="300" w:lineRule="exact"/>
              <w:ind w:firstLine="422"/>
              <w:jc w:val="left"/>
              <w:rPr>
                <w:rFonts w:hint="eastAsia" w:ascii="仿宋_GB2312" w:hAnsi="仿宋_GB2312" w:cs="仿宋_GB2312"/>
                <w:b/>
                <w:sz w:val="21"/>
                <w:szCs w:val="21"/>
              </w:rPr>
            </w:pPr>
          </w:p>
        </w:tc>
        <w:tc>
          <w:tcPr>
            <w:tcW w:w="760" w:type="dxa"/>
            <w:vAlign w:val="center"/>
          </w:tcPr>
          <w:p>
            <w:pPr>
              <w:spacing w:line="300" w:lineRule="exact"/>
              <w:ind w:firstLine="422"/>
              <w:jc w:val="right"/>
              <w:rPr>
                <w:rFonts w:hint="eastAsia" w:ascii="仿宋_GB2312" w:hAnsi="仿宋_GB2312" w:cs="仿宋_GB2312"/>
                <w:b/>
                <w:sz w:val="21"/>
                <w:szCs w:val="21"/>
              </w:rPr>
            </w:pPr>
          </w:p>
        </w:tc>
        <w:tc>
          <w:tcPr>
            <w:tcW w:w="848" w:type="dxa"/>
            <w:vAlign w:val="center"/>
          </w:tcPr>
          <w:p>
            <w:pPr>
              <w:spacing w:line="300" w:lineRule="exact"/>
              <w:ind w:firstLine="422"/>
              <w:jc w:val="right"/>
              <w:rPr>
                <w:rFonts w:hint="eastAsia" w:ascii="仿宋_GB2312" w:hAnsi="仿宋_GB2312" w:cs="仿宋_GB2312"/>
                <w:b/>
                <w:sz w:val="21"/>
                <w:szCs w:val="21"/>
              </w:rPr>
            </w:pPr>
          </w:p>
        </w:tc>
        <w:tc>
          <w:tcPr>
            <w:tcW w:w="961" w:type="dxa"/>
            <w:vAlign w:val="center"/>
          </w:tcPr>
          <w:p>
            <w:pPr>
              <w:spacing w:line="300" w:lineRule="exact"/>
              <w:ind w:firstLine="0" w:firstLineChars="0"/>
              <w:jc w:val="center"/>
              <w:rPr>
                <w:rFonts w:hint="eastAsia" w:ascii="仿宋_GB2312" w:hAnsi="仿宋_GB2312" w:cs="仿宋_GB2312"/>
                <w:b/>
                <w:sz w:val="21"/>
                <w:szCs w:val="21"/>
              </w:rPr>
            </w:pPr>
          </w:p>
        </w:tc>
        <w:tc>
          <w:tcPr>
            <w:tcW w:w="961" w:type="dxa"/>
            <w:vAlign w:val="center"/>
          </w:tcPr>
          <w:p>
            <w:pPr>
              <w:spacing w:line="300" w:lineRule="exact"/>
              <w:ind w:firstLine="0" w:firstLineChars="0"/>
              <w:jc w:val="both"/>
              <w:rPr>
                <w:rFonts w:hint="eastAsia" w:ascii="仿宋_GB2312" w:hAnsi="仿宋_GB2312" w:cs="仿宋_GB2312"/>
                <w:b/>
                <w:sz w:val="21"/>
                <w:szCs w:val="21"/>
              </w:rPr>
            </w:pPr>
          </w:p>
        </w:tc>
        <w:tc>
          <w:tcPr>
            <w:tcW w:w="961" w:type="dxa"/>
            <w:vAlign w:val="center"/>
          </w:tcPr>
          <w:p>
            <w:pPr>
              <w:spacing w:line="300" w:lineRule="exact"/>
              <w:ind w:firstLine="0" w:firstLineChars="0"/>
              <w:rPr>
                <w:rFonts w:hint="eastAsia" w:ascii="仿宋_GB2312" w:hAnsi="仿宋_GB2312" w:cs="仿宋_GB2312"/>
                <w:b/>
                <w:sz w:val="21"/>
                <w:szCs w:val="21"/>
              </w:rPr>
            </w:pPr>
          </w:p>
        </w:tc>
        <w:tc>
          <w:tcPr>
            <w:tcW w:w="961" w:type="dxa"/>
            <w:vAlign w:val="center"/>
          </w:tcPr>
          <w:p>
            <w:pPr>
              <w:spacing w:line="300" w:lineRule="exact"/>
              <w:ind w:firstLine="422"/>
              <w:jc w:val="right"/>
              <w:rPr>
                <w:rFonts w:hint="eastAsia" w:ascii="仿宋_GB2312" w:hAnsi="仿宋_GB2312" w:cs="仿宋_GB2312"/>
                <w:b/>
                <w:sz w:val="21"/>
                <w:szCs w:val="21"/>
              </w:rPr>
            </w:pPr>
          </w:p>
        </w:tc>
        <w:tc>
          <w:tcPr>
            <w:tcW w:w="964" w:type="dxa"/>
            <w:vAlign w:val="center"/>
          </w:tcPr>
          <w:p>
            <w:pPr>
              <w:spacing w:line="300" w:lineRule="exact"/>
              <w:ind w:firstLine="422"/>
              <w:jc w:val="right"/>
              <w:rPr>
                <w:rFonts w:hint="eastAsia" w:ascii="仿宋_GB2312" w:hAnsi="仿宋_GB2312" w:cs="仿宋_GB2312"/>
                <w:b/>
                <w:sz w:val="21"/>
                <w:szCs w:val="21"/>
              </w:rPr>
            </w:pPr>
          </w:p>
        </w:tc>
        <w:tc>
          <w:tcPr>
            <w:tcW w:w="964" w:type="dxa"/>
            <w:vAlign w:val="center"/>
          </w:tcPr>
          <w:p>
            <w:pPr>
              <w:spacing w:line="300" w:lineRule="exact"/>
              <w:ind w:firstLine="422"/>
              <w:jc w:val="right"/>
              <w:rPr>
                <w:rFonts w:hint="eastAsia" w:ascii="仿宋_GB2312" w:hAnsi="仿宋_GB2312" w:cs="仿宋_GB2312"/>
                <w:b/>
                <w:sz w:val="21"/>
                <w:szCs w:val="21"/>
              </w:rPr>
            </w:pPr>
          </w:p>
        </w:tc>
        <w:tc>
          <w:tcPr>
            <w:tcW w:w="921" w:type="dxa"/>
            <w:vAlign w:val="center"/>
          </w:tcPr>
          <w:p>
            <w:pPr>
              <w:spacing w:line="300" w:lineRule="exact"/>
              <w:ind w:firstLine="422"/>
              <w:jc w:val="right"/>
              <w:rPr>
                <w:rFonts w:hint="eastAsia" w:ascii="仿宋_GB2312" w:hAnsi="仿宋_GB2312" w:cs="仿宋_GB2312"/>
                <w:b/>
                <w:sz w:val="21"/>
                <w:szCs w:val="21"/>
              </w:rPr>
            </w:pPr>
          </w:p>
        </w:tc>
      </w:tr>
    </w:tbl>
    <w:p>
      <w:pPr>
        <w:autoSpaceDE w:val="0"/>
        <w:autoSpaceDN w:val="0"/>
        <w:adjustRightInd w:val="0"/>
        <w:ind w:firstLine="420" w:firstLineChars="200"/>
        <w:jc w:val="left"/>
        <w:rPr>
          <w:rFonts w:hint="eastAsia" w:ascii="黑体" w:hAnsi="黑体" w:eastAsia="黑体" w:cs="Times New Roman"/>
          <w:sz w:val="32"/>
          <w:szCs w:val="32"/>
          <w:lang w:eastAsia="zh-CN"/>
        </w:rPr>
      </w:pPr>
      <w:r>
        <w:rPr>
          <w:rFonts w:hint="eastAsia" w:ascii="黑体" w:hAnsi="黑体" w:eastAsia="黑体"/>
          <w:szCs w:val="32"/>
          <w:lang w:eastAsia="zh-CN"/>
        </w:rPr>
        <w:t>注：我单位无政府采购，空表列示。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无极县水利局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1013.53</w:t>
      </w:r>
      <w:r>
        <w:rPr>
          <w:rFonts w:ascii="Times New Roman" w:hAnsi="Times New Roman" w:eastAsia="仿宋" w:cs="Times New Roman"/>
          <w:color w:val="000000"/>
          <w:sz w:val="32"/>
          <w:szCs w:val="32"/>
        </w:rPr>
        <w:t>万元（详见下表）</w:t>
      </w:r>
      <w:r>
        <w:rPr>
          <w:rFonts w:hint="eastAsia" w:ascii="Times New Roman" w:hAnsi="Times New Roman" w:eastAsia="仿宋" w:cs="Times New Roman"/>
          <w:color w:val="000000"/>
          <w:sz w:val="32"/>
          <w:szCs w:val="32"/>
          <w:lang w:val="en-US" w:eastAsia="zh-CN"/>
        </w:rPr>
        <w:t>。</w:t>
      </w:r>
    </w:p>
    <w:tbl>
      <w:tblPr>
        <w:tblStyle w:val="7"/>
        <w:tblW w:w="885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614"/>
        <w:gridCol w:w="2145"/>
        <w:gridCol w:w="30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8853"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eastAsia="宋体" w:cs="宋体"/>
                <w:b/>
                <w:bCs/>
                <w:color w:val="000000"/>
                <w:sz w:val="32"/>
                <w:szCs w:val="32"/>
                <w:lang w:eastAsia="zh-CN"/>
              </w:rPr>
              <w:t>无极县水利局</w:t>
            </w:r>
            <w:r>
              <w:rPr>
                <w:rFonts w:hint="eastAsia" w:ascii="宋体" w:hAnsi="宋体" w:cs="宋体"/>
                <w:b/>
                <w:bCs/>
                <w:kern w:val="0"/>
                <w:sz w:val="32"/>
                <w:szCs w:val="32"/>
              </w:rPr>
              <w:t>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75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sz w:val="22"/>
                <w:szCs w:val="22"/>
                <w:lang w:eastAsia="zh-CN"/>
              </w:rPr>
              <w:t>无极县水利局</w:t>
            </w:r>
          </w:p>
        </w:tc>
        <w:tc>
          <w:tcPr>
            <w:tcW w:w="3094"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14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09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14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09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1013.53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14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11095</w:t>
            </w:r>
          </w:p>
        </w:tc>
        <w:tc>
          <w:tcPr>
            <w:tcW w:w="309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797.99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14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4000</w:t>
            </w:r>
          </w:p>
        </w:tc>
        <w:tc>
          <w:tcPr>
            <w:tcW w:w="309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605.09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14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6</w:t>
            </w:r>
          </w:p>
        </w:tc>
        <w:tc>
          <w:tcPr>
            <w:tcW w:w="309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35.18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14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09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361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14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094"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180.36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3" w:right="1440" w:bottom="1803" w:left="1440"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1B6CAE"/>
    <w:rsid w:val="3ECF019C"/>
    <w:rsid w:val="4D053570"/>
    <w:rsid w:val="63E640D8"/>
    <w:rsid w:val="7863775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character" w:customStyle="1" w:styleId="10">
    <w:name w:val="页脚 Char"/>
    <w:link w:val="2"/>
    <w:semiHidden/>
    <w:uiPriority w:val="0"/>
    <w:rPr>
      <w:rFonts w:ascii="Times New Roman" w:hAnsi="Times New Roman" w:eastAsia="宋体" w:cs="Times New Roman"/>
      <w:sz w:val="18"/>
      <w:szCs w:val="18"/>
    </w:rPr>
  </w:style>
  <w:style w:type="character" w:customStyle="1" w:styleId="11">
    <w:name w:val="页眉 Char"/>
    <w:link w:val="3"/>
    <w:semiHidden/>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2024-06-20T14:48:56Z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BBF9C0F1FD7248B3A6E0AF521094C6DE</vt:lpwstr>
  </property>
</Properties>
</file>