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pStyle w:val="5"/>
        <w:tabs>
          <w:tab w:val="right" w:leader="dot" w:pos="14562"/>
        </w:tabs>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一、无极县东侯坊乡人民政府本级收支预算</w:t>
      </w:r>
      <w:r>
        <w:tab/>
      </w:r>
      <w:r>
        <w:rPr>
          <w:rFonts w:hint="eastAsia"/>
          <w:lang w:val="en-US" w:eastAsia="zh-CN"/>
        </w:rPr>
        <w:t>1</w:t>
      </w:r>
      <w:r>
        <w:fldChar w:fldCharType="end"/>
      </w:r>
    </w:p>
    <w:p>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一、无极县东侯坊乡人民政府本级收支预算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1397.93</w:t>
            </w:r>
          </w:p>
        </w:tc>
        <w:tc>
          <w:tcPr>
            <w:tcW w:w="4535" w:type="dxa"/>
            <w:vAlign w:val="center"/>
          </w:tcPr>
          <w:p>
            <w:pPr>
              <w:pStyle w:val="16"/>
            </w:pPr>
            <w:r>
              <w:t>一、一般公共服务支出</w:t>
            </w:r>
          </w:p>
        </w:tc>
        <w:tc>
          <w:tcPr>
            <w:tcW w:w="2126" w:type="dxa"/>
            <w:vAlign w:val="center"/>
          </w:tcPr>
          <w:p>
            <w:pPr>
              <w:pStyle w:val="15"/>
            </w:pPr>
            <w:r>
              <w:t>1308.23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1397.93</w:t>
            </w:r>
          </w:p>
        </w:tc>
        <w:tc>
          <w:tcPr>
            <w:tcW w:w="4535" w:type="dxa"/>
            <w:vAlign w:val="center"/>
          </w:tcPr>
          <w:p>
            <w:pPr>
              <w:pStyle w:val="18"/>
            </w:pPr>
            <w:r>
              <w:t>本年支出合计</w:t>
            </w:r>
          </w:p>
        </w:tc>
        <w:tc>
          <w:tcPr>
            <w:tcW w:w="2126" w:type="dxa"/>
            <w:vAlign w:val="center"/>
          </w:tcPr>
          <w:p>
            <w:pPr>
              <w:pStyle w:val="19"/>
            </w:pPr>
            <w:r>
              <w:t>1397.93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1397.93</w:t>
            </w:r>
          </w:p>
        </w:tc>
        <w:tc>
          <w:tcPr>
            <w:tcW w:w="4535" w:type="dxa"/>
            <w:vAlign w:val="center"/>
          </w:tcPr>
          <w:p>
            <w:pPr>
              <w:pStyle w:val="18"/>
            </w:pPr>
            <w:r>
              <w:t>支出总计</w:t>
            </w:r>
          </w:p>
        </w:tc>
        <w:tc>
          <w:tcPr>
            <w:tcW w:w="2126" w:type="dxa"/>
            <w:vAlign w:val="center"/>
          </w:tcPr>
          <w:p>
            <w:pPr>
              <w:pStyle w:val="19"/>
            </w:pPr>
            <w:r>
              <w:t>1397.93</w:t>
            </w:r>
          </w:p>
        </w:tc>
      </w:tr>
    </w:tbl>
    <w:p>
      <w:pPr>
        <w:sectPr>
          <w:footerReference r:id="rId6" w:type="default"/>
          <w:footerReference r:id="rId7"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1397.93</w:t>
            </w:r>
          </w:p>
        </w:tc>
        <w:tc>
          <w:tcPr>
            <w:tcW w:w="1134" w:type="dxa"/>
            <w:vAlign w:val="center"/>
          </w:tcPr>
          <w:p>
            <w:pPr>
              <w:pStyle w:val="19"/>
            </w:pPr>
            <w:r>
              <w:t>1397.93</w:t>
            </w:r>
          </w:p>
        </w:tc>
        <w:tc>
          <w:tcPr>
            <w:tcW w:w="1134" w:type="dxa"/>
            <w:vAlign w:val="center"/>
          </w:tcPr>
          <w:p>
            <w:pPr>
              <w:pStyle w:val="19"/>
            </w:pPr>
            <w:r>
              <w:t>1397.93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r>
              <w:t>1308.23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1211.23</w:t>
            </w:r>
          </w:p>
        </w:tc>
        <w:tc>
          <w:tcPr>
            <w:tcW w:w="1134" w:type="dxa"/>
            <w:vAlign w:val="center"/>
          </w:tcPr>
          <w:p>
            <w:pPr>
              <w:pStyle w:val="15"/>
            </w:pPr>
            <w:r>
              <w:t>1211.23</w:t>
            </w:r>
          </w:p>
        </w:tc>
        <w:tc>
          <w:tcPr>
            <w:tcW w:w="1134" w:type="dxa"/>
            <w:vAlign w:val="center"/>
          </w:tcPr>
          <w:p>
            <w:pPr>
              <w:pStyle w:val="15"/>
            </w:pPr>
            <w:r>
              <w:t>1211.23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2010304</w:t>
            </w:r>
          </w:p>
        </w:tc>
        <w:tc>
          <w:tcPr>
            <w:tcW w:w="1559" w:type="dxa"/>
            <w:vAlign w:val="center"/>
          </w:tcPr>
          <w:p>
            <w:pPr>
              <w:pStyle w:val="16"/>
            </w:pPr>
            <w:r>
              <w:t>专项服务</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r>
              <w:t>97.00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r>
              <w:t>59.00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r>
              <w:t>30.70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1397.93</w:t>
            </w:r>
          </w:p>
        </w:tc>
        <w:tc>
          <w:tcPr>
            <w:tcW w:w="1361" w:type="dxa"/>
            <w:vAlign w:val="center"/>
          </w:tcPr>
          <w:p>
            <w:pPr>
              <w:pStyle w:val="19"/>
            </w:pPr>
            <w:r>
              <w:t>1300.93</w:t>
            </w:r>
          </w:p>
        </w:tc>
        <w:tc>
          <w:tcPr>
            <w:tcW w:w="1361" w:type="dxa"/>
            <w:vAlign w:val="center"/>
          </w:tcPr>
          <w:p>
            <w:pPr>
              <w:pStyle w:val="19"/>
            </w:pPr>
            <w:r>
              <w:t>97.00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1308.23</w:t>
            </w:r>
          </w:p>
        </w:tc>
        <w:tc>
          <w:tcPr>
            <w:tcW w:w="1361" w:type="dxa"/>
            <w:vAlign w:val="center"/>
          </w:tcPr>
          <w:p>
            <w:pPr>
              <w:pStyle w:val="15"/>
            </w:pPr>
            <w:r>
              <w:t>1211.23</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1308.23</w:t>
            </w:r>
          </w:p>
        </w:tc>
        <w:tc>
          <w:tcPr>
            <w:tcW w:w="1361" w:type="dxa"/>
            <w:vAlign w:val="center"/>
          </w:tcPr>
          <w:p>
            <w:pPr>
              <w:pStyle w:val="15"/>
            </w:pPr>
            <w:r>
              <w:t>1211.23</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1211.23</w:t>
            </w:r>
          </w:p>
        </w:tc>
        <w:tc>
          <w:tcPr>
            <w:tcW w:w="1361" w:type="dxa"/>
            <w:vAlign w:val="center"/>
          </w:tcPr>
          <w:p>
            <w:pPr>
              <w:pStyle w:val="15"/>
            </w:pPr>
            <w:r>
              <w:t>1211.23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2010304</w:t>
            </w:r>
          </w:p>
        </w:tc>
        <w:tc>
          <w:tcPr>
            <w:tcW w:w="4535" w:type="dxa"/>
            <w:vAlign w:val="center"/>
          </w:tcPr>
          <w:p>
            <w:pPr>
              <w:pStyle w:val="16"/>
            </w:pPr>
            <w:r>
              <w:t>专项服务</w:t>
            </w: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r>
              <w:t>97.00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59.00</w:t>
            </w:r>
          </w:p>
        </w:tc>
        <w:tc>
          <w:tcPr>
            <w:tcW w:w="1361" w:type="dxa"/>
            <w:vAlign w:val="center"/>
          </w:tcPr>
          <w:p>
            <w:pPr>
              <w:pStyle w:val="15"/>
            </w:pPr>
            <w:r>
              <w:t>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59.00</w:t>
            </w:r>
          </w:p>
        </w:tc>
        <w:tc>
          <w:tcPr>
            <w:tcW w:w="1361" w:type="dxa"/>
            <w:vAlign w:val="center"/>
          </w:tcPr>
          <w:p>
            <w:pPr>
              <w:pStyle w:val="15"/>
            </w:pPr>
            <w:r>
              <w:t>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59.00</w:t>
            </w:r>
          </w:p>
        </w:tc>
        <w:tc>
          <w:tcPr>
            <w:tcW w:w="1361" w:type="dxa"/>
            <w:vAlign w:val="center"/>
          </w:tcPr>
          <w:p>
            <w:pPr>
              <w:pStyle w:val="15"/>
            </w:pPr>
            <w:r>
              <w:t>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30.70</w:t>
            </w:r>
          </w:p>
        </w:tc>
        <w:tc>
          <w:tcPr>
            <w:tcW w:w="1361" w:type="dxa"/>
            <w:vAlign w:val="center"/>
          </w:tcPr>
          <w:p>
            <w:pPr>
              <w:pStyle w:val="15"/>
            </w:pPr>
            <w:r>
              <w:t>30.70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30.70</w:t>
            </w:r>
          </w:p>
        </w:tc>
        <w:tc>
          <w:tcPr>
            <w:tcW w:w="1361" w:type="dxa"/>
            <w:vAlign w:val="center"/>
          </w:tcPr>
          <w:p>
            <w:pPr>
              <w:pStyle w:val="15"/>
            </w:pPr>
            <w:r>
              <w:t>30.70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30.70</w:t>
            </w:r>
          </w:p>
        </w:tc>
        <w:tc>
          <w:tcPr>
            <w:tcW w:w="1361" w:type="dxa"/>
            <w:vAlign w:val="center"/>
          </w:tcPr>
          <w:p>
            <w:pPr>
              <w:pStyle w:val="15"/>
            </w:pPr>
            <w:r>
              <w:t>30.70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1397.93</w:t>
            </w:r>
          </w:p>
        </w:tc>
        <w:tc>
          <w:tcPr>
            <w:tcW w:w="3402" w:type="dxa"/>
            <w:vAlign w:val="center"/>
          </w:tcPr>
          <w:p>
            <w:pPr>
              <w:pStyle w:val="16"/>
            </w:pPr>
            <w:r>
              <w:t>一、一般公共服务支出</w:t>
            </w:r>
          </w:p>
        </w:tc>
        <w:tc>
          <w:tcPr>
            <w:tcW w:w="1474" w:type="dxa"/>
            <w:vAlign w:val="center"/>
          </w:tcPr>
          <w:p>
            <w:pPr>
              <w:pStyle w:val="15"/>
            </w:pPr>
            <w:r>
              <w:t>1308.23</w:t>
            </w:r>
          </w:p>
        </w:tc>
        <w:tc>
          <w:tcPr>
            <w:tcW w:w="1474" w:type="dxa"/>
            <w:vAlign w:val="center"/>
          </w:tcPr>
          <w:p>
            <w:pPr>
              <w:pStyle w:val="15"/>
            </w:pPr>
            <w:r>
              <w:t>1308.23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59.00</w:t>
            </w:r>
          </w:p>
        </w:tc>
        <w:tc>
          <w:tcPr>
            <w:tcW w:w="1474" w:type="dxa"/>
            <w:vAlign w:val="center"/>
          </w:tcPr>
          <w:p>
            <w:pPr>
              <w:pStyle w:val="15"/>
            </w:pPr>
            <w:r>
              <w:t>59.00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30.70</w:t>
            </w:r>
          </w:p>
        </w:tc>
        <w:tc>
          <w:tcPr>
            <w:tcW w:w="1474" w:type="dxa"/>
            <w:vAlign w:val="center"/>
          </w:tcPr>
          <w:p>
            <w:pPr>
              <w:pStyle w:val="15"/>
            </w:pPr>
            <w:r>
              <w:t>30.70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1397.93</w:t>
            </w:r>
          </w:p>
        </w:tc>
        <w:tc>
          <w:tcPr>
            <w:tcW w:w="3402" w:type="dxa"/>
            <w:vAlign w:val="center"/>
          </w:tcPr>
          <w:p>
            <w:pPr>
              <w:pStyle w:val="18"/>
            </w:pPr>
            <w:r>
              <w:t>本年支出合计</w:t>
            </w:r>
          </w:p>
        </w:tc>
        <w:tc>
          <w:tcPr>
            <w:tcW w:w="1474" w:type="dxa"/>
            <w:vAlign w:val="center"/>
          </w:tcPr>
          <w:p>
            <w:pPr>
              <w:pStyle w:val="19"/>
            </w:pPr>
            <w:r>
              <w:t>1397.93</w:t>
            </w:r>
          </w:p>
        </w:tc>
        <w:tc>
          <w:tcPr>
            <w:tcW w:w="1474" w:type="dxa"/>
            <w:vAlign w:val="center"/>
          </w:tcPr>
          <w:p>
            <w:pPr>
              <w:pStyle w:val="19"/>
            </w:pPr>
            <w:r>
              <w:t>1397.93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1397.93</w:t>
            </w:r>
          </w:p>
        </w:tc>
        <w:tc>
          <w:tcPr>
            <w:tcW w:w="3402" w:type="dxa"/>
            <w:vAlign w:val="center"/>
          </w:tcPr>
          <w:p>
            <w:pPr>
              <w:pStyle w:val="18"/>
            </w:pPr>
            <w:r>
              <w:t>支出总计</w:t>
            </w:r>
          </w:p>
        </w:tc>
        <w:tc>
          <w:tcPr>
            <w:tcW w:w="1474" w:type="dxa"/>
            <w:vAlign w:val="center"/>
          </w:tcPr>
          <w:p>
            <w:pPr>
              <w:pStyle w:val="19"/>
            </w:pPr>
            <w:r>
              <w:t>1397.93</w:t>
            </w:r>
          </w:p>
        </w:tc>
        <w:tc>
          <w:tcPr>
            <w:tcW w:w="1474" w:type="dxa"/>
            <w:vAlign w:val="center"/>
          </w:tcPr>
          <w:p>
            <w:pPr>
              <w:pStyle w:val="19"/>
            </w:pPr>
            <w:r>
              <w:t>1397.93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1397.93</w:t>
            </w:r>
          </w:p>
        </w:tc>
        <w:tc>
          <w:tcPr>
            <w:tcW w:w="2551" w:type="dxa"/>
            <w:vAlign w:val="center"/>
          </w:tcPr>
          <w:p>
            <w:pPr>
              <w:pStyle w:val="19"/>
            </w:pPr>
            <w:r>
              <w:t>1300.93</w:t>
            </w:r>
          </w:p>
        </w:tc>
        <w:tc>
          <w:tcPr>
            <w:tcW w:w="2551" w:type="dxa"/>
            <w:vAlign w:val="center"/>
          </w:tcPr>
          <w:p>
            <w:pPr>
              <w:pStyle w:val="19"/>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1308.23</w:t>
            </w:r>
          </w:p>
        </w:tc>
        <w:tc>
          <w:tcPr>
            <w:tcW w:w="2551" w:type="dxa"/>
            <w:vAlign w:val="center"/>
          </w:tcPr>
          <w:p>
            <w:pPr>
              <w:pStyle w:val="15"/>
            </w:pPr>
            <w:r>
              <w:t>1211.23</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1308.23</w:t>
            </w:r>
          </w:p>
        </w:tc>
        <w:tc>
          <w:tcPr>
            <w:tcW w:w="2551" w:type="dxa"/>
            <w:vAlign w:val="center"/>
          </w:tcPr>
          <w:p>
            <w:pPr>
              <w:pStyle w:val="15"/>
            </w:pPr>
            <w:r>
              <w:t>1211.23</w:t>
            </w: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1211.23</w:t>
            </w:r>
          </w:p>
        </w:tc>
        <w:tc>
          <w:tcPr>
            <w:tcW w:w="2551" w:type="dxa"/>
            <w:vAlign w:val="center"/>
          </w:tcPr>
          <w:p>
            <w:pPr>
              <w:pStyle w:val="15"/>
            </w:pPr>
            <w:r>
              <w:t>1211.23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2010304</w:t>
            </w:r>
          </w:p>
        </w:tc>
        <w:tc>
          <w:tcPr>
            <w:tcW w:w="4535" w:type="dxa"/>
            <w:vAlign w:val="center"/>
          </w:tcPr>
          <w:p>
            <w:pPr>
              <w:pStyle w:val="16"/>
            </w:pPr>
            <w:r>
              <w:t>专项服务</w:t>
            </w:r>
          </w:p>
        </w:tc>
        <w:tc>
          <w:tcPr>
            <w:tcW w:w="2551" w:type="dxa"/>
            <w:vAlign w:val="center"/>
          </w:tcPr>
          <w:p>
            <w:pPr>
              <w:pStyle w:val="15"/>
            </w:pPr>
            <w:r>
              <w:t>97.00</w:t>
            </w:r>
          </w:p>
        </w:tc>
        <w:tc>
          <w:tcPr>
            <w:tcW w:w="2551" w:type="dxa"/>
            <w:vAlign w:val="center"/>
          </w:tcPr>
          <w:p>
            <w:pPr>
              <w:pStyle w:val="15"/>
            </w:pPr>
          </w:p>
        </w:tc>
        <w:tc>
          <w:tcPr>
            <w:tcW w:w="2551"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1300.93</w:t>
            </w:r>
          </w:p>
        </w:tc>
        <w:tc>
          <w:tcPr>
            <w:tcW w:w="2551" w:type="dxa"/>
            <w:vAlign w:val="center"/>
          </w:tcPr>
          <w:p>
            <w:pPr>
              <w:pStyle w:val="19"/>
            </w:pPr>
            <w:r>
              <w:t>745.93</w:t>
            </w:r>
          </w:p>
        </w:tc>
        <w:tc>
          <w:tcPr>
            <w:tcW w:w="2551" w:type="dxa"/>
            <w:vAlign w:val="center"/>
          </w:tcPr>
          <w:p>
            <w:pPr>
              <w:pStyle w:val="19"/>
            </w:pPr>
            <w:r>
              <w:t>555.00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736.61</w:t>
            </w:r>
          </w:p>
        </w:tc>
        <w:tc>
          <w:tcPr>
            <w:tcW w:w="2551" w:type="dxa"/>
            <w:vAlign w:val="center"/>
          </w:tcPr>
          <w:p>
            <w:pPr>
              <w:pStyle w:val="15"/>
            </w:pPr>
            <w:r>
              <w:t>736.61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293.00</w:t>
            </w:r>
          </w:p>
        </w:tc>
        <w:tc>
          <w:tcPr>
            <w:tcW w:w="2551" w:type="dxa"/>
            <w:vAlign w:val="center"/>
          </w:tcPr>
          <w:p>
            <w:pPr>
              <w:pStyle w:val="15"/>
            </w:pPr>
            <w:r>
              <w:t>293.00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148.73</w:t>
            </w:r>
          </w:p>
        </w:tc>
        <w:tc>
          <w:tcPr>
            <w:tcW w:w="2551" w:type="dxa"/>
            <w:vAlign w:val="center"/>
          </w:tcPr>
          <w:p>
            <w:pPr>
              <w:pStyle w:val="15"/>
            </w:pPr>
            <w:r>
              <w:t>148.73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134.73</w:t>
            </w:r>
          </w:p>
        </w:tc>
        <w:tc>
          <w:tcPr>
            <w:tcW w:w="2551" w:type="dxa"/>
            <w:vAlign w:val="center"/>
          </w:tcPr>
          <w:p>
            <w:pPr>
              <w:pStyle w:val="15"/>
            </w:pPr>
            <w:r>
              <w:t>134.73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67.60</w:t>
            </w:r>
          </w:p>
        </w:tc>
        <w:tc>
          <w:tcPr>
            <w:tcW w:w="2551" w:type="dxa"/>
            <w:vAlign w:val="center"/>
          </w:tcPr>
          <w:p>
            <w:pPr>
              <w:pStyle w:val="15"/>
            </w:pPr>
            <w:r>
              <w:t>67.60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59.00</w:t>
            </w:r>
          </w:p>
        </w:tc>
        <w:tc>
          <w:tcPr>
            <w:tcW w:w="2551" w:type="dxa"/>
            <w:vAlign w:val="center"/>
          </w:tcPr>
          <w:p>
            <w:pPr>
              <w:pStyle w:val="15"/>
            </w:pPr>
            <w:r>
              <w:t>59.00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30.70</w:t>
            </w:r>
          </w:p>
        </w:tc>
        <w:tc>
          <w:tcPr>
            <w:tcW w:w="2551" w:type="dxa"/>
            <w:vAlign w:val="center"/>
          </w:tcPr>
          <w:p>
            <w:pPr>
              <w:pStyle w:val="15"/>
            </w:pPr>
            <w:r>
              <w:t>30.70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2.85</w:t>
            </w:r>
          </w:p>
        </w:tc>
        <w:tc>
          <w:tcPr>
            <w:tcW w:w="2551" w:type="dxa"/>
            <w:vAlign w:val="center"/>
          </w:tcPr>
          <w:p>
            <w:pPr>
              <w:pStyle w:val="15"/>
            </w:pPr>
            <w:r>
              <w:t>2.85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555.00</w:t>
            </w:r>
          </w:p>
        </w:tc>
        <w:tc>
          <w:tcPr>
            <w:tcW w:w="2551" w:type="dxa"/>
            <w:vAlign w:val="center"/>
          </w:tcPr>
          <w:p>
            <w:pPr>
              <w:pStyle w:val="15"/>
            </w:pPr>
          </w:p>
        </w:tc>
        <w:tc>
          <w:tcPr>
            <w:tcW w:w="2551" w:type="dxa"/>
            <w:vAlign w:val="center"/>
          </w:tcPr>
          <w:p>
            <w:pPr>
              <w:pStyle w:val="15"/>
            </w:pPr>
            <w:r>
              <w:t>555.00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496.00</w:t>
            </w:r>
          </w:p>
        </w:tc>
        <w:tc>
          <w:tcPr>
            <w:tcW w:w="2551" w:type="dxa"/>
            <w:vAlign w:val="center"/>
          </w:tcPr>
          <w:p>
            <w:pPr>
              <w:pStyle w:val="15"/>
            </w:pPr>
          </w:p>
        </w:tc>
        <w:tc>
          <w:tcPr>
            <w:tcW w:w="2551" w:type="dxa"/>
            <w:vAlign w:val="center"/>
          </w:tcPr>
          <w:p>
            <w:pPr>
              <w:pStyle w:val="15"/>
            </w:pPr>
            <w:r>
              <w:t>496.00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29.00</w:t>
            </w:r>
          </w:p>
        </w:tc>
        <w:tc>
          <w:tcPr>
            <w:tcW w:w="2551" w:type="dxa"/>
            <w:vAlign w:val="center"/>
          </w:tcPr>
          <w:p>
            <w:pPr>
              <w:pStyle w:val="15"/>
            </w:pPr>
          </w:p>
        </w:tc>
        <w:tc>
          <w:tcPr>
            <w:tcW w:w="2551" w:type="dxa"/>
            <w:vAlign w:val="center"/>
          </w:tcPr>
          <w:p>
            <w:pPr>
              <w:pStyle w:val="15"/>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9.32</w:t>
            </w:r>
          </w:p>
        </w:tc>
        <w:tc>
          <w:tcPr>
            <w:tcW w:w="2551" w:type="dxa"/>
            <w:vAlign w:val="center"/>
          </w:tcPr>
          <w:p>
            <w:pPr>
              <w:pStyle w:val="15"/>
            </w:pPr>
            <w:r>
              <w:t>9.32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9.32</w:t>
            </w:r>
          </w:p>
        </w:tc>
        <w:tc>
          <w:tcPr>
            <w:tcW w:w="2551" w:type="dxa"/>
            <w:vAlign w:val="center"/>
          </w:tcPr>
          <w:p>
            <w:pPr>
              <w:pStyle w:val="15"/>
            </w:pPr>
            <w:r>
              <w:t>9.32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无极县东侯坊乡人民政府本级2022年单位预算信息公开情况说明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、《地方预决算公开操作规程》和《关于进一步推进预算公开工作的实施意见》规定，现将无极县东侯坊乡人民政府本级2022年单位预算公开如下：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29"/>
      </w:pPr>
      <w:r>
        <w:t>根据《东侯坊乡职能配置、内设机构和人员编制规定》， 东侯坊乡的主要职责是：</w:t>
      </w:r>
    </w:p>
    <w:p>
      <w:pPr>
        <w:pStyle w:val="29"/>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9"/>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9"/>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9"/>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9"/>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无极县东侯坊乡人民政府本级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30"/>
      </w:pPr>
      <w:r>
        <w:t>1、收入说明</w:t>
      </w:r>
    </w:p>
    <w:p>
      <w:pPr>
        <w:pStyle w:val="30"/>
      </w:pPr>
      <w:r>
        <w:t>反映本</w:t>
      </w:r>
      <w:r>
        <w:rPr>
          <w:rFonts w:hint="eastAsia"/>
          <w:lang w:val="en-US" w:eastAsia="zh-CN"/>
        </w:rPr>
        <w:t>单位</w:t>
      </w:r>
      <w:r>
        <w:t>当年全部收入。2022年预算收入1397.93万元，其中：一般公共预算收入1397.93万元，基金预算收入0万元，财政专户核拨收入0万元，其他来源收入0万元。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收支预算总表支出栏、基本支出表、项目支出表按经济分类和支出功能分类科目编制，反映年度</w:t>
      </w:r>
      <w:r>
        <w:rPr>
          <w:rFonts w:hint="eastAsia"/>
          <w:lang w:val="en-US" w:eastAsia="zh-CN"/>
        </w:rPr>
        <w:t>单位</w:t>
      </w:r>
      <w:r>
        <w:t>预算中支出预算的总体情况。2022年</w:t>
      </w:r>
      <w:r>
        <w:rPr>
          <w:rFonts w:hint="eastAsia"/>
          <w:lang w:val="en-US" w:eastAsia="zh-CN"/>
        </w:rPr>
        <w:t>单位</w:t>
      </w:r>
      <w:r>
        <w:t>支出预算为1397.93万元，其中基本支出1300.93万元，包括人员经费745.93万元和日常公用经费555.00万元；项目支出97.00万元。</w:t>
      </w:r>
    </w:p>
    <w:p>
      <w:pPr>
        <w:pStyle w:val="30"/>
      </w:pPr>
      <w:r>
        <w:t>3、比上年增减情况</w:t>
      </w:r>
    </w:p>
    <w:p>
      <w:pPr>
        <w:pStyle w:val="30"/>
      </w:pPr>
      <w:r>
        <w:t>2022年</w:t>
      </w:r>
      <w:r>
        <w:rPr>
          <w:rFonts w:hint="eastAsia"/>
          <w:lang w:val="en-US" w:eastAsia="zh-CN"/>
        </w:rPr>
        <w:t>单位</w:t>
      </w:r>
      <w:r>
        <w:t>预算收支安排1397.93万元，较2021年增加133.06万元，其中：基本支出增加389.86万元，主要是人员增加；项目支出减少256.8万元，主要是预算项目减少。</w:t>
      </w:r>
    </w:p>
    <w:p>
      <w:pPr>
        <w:pStyle w:val="31"/>
      </w:pPr>
      <w:r>
        <w:t>三、机关运行经费安排情况</w:t>
      </w:r>
    </w:p>
    <w:p>
      <w:pPr>
        <w:pStyle w:val="31"/>
      </w:pPr>
      <w:r>
        <w:t>2022年，我</w:t>
      </w:r>
      <w:r>
        <w:rPr>
          <w:rFonts w:hint="eastAsia"/>
          <w:lang w:val="en-US" w:eastAsia="zh-CN"/>
        </w:rPr>
        <w:t>单位</w:t>
      </w:r>
      <w:r>
        <w:t>机关运行经费共计安排555万元，主要用于保证机关正常运转的办公费及印刷费、邮电费、差旅费、水电费、取暖费、公务车运行维护费等支出。</w:t>
      </w:r>
    </w:p>
    <w:p>
      <w:pPr>
        <w:pStyle w:val="32"/>
      </w:pPr>
      <w:r>
        <w:t>四、财政拨款“三公”经费预算情况及增减变化原因</w:t>
      </w:r>
    </w:p>
    <w:p>
      <w:pPr>
        <w:pStyle w:val="32"/>
      </w:pPr>
      <w:r>
        <w:t>2022年，我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1、2022年东侯坊乡北朱村新建道路工程绩效目标表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1 .</w:t>
            </w:r>
            <w:r>
              <w:rPr>
                <w:rFonts w:hint="eastAsia"/>
              </w:rPr>
              <w:t>东侯坊乡北朱村新建道路工程完工。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工程完工率</w:t>
            </w:r>
          </w:p>
        </w:tc>
        <w:tc>
          <w:tcPr>
            <w:tcW w:w="2835" w:type="dxa"/>
            <w:vAlign w:val="center"/>
          </w:tcPr>
          <w:p>
            <w:pPr>
              <w:pStyle w:val="16"/>
            </w:pPr>
            <w:r>
              <w:t>工程施工进度工作量占工程完工总量的比率</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工程质量合格率</w:t>
            </w:r>
          </w:p>
        </w:tc>
        <w:tc>
          <w:tcPr>
            <w:tcW w:w="2835" w:type="dxa"/>
            <w:vAlign w:val="center"/>
          </w:tcPr>
          <w:p>
            <w:pPr>
              <w:pStyle w:val="16"/>
            </w:pPr>
            <w:r>
              <w:t>合格的工程数量占工程完工总量的比例</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项目按计划完工率</w:t>
            </w:r>
          </w:p>
        </w:tc>
        <w:tc>
          <w:tcPr>
            <w:tcW w:w="2835" w:type="dxa"/>
            <w:vAlign w:val="center"/>
          </w:tcPr>
          <w:p>
            <w:pPr>
              <w:pStyle w:val="16"/>
            </w:pPr>
            <w:r>
              <w:t>项目按计划完工情况</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超概算比例</w:t>
            </w:r>
          </w:p>
        </w:tc>
        <w:tc>
          <w:tcPr>
            <w:tcW w:w="2835" w:type="dxa"/>
            <w:vAlign w:val="center"/>
          </w:tcPr>
          <w:p>
            <w:pPr>
              <w:pStyle w:val="16"/>
            </w:pPr>
            <w:r>
              <w:t>超概算金额占概算的比例</w:t>
            </w:r>
          </w:p>
        </w:tc>
        <w:tc>
          <w:tcPr>
            <w:tcW w:w="2551" w:type="dxa"/>
            <w:vAlign w:val="center"/>
          </w:tcPr>
          <w:p>
            <w:pPr>
              <w:pStyle w:val="16"/>
            </w:pPr>
            <w:r>
              <w:t>≤5%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项目受益人数</w:t>
            </w:r>
          </w:p>
        </w:tc>
        <w:tc>
          <w:tcPr>
            <w:tcW w:w="2835" w:type="dxa"/>
            <w:vAlign w:val="center"/>
          </w:tcPr>
          <w:p>
            <w:pPr>
              <w:pStyle w:val="16"/>
            </w:pPr>
            <w:r>
              <w:t>项目受益人数</w:t>
            </w:r>
          </w:p>
        </w:tc>
        <w:tc>
          <w:tcPr>
            <w:tcW w:w="2551" w:type="dxa"/>
            <w:vAlign w:val="center"/>
          </w:tcPr>
          <w:p>
            <w:pPr>
              <w:pStyle w:val="16"/>
            </w:pPr>
            <w:r>
              <w:t>≥1000人</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建筑（设施）使用年限</w:t>
            </w:r>
          </w:p>
        </w:tc>
        <w:tc>
          <w:tcPr>
            <w:tcW w:w="2835" w:type="dxa"/>
            <w:vAlign w:val="center"/>
          </w:tcPr>
          <w:p>
            <w:pPr>
              <w:pStyle w:val="16"/>
            </w:pPr>
            <w:r>
              <w:t>建筑（设施）正常使用年限</w:t>
            </w:r>
          </w:p>
        </w:tc>
        <w:tc>
          <w:tcPr>
            <w:tcW w:w="2551" w:type="dxa"/>
            <w:vAlign w:val="center"/>
          </w:tcPr>
          <w:p>
            <w:pPr>
              <w:pStyle w:val="16"/>
            </w:pPr>
            <w:r>
              <w:t>≥10年</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受益群体满意程度</w:t>
            </w:r>
          </w:p>
        </w:tc>
        <w:tc>
          <w:tcPr>
            <w:tcW w:w="2551" w:type="dxa"/>
            <w:vAlign w:val="center"/>
          </w:tcPr>
          <w:p>
            <w:pPr>
              <w:pStyle w:val="16"/>
            </w:pPr>
            <w:r>
              <w:t>≥98%</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2022年，无极县东侯坊乡人民政府本级安排政府采购预算0.00万元。具体内容见下表。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无极县东侯坊乡人民政府本级上年末固定资产金额为156.00万元（详见下表）。本年度拟购置固定资产总额为0.00万元，已按要求列入政府采购预算，详见政府采购预算表。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937001无极县东侯坊乡人民政府本级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4000</w:t>
            </w:r>
          </w:p>
        </w:tc>
        <w:tc>
          <w:tcPr>
            <w:tcW w:w="2835" w:type="dxa"/>
            <w:vAlign w:val="center"/>
          </w:tcPr>
          <w:p>
            <w:pPr>
              <w:pStyle w:val="15"/>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3000</w:t>
            </w:r>
          </w:p>
        </w:tc>
        <w:tc>
          <w:tcPr>
            <w:tcW w:w="2835"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79C"/>
    <w:rsid w:val="000F49B9"/>
    <w:rsid w:val="00414FA0"/>
    <w:rsid w:val="004B760C"/>
    <w:rsid w:val="005F4E83"/>
    <w:rsid w:val="00650849"/>
    <w:rsid w:val="0098579C"/>
    <w:rsid w:val="00A573AE"/>
    <w:rsid w:val="00BD189A"/>
    <w:rsid w:val="00BE424B"/>
    <w:rsid w:val="05272CFE"/>
    <w:rsid w:val="053E58A8"/>
    <w:rsid w:val="2478340A"/>
    <w:rsid w:val="36121D73"/>
    <w:rsid w:val="5A80649B"/>
    <w:rsid w:val="64A52D6B"/>
    <w:rsid w:val="6C715127"/>
    <w:rsid w:val="77111F55"/>
    <w:rsid w:val="7E7675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2022-06-22T10:43:17Z</dcterms:created>
  <dcterms:modified xsi:type="dcterms:W3CDTF">2022-06-22T02:43:17Z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2022-06-22T10:43:17Z</dcterms:created>
  <dcterms:modified xsi:type="dcterms:W3CDTF">2022-06-22T02:43:17Z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2022-06-22T10:43:20Z</dcterms:created>
  <dcterms:modified xsi:type="dcterms:W3CDTF">2022-06-22T02:43:20Z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2022-06-22T10:43:17Z</dcterms:created>
  <dcterms:modified xsi:type="dcterms:W3CDTF">2022-06-22T02:43:17Z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2022-06-22T10:43:20Z</dcterms:created>
  <dcterms:modified xsi:type="dcterms:W3CDTF">2022-06-22T02:43:20Z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2022-06-22T10:43:18Z</dcterms:created>
  <dcterms:modified xsi:type="dcterms:W3CDTF">2022-06-22T02:43:18Z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2022-06-22T10:43:20Z</dcterms:created>
  <dcterms:modified xsi:type="dcterms:W3CDTF">2022-06-22T02:43:20Z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C649632-808F-4E25-9B73-5F673B2D625C}">
  <ds:schemaRefs/>
</ds:datastoreItem>
</file>

<file path=customXml/itemProps10.xml><?xml version="1.0" encoding="utf-8"?>
<ds:datastoreItem xmlns:ds="http://schemas.openxmlformats.org/officeDocument/2006/customXml" ds:itemID="{0C7A6DD4-6134-46EB-A2CF-F4F445217242}">
  <ds:schemaRefs/>
</ds:datastoreItem>
</file>

<file path=customXml/itemProps11.xml><?xml version="1.0" encoding="utf-8"?>
<ds:datastoreItem xmlns:ds="http://schemas.openxmlformats.org/officeDocument/2006/customXml" ds:itemID="{BD9ECAA4-6029-4860-A83A-C9BAC1AAC6FD}">
  <ds:schemaRefs/>
</ds:datastoreItem>
</file>

<file path=customXml/itemProps12.xml><?xml version="1.0" encoding="utf-8"?>
<ds:datastoreItem xmlns:ds="http://schemas.openxmlformats.org/officeDocument/2006/customXml" ds:itemID="{945758B3-9003-4BF2-9B4A-5BF7FD88961D}">
  <ds:schemaRefs/>
</ds:datastoreItem>
</file>

<file path=customXml/itemProps13.xml><?xml version="1.0" encoding="utf-8"?>
<ds:datastoreItem xmlns:ds="http://schemas.openxmlformats.org/officeDocument/2006/customXml" ds:itemID="{8C8938B5-791F-4FE4-8B8C-283194B6FA25}">
  <ds:schemaRefs/>
</ds:datastoreItem>
</file>

<file path=customXml/itemProps14.xml><?xml version="1.0" encoding="utf-8"?>
<ds:datastoreItem xmlns:ds="http://schemas.openxmlformats.org/officeDocument/2006/customXml" ds:itemID="{BED18FC1-8B3B-4AB9-9343-C6148034BDF2}">
  <ds:schemaRefs/>
</ds:datastoreItem>
</file>

<file path=customXml/itemProps2.xml><?xml version="1.0" encoding="utf-8"?>
<ds:datastoreItem xmlns:ds="http://schemas.openxmlformats.org/officeDocument/2006/customXml" ds:itemID="{EB723E81-1ACA-408A-8447-57FD0BABF6E5}">
  <ds:schemaRefs/>
</ds:datastoreItem>
</file>

<file path=customXml/itemProps3.xml><?xml version="1.0" encoding="utf-8"?>
<ds:datastoreItem xmlns:ds="http://schemas.openxmlformats.org/officeDocument/2006/customXml" ds:itemID="{21D9A056-FE7B-4203-8B22-12664BF55883}">
  <ds:schemaRefs/>
</ds:datastoreItem>
</file>

<file path=customXml/itemProps4.xml><?xml version="1.0" encoding="utf-8"?>
<ds:datastoreItem xmlns:ds="http://schemas.openxmlformats.org/officeDocument/2006/customXml" ds:itemID="{C8CB95FA-0B50-44E7-9A73-B548F16CA5D6}">
  <ds:schemaRefs/>
</ds:datastoreItem>
</file>

<file path=customXml/itemProps5.xml><?xml version="1.0" encoding="utf-8"?>
<ds:datastoreItem xmlns:ds="http://schemas.openxmlformats.org/officeDocument/2006/customXml" ds:itemID="{9A99B7D2-D0D8-4882-B911-943EAFF503EB}">
  <ds:schemaRefs/>
</ds:datastoreItem>
</file>

<file path=customXml/itemProps6.xml><?xml version="1.0" encoding="utf-8"?>
<ds:datastoreItem xmlns:ds="http://schemas.openxmlformats.org/officeDocument/2006/customXml" ds:itemID="{FC75C46F-EFBC-4B42-9504-9D513269372C}">
  <ds:schemaRefs/>
</ds:datastoreItem>
</file>

<file path=customXml/itemProps7.xml><?xml version="1.0" encoding="utf-8"?>
<ds:datastoreItem xmlns:ds="http://schemas.openxmlformats.org/officeDocument/2006/customXml" ds:itemID="{22C0C5D5-B439-46F8-B6A8-669707D9264E}">
  <ds:schemaRefs/>
</ds:datastoreItem>
</file>

<file path=customXml/itemProps8.xml><?xml version="1.0" encoding="utf-8"?>
<ds:datastoreItem xmlns:ds="http://schemas.openxmlformats.org/officeDocument/2006/customXml" ds:itemID="{B07EEFE6-CBC4-4780-AE5F-C6BC5BC9EA1F}">
  <ds:schemaRefs/>
</ds:datastoreItem>
</file>

<file path=customXml/itemProps9.xml><?xml version="1.0" encoding="utf-8"?>
<ds:datastoreItem xmlns:ds="http://schemas.openxmlformats.org/officeDocument/2006/customXml" ds:itemID="{B1CD1486-3AC9-41BF-953E-E6A2371105CF}">
  <ds:schemaRefs/>
</ds:datastoreItem>
</file>

<file path=docProps/app.xml><?xml version="1.0" encoding="utf-8"?>
<Properties xmlns="http://schemas.openxmlformats.org/officeDocument/2006/extended-properties" xmlns:vt="http://schemas.openxmlformats.org/officeDocument/2006/docPropsVTypes">
  <Template>Normal.dotm</Template>
  <Pages>54</Pages>
  <Words>3638</Words>
  <Characters>20738</Characters>
  <Lines>172</Lines>
  <Paragraphs>48</Paragraphs>
  <TotalTime>11</TotalTime>
  <ScaleCrop>false</ScaleCrop>
  <LinksUpToDate>false</LinksUpToDate>
  <CharactersWithSpaces>24328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2022-06-22T02:38:00Z</dcterms:created>
  <dc:creator>Administrator</dc:creator>
  <cp:lastModifiedBy>Administrator</cp:lastModifiedBy>
  <dcterms:modified xsi:type="dcterms:W3CDTF">2024-06-20T14:51:19Z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3B4551D616E9407AA65CE3D079C4E2BD</vt:lpwstr>
  </property>
</Properties>
</file>