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7</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黑体" w:hAnsi="黑体" w:eastAsia="黑体" w:cs="黑体"/>
          <w:b/>
          <w:color w:val="000000"/>
          <w:sz w:val="44"/>
        </w:rPr>
        <w:t>2023年部门预算信息公开</w:t>
      </w:r>
      <w:r>
        <w:rPr>
          <w:rFonts w:hint="eastAsia" w:ascii="黑体" w:hAnsi="黑体" w:eastAsia="黑体" w:cs="黑体"/>
          <w:b/>
          <w:color w:val="000000"/>
          <w:sz w:val="44"/>
          <w:lang w:val="en-US" w:eastAsia="zh-CN"/>
        </w:rPr>
        <w:t>表</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937无极县东侯坊乡人民政府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1920.10</w:t>
            </w:r>
          </w:p>
        </w:tc>
        <w:tc>
          <w:tcPr>
            <w:tcW w:w="4535" w:type="dxa"/>
            <w:vAlign w:val="center"/>
          </w:tcPr>
          <w:p>
            <w:pPr>
              <w:pStyle w:val="16"/>
            </w:pPr>
            <w:r>
              <w:t>一、一般公共服务支出</w:t>
            </w:r>
          </w:p>
        </w:tc>
        <w:tc>
          <w:tcPr>
            <w:tcW w:w="2126" w:type="dxa"/>
            <w:vAlign w:val="center"/>
          </w:tcPr>
          <w:p>
            <w:pPr>
              <w:pStyle w:val="15"/>
            </w:pPr>
            <w:r>
              <w:t>1545.10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1920.10</w:t>
            </w:r>
          </w:p>
        </w:tc>
        <w:tc>
          <w:tcPr>
            <w:tcW w:w="4535" w:type="dxa"/>
            <w:vAlign w:val="center"/>
          </w:tcPr>
          <w:p>
            <w:pPr>
              <w:pStyle w:val="18"/>
            </w:pPr>
            <w:r>
              <w:t>本年支出合计</w:t>
            </w:r>
          </w:p>
        </w:tc>
        <w:tc>
          <w:tcPr>
            <w:tcW w:w="2126" w:type="dxa"/>
            <w:vAlign w:val="center"/>
          </w:tcPr>
          <w:p>
            <w:pPr>
              <w:pStyle w:val="19"/>
            </w:pPr>
            <w:r>
              <w:t>1920.10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1920.10</w:t>
            </w:r>
          </w:p>
        </w:tc>
        <w:tc>
          <w:tcPr>
            <w:tcW w:w="4535" w:type="dxa"/>
            <w:vAlign w:val="center"/>
          </w:tcPr>
          <w:p>
            <w:pPr>
              <w:pStyle w:val="18"/>
            </w:pPr>
            <w:r>
              <w:t>支出总计</w:t>
            </w:r>
          </w:p>
        </w:tc>
        <w:tc>
          <w:tcPr>
            <w:tcW w:w="2126" w:type="dxa"/>
            <w:vAlign w:val="center"/>
          </w:tcPr>
          <w:p>
            <w:pPr>
              <w:pStyle w:val="19"/>
            </w:pPr>
            <w:r>
              <w:t>1920.10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937无极县东侯坊乡人民政府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1920.10</w:t>
            </w:r>
          </w:p>
        </w:tc>
        <w:tc>
          <w:tcPr>
            <w:tcW w:w="1134" w:type="dxa"/>
            <w:vAlign w:val="center"/>
          </w:tcPr>
          <w:p>
            <w:pPr>
              <w:pStyle w:val="19"/>
            </w:pPr>
            <w:r>
              <w:t>1920.10</w:t>
            </w:r>
          </w:p>
        </w:tc>
        <w:tc>
          <w:tcPr>
            <w:tcW w:w="1134" w:type="dxa"/>
            <w:vAlign w:val="center"/>
          </w:tcPr>
          <w:p>
            <w:pPr>
              <w:pStyle w:val="19"/>
            </w:pPr>
            <w:r>
              <w:t>1920.10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r>
              <w:t>1545.10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155.00</w:t>
            </w:r>
          </w:p>
        </w:tc>
        <w:tc>
          <w:tcPr>
            <w:tcW w:w="1134" w:type="dxa"/>
            <w:vAlign w:val="center"/>
          </w:tcPr>
          <w:p>
            <w:pPr>
              <w:pStyle w:val="15"/>
            </w:pPr>
            <w:r>
              <w:t>155.00</w:t>
            </w:r>
          </w:p>
        </w:tc>
        <w:tc>
          <w:tcPr>
            <w:tcW w:w="1134" w:type="dxa"/>
            <w:vAlign w:val="center"/>
          </w:tcPr>
          <w:p>
            <w:pPr>
              <w:pStyle w:val="15"/>
            </w:pPr>
            <w:r>
              <w:t>155.00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22999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2299999</w:t>
            </w:r>
          </w:p>
        </w:tc>
        <w:tc>
          <w:tcPr>
            <w:tcW w:w="1559" w:type="dxa"/>
            <w:vAlign w:val="center"/>
          </w:tcPr>
          <w:p>
            <w:pPr>
              <w:pStyle w:val="16"/>
            </w:pPr>
            <w:r>
              <w:t>其他支出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1920.10</w:t>
            </w:r>
          </w:p>
        </w:tc>
        <w:tc>
          <w:tcPr>
            <w:tcW w:w="1361" w:type="dxa"/>
            <w:vAlign w:val="center"/>
          </w:tcPr>
          <w:p>
            <w:pPr>
              <w:pStyle w:val="19"/>
            </w:pPr>
            <w:r>
              <w:t>1820.10</w:t>
            </w:r>
          </w:p>
        </w:tc>
        <w:tc>
          <w:tcPr>
            <w:tcW w:w="1361" w:type="dxa"/>
            <w:vAlign w:val="center"/>
          </w:tcPr>
          <w:p>
            <w:pPr>
              <w:pStyle w:val="19"/>
            </w:pPr>
            <w:r>
              <w:t>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1545.10</w:t>
            </w:r>
          </w:p>
        </w:tc>
        <w:tc>
          <w:tcPr>
            <w:tcW w:w="1361" w:type="dxa"/>
            <w:vAlign w:val="center"/>
          </w:tcPr>
          <w:p>
            <w:pPr>
              <w:pStyle w:val="15"/>
            </w:pPr>
            <w:r>
              <w:t>1545.10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1545.10</w:t>
            </w:r>
          </w:p>
        </w:tc>
        <w:tc>
          <w:tcPr>
            <w:tcW w:w="1361" w:type="dxa"/>
            <w:vAlign w:val="center"/>
          </w:tcPr>
          <w:p>
            <w:pPr>
              <w:pStyle w:val="15"/>
            </w:pPr>
            <w:r>
              <w:t>1545.10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1545.10</w:t>
            </w:r>
          </w:p>
        </w:tc>
        <w:tc>
          <w:tcPr>
            <w:tcW w:w="1361" w:type="dxa"/>
            <w:vAlign w:val="center"/>
          </w:tcPr>
          <w:p>
            <w:pPr>
              <w:pStyle w:val="15"/>
            </w:pPr>
            <w:r>
              <w:t>1545.10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185.00</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185.00</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155.00</w:t>
            </w:r>
          </w:p>
        </w:tc>
        <w:tc>
          <w:tcPr>
            <w:tcW w:w="1361" w:type="dxa"/>
            <w:vAlign w:val="center"/>
          </w:tcPr>
          <w:p>
            <w:pPr>
              <w:pStyle w:val="15"/>
            </w:pPr>
            <w:r>
              <w:t>155.00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22999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2299999</w:t>
            </w:r>
          </w:p>
        </w:tc>
        <w:tc>
          <w:tcPr>
            <w:tcW w:w="4535" w:type="dxa"/>
            <w:vAlign w:val="center"/>
          </w:tcPr>
          <w:p>
            <w:pPr>
              <w:pStyle w:val="16"/>
            </w:pPr>
            <w:r>
              <w:t>其他支出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1920.10</w:t>
            </w:r>
          </w:p>
        </w:tc>
        <w:tc>
          <w:tcPr>
            <w:tcW w:w="3402" w:type="dxa"/>
            <w:vAlign w:val="center"/>
          </w:tcPr>
          <w:p>
            <w:pPr>
              <w:pStyle w:val="16"/>
            </w:pPr>
            <w:r>
              <w:t>一、一般公共服务支出</w:t>
            </w:r>
          </w:p>
        </w:tc>
        <w:tc>
          <w:tcPr>
            <w:tcW w:w="1474" w:type="dxa"/>
            <w:vAlign w:val="center"/>
          </w:tcPr>
          <w:p>
            <w:pPr>
              <w:pStyle w:val="15"/>
            </w:pPr>
            <w:r>
              <w:t>1545.10</w:t>
            </w:r>
          </w:p>
        </w:tc>
        <w:tc>
          <w:tcPr>
            <w:tcW w:w="1474" w:type="dxa"/>
            <w:vAlign w:val="center"/>
          </w:tcPr>
          <w:p>
            <w:pPr>
              <w:pStyle w:val="15"/>
            </w:pPr>
            <w:r>
              <w:t>1545.10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185.00</w:t>
            </w:r>
          </w:p>
        </w:tc>
        <w:tc>
          <w:tcPr>
            <w:tcW w:w="1474" w:type="dxa"/>
            <w:vAlign w:val="center"/>
          </w:tcPr>
          <w:p>
            <w:pPr>
              <w:pStyle w:val="15"/>
            </w:pPr>
            <w:r>
              <w:t>185.00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90.00</w:t>
            </w:r>
          </w:p>
        </w:tc>
        <w:tc>
          <w:tcPr>
            <w:tcW w:w="1474" w:type="dxa"/>
            <w:vAlign w:val="center"/>
          </w:tcPr>
          <w:p>
            <w:pPr>
              <w:pStyle w:val="15"/>
            </w:pPr>
            <w:r>
              <w:t>90.00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100.00</w:t>
            </w:r>
          </w:p>
        </w:tc>
        <w:tc>
          <w:tcPr>
            <w:tcW w:w="1474" w:type="dxa"/>
            <w:vAlign w:val="center"/>
          </w:tcPr>
          <w:p>
            <w:pPr>
              <w:pStyle w:val="15"/>
            </w:pPr>
            <w:r>
              <w:t>100.00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1920.10</w:t>
            </w:r>
          </w:p>
        </w:tc>
        <w:tc>
          <w:tcPr>
            <w:tcW w:w="3402" w:type="dxa"/>
            <w:vAlign w:val="center"/>
          </w:tcPr>
          <w:p>
            <w:pPr>
              <w:pStyle w:val="18"/>
            </w:pPr>
            <w:r>
              <w:t>本年支出合计</w:t>
            </w:r>
          </w:p>
        </w:tc>
        <w:tc>
          <w:tcPr>
            <w:tcW w:w="1474" w:type="dxa"/>
            <w:vAlign w:val="center"/>
          </w:tcPr>
          <w:p>
            <w:pPr>
              <w:pStyle w:val="19"/>
            </w:pPr>
            <w:r>
              <w:t>1920.10</w:t>
            </w:r>
          </w:p>
        </w:tc>
        <w:tc>
          <w:tcPr>
            <w:tcW w:w="1474" w:type="dxa"/>
            <w:vAlign w:val="center"/>
          </w:tcPr>
          <w:p>
            <w:pPr>
              <w:pStyle w:val="19"/>
            </w:pPr>
            <w:r>
              <w:t>1920.10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1920.10</w:t>
            </w:r>
          </w:p>
        </w:tc>
        <w:tc>
          <w:tcPr>
            <w:tcW w:w="3402" w:type="dxa"/>
            <w:vAlign w:val="center"/>
          </w:tcPr>
          <w:p>
            <w:pPr>
              <w:pStyle w:val="18"/>
            </w:pPr>
            <w:r>
              <w:t>支出总计</w:t>
            </w:r>
          </w:p>
        </w:tc>
        <w:tc>
          <w:tcPr>
            <w:tcW w:w="1474" w:type="dxa"/>
            <w:vAlign w:val="center"/>
          </w:tcPr>
          <w:p>
            <w:pPr>
              <w:pStyle w:val="19"/>
            </w:pPr>
            <w:r>
              <w:t>1920.10</w:t>
            </w:r>
          </w:p>
        </w:tc>
        <w:tc>
          <w:tcPr>
            <w:tcW w:w="1474" w:type="dxa"/>
            <w:vAlign w:val="center"/>
          </w:tcPr>
          <w:p>
            <w:pPr>
              <w:pStyle w:val="19"/>
            </w:pPr>
            <w:r>
              <w:t>1920.10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1920.10</w:t>
            </w:r>
          </w:p>
        </w:tc>
        <w:tc>
          <w:tcPr>
            <w:tcW w:w="2551" w:type="dxa"/>
            <w:vAlign w:val="center"/>
          </w:tcPr>
          <w:p>
            <w:pPr>
              <w:pStyle w:val="19"/>
            </w:pPr>
            <w:r>
              <w:t>1820.10</w:t>
            </w:r>
          </w:p>
        </w:tc>
        <w:tc>
          <w:tcPr>
            <w:tcW w:w="2551" w:type="dxa"/>
            <w:vAlign w:val="center"/>
          </w:tcPr>
          <w:p>
            <w:pPr>
              <w:pStyle w:val="1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1545.10</w:t>
            </w:r>
          </w:p>
        </w:tc>
        <w:tc>
          <w:tcPr>
            <w:tcW w:w="2551" w:type="dxa"/>
            <w:vAlign w:val="center"/>
          </w:tcPr>
          <w:p>
            <w:pPr>
              <w:pStyle w:val="15"/>
            </w:pPr>
            <w:r>
              <w:t>1545.10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1545.10</w:t>
            </w:r>
          </w:p>
        </w:tc>
        <w:tc>
          <w:tcPr>
            <w:tcW w:w="2551" w:type="dxa"/>
            <w:vAlign w:val="center"/>
          </w:tcPr>
          <w:p>
            <w:pPr>
              <w:pStyle w:val="15"/>
            </w:pPr>
            <w:r>
              <w:t>1545.10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1545.10</w:t>
            </w:r>
          </w:p>
        </w:tc>
        <w:tc>
          <w:tcPr>
            <w:tcW w:w="2551" w:type="dxa"/>
            <w:vAlign w:val="center"/>
          </w:tcPr>
          <w:p>
            <w:pPr>
              <w:pStyle w:val="15"/>
            </w:pPr>
            <w:r>
              <w:t>1545.10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185.00</w:t>
            </w:r>
          </w:p>
        </w:tc>
        <w:tc>
          <w:tcPr>
            <w:tcW w:w="2551" w:type="dxa"/>
            <w:vAlign w:val="center"/>
          </w:tcPr>
          <w:p>
            <w:pPr>
              <w:pStyle w:val="15"/>
            </w:pPr>
            <w:r>
              <w:t>185.00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185.00</w:t>
            </w:r>
          </w:p>
        </w:tc>
        <w:tc>
          <w:tcPr>
            <w:tcW w:w="2551" w:type="dxa"/>
            <w:vAlign w:val="center"/>
          </w:tcPr>
          <w:p>
            <w:pPr>
              <w:pStyle w:val="15"/>
            </w:pPr>
            <w:r>
              <w:t>185.00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155.00</w:t>
            </w:r>
          </w:p>
        </w:tc>
        <w:tc>
          <w:tcPr>
            <w:tcW w:w="2551" w:type="dxa"/>
            <w:vAlign w:val="center"/>
          </w:tcPr>
          <w:p>
            <w:pPr>
              <w:pStyle w:val="15"/>
            </w:pPr>
            <w:r>
              <w:t>155.00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22999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2299999</w:t>
            </w:r>
          </w:p>
        </w:tc>
        <w:tc>
          <w:tcPr>
            <w:tcW w:w="4535" w:type="dxa"/>
            <w:vAlign w:val="center"/>
          </w:tcPr>
          <w:p>
            <w:pPr>
              <w:pStyle w:val="16"/>
            </w:pPr>
            <w:r>
              <w:t>其他支出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1820.10</w:t>
            </w:r>
          </w:p>
        </w:tc>
        <w:tc>
          <w:tcPr>
            <w:tcW w:w="2551" w:type="dxa"/>
            <w:vAlign w:val="center"/>
          </w:tcPr>
          <w:p>
            <w:pPr>
              <w:pStyle w:val="19"/>
            </w:pPr>
            <w:r>
              <w:t>1247.60</w:t>
            </w:r>
          </w:p>
        </w:tc>
        <w:tc>
          <w:tcPr>
            <w:tcW w:w="2551" w:type="dxa"/>
            <w:vAlign w:val="center"/>
          </w:tcPr>
          <w:p>
            <w:pPr>
              <w:pStyle w:val="19"/>
            </w:pPr>
            <w:r>
              <w:t>572.50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1218.00</w:t>
            </w:r>
          </w:p>
        </w:tc>
        <w:tc>
          <w:tcPr>
            <w:tcW w:w="2551" w:type="dxa"/>
            <w:vAlign w:val="center"/>
          </w:tcPr>
          <w:p>
            <w:pPr>
              <w:pStyle w:val="15"/>
            </w:pPr>
            <w:r>
              <w:t>1218.00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434.00</w:t>
            </w:r>
          </w:p>
        </w:tc>
        <w:tc>
          <w:tcPr>
            <w:tcW w:w="2551" w:type="dxa"/>
            <w:vAlign w:val="center"/>
          </w:tcPr>
          <w:p>
            <w:pPr>
              <w:pStyle w:val="15"/>
            </w:pPr>
            <w:r>
              <w:t>434.00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213.00</w:t>
            </w:r>
          </w:p>
        </w:tc>
        <w:tc>
          <w:tcPr>
            <w:tcW w:w="2551" w:type="dxa"/>
            <w:vAlign w:val="center"/>
          </w:tcPr>
          <w:p>
            <w:pPr>
              <w:pStyle w:val="15"/>
            </w:pPr>
            <w:r>
              <w:t>213.00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129.00</w:t>
            </w:r>
          </w:p>
        </w:tc>
        <w:tc>
          <w:tcPr>
            <w:tcW w:w="2551" w:type="dxa"/>
            <w:vAlign w:val="center"/>
          </w:tcPr>
          <w:p>
            <w:pPr>
              <w:pStyle w:val="15"/>
            </w:pPr>
            <w:r>
              <w:t>129.00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157.00</w:t>
            </w:r>
          </w:p>
        </w:tc>
        <w:tc>
          <w:tcPr>
            <w:tcW w:w="2551" w:type="dxa"/>
            <w:vAlign w:val="center"/>
          </w:tcPr>
          <w:p>
            <w:pPr>
              <w:pStyle w:val="15"/>
            </w:pPr>
            <w:r>
              <w:t>157.00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155.00</w:t>
            </w:r>
          </w:p>
        </w:tc>
        <w:tc>
          <w:tcPr>
            <w:tcW w:w="2551" w:type="dxa"/>
            <w:vAlign w:val="center"/>
          </w:tcPr>
          <w:p>
            <w:pPr>
              <w:pStyle w:val="15"/>
            </w:pPr>
            <w:r>
              <w:t>155.00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572.50</w:t>
            </w:r>
          </w:p>
        </w:tc>
        <w:tc>
          <w:tcPr>
            <w:tcW w:w="2551" w:type="dxa"/>
            <w:vAlign w:val="center"/>
          </w:tcPr>
          <w:p>
            <w:pPr>
              <w:pStyle w:val="15"/>
            </w:pPr>
          </w:p>
        </w:tc>
        <w:tc>
          <w:tcPr>
            <w:tcW w:w="2551" w:type="dxa"/>
            <w:vAlign w:val="center"/>
          </w:tcPr>
          <w:p>
            <w:pPr>
              <w:pStyle w:val="15"/>
            </w:pPr>
            <w:r>
              <w:t>572.50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937无极县东侯坊乡人民政府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无极县东侯坊乡人民政府2023年部门预算信息公开情况说明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无极县东侯坊乡人民政府2023年部门预算信息公开情况说明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、《地方预决算公开操作规程》和《关于进一步推进预算公开工作的实施意见》规定，现将无极县东侯坊乡人民政府2023年部门预算公开如下：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根据《东侯坊乡职能配置、内设机构和人员编制规定》， 东侯坊乡的主要职责是：</w:t>
      </w:r>
    </w:p>
    <w:p>
      <w:pPr>
        <w:pStyle w:val="21"/>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1"/>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21"/>
      </w:pPr>
      <w:r>
        <w:t>二是加强社会管理，营建</w:t>
      </w:r>
      <w:r>
        <w:rPr>
          <w:rFonts w:hint="eastAsia"/>
          <w:lang w:eastAsia="zh-CN"/>
        </w:rPr>
        <w:t>和谐社会</w:t>
      </w:r>
      <w: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t>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1"/>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1"/>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无极县东侯坊乡人民政府本级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部门预算的编制实行综合预算管理，即全部收入和支出都反映在预算中。无极县东侯坊乡人民政府机关及所属事业单位的收支包含在部门预算中。</w:t>
      </w:r>
    </w:p>
    <w:p>
      <w:pPr>
        <w:pStyle w:val="22"/>
      </w:pPr>
      <w:r>
        <w:t>1、收入说明</w:t>
      </w:r>
    </w:p>
    <w:p>
      <w:pPr>
        <w:pStyle w:val="22"/>
      </w:pPr>
      <w:r>
        <w:t>反映本部门当年全部收入。2023年预算收入1920.10万元，其中：一般公共预算收入1920.10万元，基金预算收入0万元，财政专户核拨收入0万元，其他来源收入0万元。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年度部门预算中支出预算的总体情况。2023年部门支出预算为1920.10万元，其中基本支出1820.10万元，包括人员经费1247.60万元和日常公用经费572.50万元；项目支出100万元。</w:t>
      </w:r>
    </w:p>
    <w:p>
      <w:pPr>
        <w:pStyle w:val="22"/>
      </w:pPr>
      <w:r>
        <w:t>3、比上年增减情况</w:t>
      </w:r>
    </w:p>
    <w:p>
      <w:pPr>
        <w:pStyle w:val="22"/>
      </w:pPr>
      <w:r>
        <w:t>2023年部门预算收支安排1920.10万元，较2022年增加522.17万元，其中：基本支出增加519.17万元，主要是人员增加；项目支出增加3万元，主要是预算项目变更。</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2023年，我部门机关运行经费共计安排572.50万元，主要用于保证机关正常运转的办公费及印刷费、邮电费、差旅费、水电费、取暖费、公务车运行维护费等支出。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w:t>
      </w:r>
      <w:r>
        <w:rPr>
          <w:rFonts w:hint="eastAsia"/>
          <w:lang w:val="en-US" w:eastAsia="zh-CN"/>
        </w:rPr>
        <w:t>与上年持平。</w:t>
      </w:r>
      <w:r>
        <w:t>其中：因公出国（境）费0万元；公务用车购置及运维费3万元（其中：公务用车购置费0万元，公务用车运行维护费3万元)；公务接待费0万元。</w:t>
      </w:r>
      <w:r>
        <w:rPr>
          <w:rFonts w:hint="eastAsia"/>
          <w:lang w:val="en-US" w:eastAsia="zh-CN"/>
        </w:rPr>
        <w:t>原因为严格按照公务用车相关制度执行，厉行节俭</w:t>
      </w:r>
      <w:r>
        <w:t>。</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5"/>
      </w:pPr>
      <w:r>
        <w:t>（一）总体绩效目标</w:t>
      </w:r>
    </w:p>
    <w:p>
      <w:pPr>
        <w:pStyle w:val="25"/>
      </w:pPr>
      <w:r>
        <w:t>2023年部门年度发展规划目标</w:t>
      </w:r>
    </w:p>
    <w:p>
      <w:pPr>
        <w:pStyle w:val="25"/>
      </w:pPr>
      <w: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无极</w:t>
      </w:r>
      <w:r>
        <w:rPr>
          <w:rFonts w:hint="eastAsia"/>
          <w:lang w:eastAsia="zh-CN"/>
        </w:rPr>
        <w:t>县委、县政府</w:t>
      </w:r>
      <w: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东侯坊乡的社会安全与稳定。</w:t>
      </w:r>
    </w:p>
    <w:p>
      <w:pPr>
        <w:pStyle w:val="26"/>
      </w:pPr>
      <w:r>
        <w:t>（二）分项绩效目标</w:t>
      </w:r>
    </w:p>
    <w:p>
      <w:pPr>
        <w:pStyle w:val="26"/>
      </w:pPr>
      <w:r>
        <w:t>东侯坊乡人民政府</w:t>
      </w:r>
    </w:p>
    <w:p>
      <w:pPr>
        <w:pStyle w:val="26"/>
      </w:pPr>
      <w:r>
        <w:t>2023年部门职责分类绩效目标情况说明</w:t>
      </w:r>
    </w:p>
    <w:p>
      <w:pPr>
        <w:pStyle w:val="26"/>
      </w:pPr>
      <w:r>
        <w:t>（一）开展党风党纪教育，加强党内监督。</w:t>
      </w:r>
    </w:p>
    <w:p>
      <w:pPr>
        <w:pStyle w:val="26"/>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6"/>
      </w:pPr>
      <w:r>
        <w:t>绩效指标：廉政教育与党内监督工作完成率95%以上。</w:t>
      </w:r>
    </w:p>
    <w:p>
      <w:pPr>
        <w:pStyle w:val="26"/>
      </w:pPr>
      <w:r>
        <w:t>（二）协调机关综合事务和乡镇综合业务，强化社会管理和公共服务，完成上级交办的各项任务。</w:t>
      </w:r>
    </w:p>
    <w:p>
      <w:pPr>
        <w:pStyle w:val="26"/>
      </w:pPr>
      <w:r>
        <w:t>绩效目标：改善硬件、软件水平，加强队伍和教育建设，加快信息化建设，保障机关工作正常高效运转，确保各项业务工作谋划到位、顺利开展。</w:t>
      </w:r>
    </w:p>
    <w:p>
      <w:pPr>
        <w:pStyle w:val="26"/>
      </w:pPr>
      <w:r>
        <w:t>绩效指标：公共服务工作完成率90%以上。</w:t>
      </w:r>
    </w:p>
    <w:p>
      <w:pPr>
        <w:pStyle w:val="26"/>
      </w:pPr>
      <w:r>
        <w:t>（三）乡镇的信息化建设和维护，平稳推进信访工作和新闻宣传工作。</w:t>
      </w:r>
    </w:p>
    <w:p>
      <w:pPr>
        <w:pStyle w:val="26"/>
      </w:pPr>
      <w:r>
        <w:t>绩效目标：确保新闻宣传工作正常开展，信息系统运行正常，机关基础设施运转良好，信访工作平稳。机关文书档案印信管理和保密，机关人事、离退休人员服务、基建、后勤服务。</w:t>
      </w:r>
    </w:p>
    <w:p>
      <w:pPr>
        <w:pStyle w:val="26"/>
      </w:pPr>
      <w:r>
        <w:t>绩效指标：综合事务管理工作完成率90%以上。</w:t>
      </w:r>
    </w:p>
    <w:p>
      <w:pPr>
        <w:pStyle w:val="26"/>
      </w:pPr>
      <w:r>
        <w:t>（四）指导、协调和督导各村村委、村干部排查与化解影响社会稳定的重大不稳定隐患、群体性事件和突发事件。</w:t>
      </w:r>
    </w:p>
    <w:p>
      <w:pPr>
        <w:pStyle w:val="26"/>
      </w:pPr>
      <w:r>
        <w:t>绩效目标：预防和减少不稳定因素的发生，有效化解不稳定隐患、群体性事件和突发事件，维护乡镇的安全与稳定。</w:t>
      </w:r>
    </w:p>
    <w:p>
      <w:pPr>
        <w:pStyle w:val="26"/>
      </w:pPr>
      <w:r>
        <w:t>绩效指标：妥善处置突发事件（件）占发生突发事件（件）的比例90%以上。</w:t>
      </w:r>
    </w:p>
    <w:p>
      <w:pPr>
        <w:pStyle w:val="26"/>
      </w:pPr>
      <w:r>
        <w:t>（五）按照统筹城乡发展的要求，组织实施农村面貌改造提升行动，加快社会主义新农村建设。</w:t>
      </w:r>
    </w:p>
    <w:p>
      <w:pPr>
        <w:pStyle w:val="26"/>
      </w:pPr>
      <w:r>
        <w:t>绩效目标：通过实施农村面貌改造提升行动，加快农村基础设施建设，改善农村环境面貌，提升农民生产生活条件。</w:t>
      </w:r>
    </w:p>
    <w:p>
      <w:pPr>
        <w:pStyle w:val="26"/>
      </w:pPr>
      <w:r>
        <w:t>绩效指标：改造提升完成率90%以上。</w:t>
      </w:r>
    </w:p>
    <w:p>
      <w:pPr>
        <w:pStyle w:val="26"/>
      </w:pPr>
      <w:r>
        <w:t>（六）承担社会救助体系建设，负责全镇居民最低生活保障、五保供养、医疗救助。</w:t>
      </w:r>
    </w:p>
    <w:p>
      <w:pPr>
        <w:pStyle w:val="26"/>
      </w:pPr>
      <w:r>
        <w:t>绩效目标：完善城乡社会救助制度，实施分类救助，应保尽保,动态管理。负责符合条件的城乡居民最低生活保障工作,负责农村五保户的集中供养和分散供养工作。</w:t>
      </w:r>
    </w:p>
    <w:p>
      <w:pPr>
        <w:pStyle w:val="26"/>
      </w:pPr>
      <w:r>
        <w:t>绩效指标：社会救助覆盖率95%以上。</w:t>
      </w:r>
    </w:p>
    <w:p>
      <w:pPr>
        <w:pStyle w:val="26"/>
      </w:pPr>
      <w:r>
        <w:t>（七）负责制定污染防治管理制度并组织实施，会同有关部门监督管理饮用水水源地环境保护。</w:t>
      </w:r>
    </w:p>
    <w:p>
      <w:pPr>
        <w:pStyle w:val="26"/>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6"/>
      </w:pPr>
      <w:r>
        <w:t>绩效指标：污染治理覆盖率95%以上。</w:t>
      </w:r>
    </w:p>
    <w:p>
      <w:pPr>
        <w:pStyle w:val="26"/>
      </w:pPr>
      <w:r>
        <w:t>（八）强化生态保护和监察监管，提高自然保护区建设水平，加强生物多样性保护力度，提升农村生态环境质量</w:t>
      </w:r>
    </w:p>
    <w:p>
      <w:pPr>
        <w:pStyle w:val="26"/>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6"/>
      </w:pPr>
      <w:r>
        <w:t>绩效指标：上级城乡环境综合治理机关和群众满意度95%以上；</w:t>
      </w:r>
    </w:p>
    <w:p>
      <w:pPr>
        <w:pStyle w:val="26"/>
      </w:pPr>
      <w:r>
        <w:t>（九）对食品制作流通各环节进行监管，及时发现和排除食品安全问题，确保大型活动期间的餐饮安全。</w:t>
      </w:r>
    </w:p>
    <w:p>
      <w:pPr>
        <w:pStyle w:val="26"/>
      </w:pPr>
      <w:r>
        <w:t>绩效目标：通过对食品各个环节的强力监管，及时发现食品监管中存在的问题，重点突出食品安全建设以及做好重大活动和暑期食品安全保障.</w:t>
      </w:r>
    </w:p>
    <w:p>
      <w:pPr>
        <w:pStyle w:val="26"/>
      </w:pPr>
      <w:r>
        <w:t>绩效指标：不定时进行执法检查，食品安全事故发生率≤5%</w:t>
      </w:r>
    </w:p>
    <w:p>
      <w:pPr>
        <w:pStyle w:val="26"/>
      </w:pPr>
      <w:r>
        <w:t>（十）按照可持续发展和建设生态农业的要求，保护农业资源，改善和保护农村环境。</w:t>
      </w:r>
    </w:p>
    <w:p>
      <w:pPr>
        <w:pStyle w:val="26"/>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6"/>
      </w:pPr>
      <w:r>
        <w:t>绩效指标：持续清理垃圾、治理污水、推进亮化工程，向社会主义新农村进一步迈进。</w:t>
      </w:r>
    </w:p>
    <w:p>
      <w:pPr>
        <w:pStyle w:val="26"/>
      </w:pPr>
      <w:r>
        <w:t>（十一）严格执行财政法与财经制度，管理乡镇财政收入和支出，编制预算，合理配置财政资源。</w:t>
      </w:r>
    </w:p>
    <w:p>
      <w:pPr>
        <w:pStyle w:val="26"/>
      </w:pPr>
      <w:r>
        <w:t>绩效目标：贯彻国家税收政策，负责制定财政和预算收入计划，管理和监督各项财政收入；管理财政票据；研究制定完善的预算政策体系，提高预算管理的科学化水平。</w:t>
      </w:r>
    </w:p>
    <w:p>
      <w:pPr>
        <w:pStyle w:val="26"/>
      </w:pPr>
      <w:r>
        <w:t>绩效指标：按时、按量、按质保证各项经费的发放，保障乡镇各项工作的正常运转。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2023年度发展规划目标保障措施</w:t>
      </w:r>
    </w:p>
    <w:p>
      <w:pPr>
        <w:pStyle w:val="27"/>
      </w:pPr>
      <w:r>
        <w:t>（一）严把财务关</w:t>
      </w:r>
    </w:p>
    <w:p>
      <w:pPr>
        <w:pStyle w:val="27"/>
      </w:pPr>
      <w:r>
        <w:t>完善制度建设。加强乡镇财政预算管理，提高预算编制的完整性、科学性和统一性。细化预算编制，规范预算执行，健全预算执行机制，强化预算约束，切实增强预算的执行力和约束力，加大”村财镇管”、乡镇和村级债务管理，为全年预算绩效目标的实现奠定制度基础。</w:t>
      </w:r>
    </w:p>
    <w:p>
      <w:pPr>
        <w:pStyle w:val="27"/>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pPr>
        <w:pStyle w:val="27"/>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7"/>
      </w:pPr>
    </w:p>
    <w:p>
      <w:pPr>
        <w:pStyle w:val="27"/>
      </w:pPr>
      <w:r>
        <w:t>（二）加大招商引资力度，推进新型工业化。</w:t>
      </w:r>
    </w:p>
    <w:p>
      <w:pPr>
        <w:pStyle w:val="27"/>
      </w:pPr>
      <w:r>
        <w:t>实施“工业立乡”战略，继续优化投资环境，始终不渝地把发展工业作为今后我乡经济工作的重中之重，把扩大招商引资和发展民营经济作为经济工作的突破口，实现工业经济的跨越式发展。</w:t>
      </w:r>
    </w:p>
    <w:p>
      <w:pPr>
        <w:pStyle w:val="27"/>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pPr>
        <w:pStyle w:val="27"/>
      </w:pPr>
      <w: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pStyle w:val="27"/>
      </w:pPr>
      <w:r>
        <w:t>（三）全力维护社会稳定，推进和谐社会建设。</w:t>
      </w:r>
    </w:p>
    <w:p>
      <w:pPr>
        <w:pStyle w:val="27"/>
      </w:pPr>
      <w:r>
        <w:t>全乡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乡村”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乡范围内的生产企业进行安全生产检查，确保不出安全事故，实现安全生产与经济社会同步协调发展。</w:t>
      </w:r>
    </w:p>
    <w:p>
      <w:pPr>
        <w:pStyle w:val="27"/>
      </w:pPr>
      <w:r>
        <w:t>（四）认真解决“三农”问题，扎实推进新农村建设。</w:t>
      </w:r>
    </w:p>
    <w:p>
      <w:pPr>
        <w:pStyle w:val="27"/>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pPr>
        <w:pStyle w:val="27"/>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w:t>
      </w:r>
    </w:p>
    <w:p>
      <w:pPr>
        <w:pStyle w:val="27"/>
      </w:pPr>
      <w: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pStyle w:val="27"/>
      </w:pPr>
      <w:r>
        <w:t xml:space="preserve">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        </w:t>
      </w:r>
    </w:p>
    <w:p>
      <w:pPr>
        <w:pStyle w:val="27"/>
      </w:pPr>
      <w:r>
        <w:t>（五）加强党委、政府自身建设，提高党组织的战斗力和政府的行政管理能力。</w:t>
      </w:r>
    </w:p>
    <w:p>
      <w:pPr>
        <w:pStyle w:val="27"/>
      </w:pPr>
      <w:r>
        <w:t>1、要加强领导班子和干部队伍建设，形成坚强领导核心。首先要提高素质，改进作风。要通过抓学习培训，抓制度建设，抓作风建设，抓民主集中制执行等提高班子素质的有效措施，努力把乡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w:t>
      </w:r>
      <w:r>
        <w:rPr>
          <w:rFonts w:hint="eastAsia"/>
          <w:lang w:eastAsia="zh-CN"/>
        </w:rPr>
        <w:t>反腐倡廉</w:t>
      </w:r>
      <w:r>
        <w:t>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pStyle w:val="27"/>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和协会，实现“生产发展、生活富裕”的目标。</w:t>
      </w:r>
    </w:p>
    <w:p>
      <w:pPr>
        <w:pStyle w:val="27"/>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乡干部聚精会神搞建设，一心一意谋发展，不断开创工作新局面。</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857"/>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1、2023年东侯坊乡东侯坊村道路硬化及整治工程绩效目标表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1.保障农村环境提升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工程完工率</w:t>
            </w:r>
          </w:p>
        </w:tc>
        <w:tc>
          <w:tcPr>
            <w:tcW w:w="2835" w:type="dxa"/>
            <w:vAlign w:val="center"/>
          </w:tcPr>
          <w:p>
            <w:pPr>
              <w:pStyle w:val="16"/>
            </w:pPr>
            <w:r>
              <w:t>工程施工进度工作量占工程完工总量的比率</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工程质量合格率</w:t>
            </w:r>
          </w:p>
        </w:tc>
        <w:tc>
          <w:tcPr>
            <w:tcW w:w="2835" w:type="dxa"/>
            <w:vAlign w:val="center"/>
          </w:tcPr>
          <w:p>
            <w:pPr>
              <w:pStyle w:val="16"/>
            </w:pPr>
            <w:r>
              <w:t>合格的工程数量占工程完工总量的比例</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项目按计划完工率</w:t>
            </w:r>
          </w:p>
        </w:tc>
        <w:tc>
          <w:tcPr>
            <w:tcW w:w="2835" w:type="dxa"/>
            <w:vAlign w:val="center"/>
          </w:tcPr>
          <w:p>
            <w:pPr>
              <w:pStyle w:val="16"/>
            </w:pPr>
            <w:r>
              <w:t>项目按计划完工情况</w:t>
            </w:r>
          </w:p>
        </w:tc>
        <w:tc>
          <w:tcPr>
            <w:tcW w:w="2551" w:type="dxa"/>
            <w:vAlign w:val="center"/>
          </w:tcPr>
          <w:p>
            <w:pPr>
              <w:pStyle w:val="16"/>
            </w:pPr>
            <w:r>
              <w:t>≥100%</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超概算比例</w:t>
            </w:r>
          </w:p>
        </w:tc>
        <w:tc>
          <w:tcPr>
            <w:tcW w:w="2835" w:type="dxa"/>
            <w:vAlign w:val="center"/>
          </w:tcPr>
          <w:p>
            <w:pPr>
              <w:pStyle w:val="16"/>
            </w:pPr>
            <w:r>
              <w:t>超概算金额占概算的比例</w:t>
            </w:r>
          </w:p>
        </w:tc>
        <w:tc>
          <w:tcPr>
            <w:tcW w:w="2551" w:type="dxa"/>
            <w:vAlign w:val="center"/>
          </w:tcPr>
          <w:p>
            <w:pPr>
              <w:pStyle w:val="16"/>
            </w:pPr>
            <w:r>
              <w:t>≤5%</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项目受益人数</w:t>
            </w:r>
          </w:p>
        </w:tc>
        <w:tc>
          <w:tcPr>
            <w:tcW w:w="2835" w:type="dxa"/>
            <w:vAlign w:val="center"/>
          </w:tcPr>
          <w:p>
            <w:pPr>
              <w:pStyle w:val="16"/>
            </w:pPr>
            <w:r>
              <w:t>项目受益人数</w:t>
            </w:r>
          </w:p>
        </w:tc>
        <w:tc>
          <w:tcPr>
            <w:tcW w:w="2551" w:type="dxa"/>
            <w:vAlign w:val="center"/>
          </w:tcPr>
          <w:p>
            <w:pPr>
              <w:pStyle w:val="16"/>
            </w:pPr>
            <w:r>
              <w:t>≥1000人</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建筑（设施）使用年限</w:t>
            </w:r>
          </w:p>
        </w:tc>
        <w:tc>
          <w:tcPr>
            <w:tcW w:w="2835" w:type="dxa"/>
            <w:vAlign w:val="center"/>
          </w:tcPr>
          <w:p>
            <w:pPr>
              <w:pStyle w:val="16"/>
            </w:pPr>
            <w:r>
              <w:t>建筑（设施）正常使用年限</w:t>
            </w:r>
          </w:p>
        </w:tc>
        <w:tc>
          <w:tcPr>
            <w:tcW w:w="2551" w:type="dxa"/>
            <w:vAlign w:val="center"/>
          </w:tcPr>
          <w:p>
            <w:pPr>
              <w:pStyle w:val="16"/>
            </w:pPr>
            <w:r>
              <w:t>≥10年</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受益群体满意度</w:t>
            </w:r>
          </w:p>
        </w:tc>
        <w:tc>
          <w:tcPr>
            <w:tcW w:w="2835" w:type="dxa"/>
            <w:vAlign w:val="center"/>
          </w:tcPr>
          <w:p>
            <w:pPr>
              <w:pStyle w:val="16"/>
            </w:pPr>
            <w:r>
              <w:t>受益群体满意程度</w:t>
            </w:r>
          </w:p>
        </w:tc>
        <w:tc>
          <w:tcPr>
            <w:tcW w:w="2551" w:type="dxa"/>
            <w:vAlign w:val="center"/>
          </w:tcPr>
          <w:p>
            <w:pPr>
              <w:pStyle w:val="16"/>
            </w:pPr>
            <w:r>
              <w:t>≥98%</w:t>
            </w:r>
          </w:p>
        </w:tc>
        <w:tc>
          <w:tcPr>
            <w:tcW w:w="2268" w:type="dxa"/>
            <w:vAlign w:val="center"/>
          </w:tcPr>
          <w:p>
            <w:pPr>
              <w:pStyle w:val="16"/>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2023年，无极县东侯坊乡人民政府安排政府采购预算0.00万元。具体内容见下表。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937无极县东侯坊乡人民政府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无极县东侯坊乡人民政府（含所属单位）上年末固定资产金额为156.00万元（详见下表）。本年度拟购置固定资产总额为0.00万元。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937无极县东侯坊乡人民政府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4000</w:t>
            </w:r>
          </w:p>
        </w:tc>
        <w:tc>
          <w:tcPr>
            <w:tcW w:w="2835" w:type="dxa"/>
            <w:vAlign w:val="center"/>
          </w:tcPr>
          <w:p>
            <w:pPr>
              <w:pStyle w:val="15"/>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3000</w:t>
            </w:r>
          </w:p>
        </w:tc>
        <w:tc>
          <w:tcPr>
            <w:tcW w:w="2835" w:type="dxa"/>
            <w:vAlign w:val="center"/>
          </w:tcPr>
          <w:p>
            <w:pPr>
              <w:pStyle w:val="15"/>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A94286"/>
    <w:rsid w:val="1DC23AC2"/>
    <w:rsid w:val="22FF6E86"/>
    <w:rsid w:val="25EE535E"/>
    <w:rsid w:val="35897AB4"/>
    <w:rsid w:val="3F841D4A"/>
    <w:rsid w:val="44DE0246"/>
    <w:rsid w:val="455E7895"/>
    <w:rsid w:val="490B5FCA"/>
    <w:rsid w:val="4A344D86"/>
    <w:rsid w:val="54E5136C"/>
    <w:rsid w:val="60471FC7"/>
    <w:rsid w:val="7C7D62A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2023-05-15T14:29:34Z</dcterms:created>
  <dcterms:modified xsi:type="dcterms:W3CDTF">2023-05-15T06:29:34Z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2023-05-15T14:29:35Z</dcterms:created>
  <dcterms:modified xsi:type="dcterms:W3CDTF">2023-05-15T06:29:35Z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2023-05-15T14:29:35Z</dcterms:created>
  <dcterms:modified xsi:type="dcterms:W3CDTF">2023-05-15T06:29:35Z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2023-05-15T14:29:38Z</dcterms:created>
  <dcterms:modified xsi:type="dcterms:W3CDTF">2023-05-15T06:29:38Z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2023-05-15T14:29:34Z</dcterms:created>
  <dcterms:modified xsi:type="dcterms:W3CDTF">2023-05-15T06:29:34Z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2023-05-15T14:29:39Z</dcterms:created>
  <dcterms:modified xsi:type="dcterms:W3CDTF">2023-05-15T06:29:39Z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2023-05-15T14:29:40Z</dcterms:created>
  <dcterms:modified xsi:type="dcterms:W3CDTF">2023-05-15T06:29:39Z</dcterms:modified>
</cp:coreProperties>
</file>

<file path=customXml/itemProps1.xml><?xml version="1.0" encoding="utf-8"?>
<ds:datastoreItem xmlns:ds="http://schemas.openxmlformats.org/officeDocument/2006/customXml" ds:itemID="{e5e4a7d4-f09e-47ea-abbd-f773f38bc4ab}">
  <ds:schemaRefs/>
</ds:datastoreItem>
</file>

<file path=customXml/itemProps10.xml><?xml version="1.0" encoding="utf-8"?>
<ds:datastoreItem xmlns:ds="http://schemas.openxmlformats.org/officeDocument/2006/customXml" ds:itemID="{57c700d5-8cf0-4f5d-990f-ae1e85ab93f3}">
  <ds:schemaRefs/>
</ds:datastoreItem>
</file>

<file path=customXml/itemProps11.xml><?xml version="1.0" encoding="utf-8"?>
<ds:datastoreItem xmlns:ds="http://schemas.openxmlformats.org/officeDocument/2006/customXml" ds:itemID="{03293725-d395-4313-90fd-e5a05381da21}">
  <ds:schemaRefs/>
</ds:datastoreItem>
</file>

<file path=customXml/itemProps12.xml><?xml version="1.0" encoding="utf-8"?>
<ds:datastoreItem xmlns:ds="http://schemas.openxmlformats.org/officeDocument/2006/customXml" ds:itemID="{7e1b6c3f-04ad-4b46-bdbc-6958f8ae84a9}">
  <ds:schemaRefs/>
</ds:datastoreItem>
</file>

<file path=customXml/itemProps13.xml><?xml version="1.0" encoding="utf-8"?>
<ds:datastoreItem xmlns:ds="http://schemas.openxmlformats.org/officeDocument/2006/customXml" ds:itemID="{55a1c0cf-0fb6-4485-81fb-20daa62d3579}">
  <ds:schemaRefs/>
</ds:datastoreItem>
</file>

<file path=customXml/itemProps14.xml><?xml version="1.0" encoding="utf-8"?>
<ds:datastoreItem xmlns:ds="http://schemas.openxmlformats.org/officeDocument/2006/customXml" ds:itemID="{a73a9b1c-7803-4bcb-b155-f63bbf040e9c}">
  <ds:schemaRefs/>
</ds:datastoreItem>
</file>

<file path=customXml/itemProps2.xml><?xml version="1.0" encoding="utf-8"?>
<ds:datastoreItem xmlns:ds="http://schemas.openxmlformats.org/officeDocument/2006/customXml" ds:itemID="{2829c520-5f1b-49d2-b150-98f9001a2771}">
  <ds:schemaRefs/>
</ds:datastoreItem>
</file>

<file path=customXml/itemProps3.xml><?xml version="1.0" encoding="utf-8"?>
<ds:datastoreItem xmlns:ds="http://schemas.openxmlformats.org/officeDocument/2006/customXml" ds:itemID="{abddc7bf-17f8-4b31-bd5c-4f2abbd77195}">
  <ds:schemaRefs/>
</ds:datastoreItem>
</file>

<file path=customXml/itemProps4.xml><?xml version="1.0" encoding="utf-8"?>
<ds:datastoreItem xmlns:ds="http://schemas.openxmlformats.org/officeDocument/2006/customXml" ds:itemID="{3297c6c2-f860-4ce2-8e55-d46d27acb5b5}">
  <ds:schemaRefs/>
</ds:datastoreItem>
</file>

<file path=customXml/itemProps5.xml><?xml version="1.0" encoding="utf-8"?>
<ds:datastoreItem xmlns:ds="http://schemas.openxmlformats.org/officeDocument/2006/customXml" ds:itemID="{9e416099-b8b5-4091-bd2e-af5919b619dc}">
  <ds:schemaRefs/>
</ds:datastoreItem>
</file>

<file path=customXml/itemProps6.xml><?xml version="1.0" encoding="utf-8"?>
<ds:datastoreItem xmlns:ds="http://schemas.openxmlformats.org/officeDocument/2006/customXml" ds:itemID="{54c03947-f858-42f2-90dd-199d0be0ae56}">
  <ds:schemaRefs/>
</ds:datastoreItem>
</file>

<file path=customXml/itemProps7.xml><?xml version="1.0" encoding="utf-8"?>
<ds:datastoreItem xmlns:ds="http://schemas.openxmlformats.org/officeDocument/2006/customXml" ds:itemID="{b3011277-b375-43b4-8e0c-6abac6f7f0e4}">
  <ds:schemaRefs/>
</ds:datastoreItem>
</file>

<file path=customXml/itemProps8.xml><?xml version="1.0" encoding="utf-8"?>
<ds:datastoreItem xmlns:ds="http://schemas.openxmlformats.org/officeDocument/2006/customXml" ds:itemID="{0987c3d1-9e12-4927-b8af-662cb2cf7a9c}">
  <ds:schemaRefs/>
</ds:datastoreItem>
</file>

<file path=customXml/itemProps9.xml><?xml version="1.0" encoding="utf-8"?>
<ds:datastoreItem xmlns:ds="http://schemas.openxmlformats.org/officeDocument/2006/customXml" ds:itemID="{f5c28a6a-5326-4b6b-992f-ca1ce8ad1eb0}">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2023-05-15T14:29:00Z</dcterms:created>
  <dc:creator>Administrator</dc:creator>
  <cp:lastModifiedBy>Administrator</cp:lastModifiedBy>
  <dcterms:modified xsi:type="dcterms:W3CDTF">2024-06-20T14:54:28Z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E3AF6F3B07FA48CC86AF389837DA2996</vt:lpwstr>
  </property>
</Properties>
</file>