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adjustRightInd w:val="0"/>
        <w:snapToGrid w:val="0"/>
        <w:jc w:val="center"/>
        <w:rPr>
          <w:rFonts w:ascii="方正小标宋_GBK" w:hAnsi="Times New Roman" w:eastAsia="方正小标宋_GBK" w:cs="Times New Roman"/>
          <w:bCs/>
          <w:sz w:val="44"/>
          <w:szCs w:val="44"/>
        </w:rPr>
      </w:pPr>
      <w:bookmarkStart w:id="5" w:name="_GoBack"/>
      <w:bookmarkEnd w:id="5"/>
    </w:p>
    <w:p>
      <w:pPr>
        <w:adjustRightInd w:val="0"/>
        <w:snapToGrid w:val="0"/>
        <w:jc w:val="center"/>
        <w:rPr>
          <w:rFonts w:ascii="方正小标宋_GBK" w:hAnsi="Times New Roman" w:eastAsia="方正小标宋_GBK" w:cs="Times New Roman"/>
          <w:bCs/>
          <w:sz w:val="44"/>
          <w:szCs w:val="44"/>
        </w:rPr>
      </w:pPr>
    </w:p>
    <w:p>
      <w:pPr>
        <w:adjustRightInd w:val="0"/>
        <w:snapToGrid w:val="0"/>
        <w:jc w:val="center"/>
        <w:rPr>
          <w:rFonts w:ascii="方正小标宋_GBK" w:hAnsi="Times New Roman" w:eastAsia="方正小标宋_GBK" w:cs="Times New Roman"/>
          <w:bCs/>
          <w:sz w:val="44"/>
          <w:szCs w:val="44"/>
        </w:rPr>
      </w:pPr>
      <w:r>
        <w:rPr>
          <w:rFonts w:hint="eastAsia" w:ascii="方正小标宋_GBK" w:hAnsi="Times New Roman" w:eastAsia="方正小标宋_GBK" w:cs="Times New Roman"/>
          <w:bCs/>
          <w:sz w:val="44"/>
          <w:szCs w:val="44"/>
        </w:rPr>
        <w:t>无极县里城道乡人民政府</w:t>
      </w:r>
    </w:p>
    <w:p>
      <w:pPr>
        <w:adjustRightInd w:val="0"/>
        <w:snapToGrid w:val="0"/>
        <w:jc w:val="center"/>
        <w:rPr>
          <w:rFonts w:ascii="方正小标宋_GBK" w:hAnsi="Times New Roman" w:eastAsia="方正小标宋_GBK" w:cs="Times New Roman"/>
          <w:bCs/>
          <w:sz w:val="44"/>
          <w:szCs w:val="44"/>
        </w:rPr>
      </w:pPr>
      <w:r>
        <w:rPr>
          <w:rFonts w:hint="eastAsia" w:ascii="方正小标宋_GBK" w:hAnsi="Times New Roman" w:eastAsia="方正小标宋_GBK" w:cs="Times New Roman"/>
          <w:bCs/>
          <w:sz w:val="44"/>
          <w:szCs w:val="44"/>
        </w:rPr>
        <w:t>2020年部门预算信息公开情况说明</w:t>
      </w:r>
    </w:p>
    <w:p>
      <w:pPr>
        <w:ind w:firstLine="640"/>
        <w:rPr>
          <w:rFonts w:ascii="Times New Roman" w:hAnsi="Times New Roman" w:eastAsia="仿宋" w:cs="Times New Roman"/>
          <w:sz w:val="32"/>
          <w:szCs w:val="32"/>
        </w:rPr>
      </w:pPr>
    </w:p>
    <w:p>
      <w:pPr>
        <w:ind w:firstLine="640" w:firstLineChars="200"/>
        <w:rPr>
          <w:rFonts w:ascii="仿宋" w:hAnsi="仿宋" w:eastAsia="仿宋" w:cs="仿宋"/>
          <w:sz w:val="32"/>
          <w:szCs w:val="32"/>
        </w:rPr>
      </w:pPr>
      <w:r>
        <w:rPr>
          <w:rFonts w:hint="eastAsia" w:ascii="Times New Roman" w:hAnsi="Times New Roman" w:eastAsia="仿宋" w:cs="Times New Roman"/>
          <w:sz w:val="32"/>
          <w:szCs w:val="32"/>
        </w:rPr>
        <w:t>按照</w:t>
      </w:r>
      <w:r>
        <w:rPr>
          <w:rFonts w:hint="eastAsia" w:ascii="Times New Roman" w:hAnsi="Times New Roman" w:eastAsia="仿宋" w:cs="Times New Roman"/>
          <w:sz w:val="32"/>
          <w:szCs w:val="32"/>
          <w:lang w:eastAsia="zh-CN"/>
        </w:rPr>
        <w:t>《中华人民共和国预算法》</w:t>
      </w:r>
      <w:r>
        <w:rPr>
          <w:rFonts w:hint="eastAsia" w:ascii="Times New Roman" w:hAnsi="Times New Roman" w:eastAsia="仿宋" w:cs="Times New Roman"/>
          <w:sz w:val="32"/>
          <w:szCs w:val="32"/>
        </w:rPr>
        <w:t>、《地方预决算公开操作规程》和《河北省省级预算公开办法》规定，</w:t>
      </w:r>
      <w:r>
        <w:rPr>
          <w:rFonts w:hint="eastAsia" w:ascii="仿宋" w:hAnsi="仿宋" w:eastAsia="仿宋" w:cs="仿宋"/>
          <w:sz w:val="32"/>
          <w:szCs w:val="32"/>
        </w:rPr>
        <w:t>现将2020年部门预算公开如下：</w:t>
      </w:r>
    </w:p>
    <w:p>
      <w:pPr>
        <w:ind w:firstLine="640"/>
        <w:rPr>
          <w:rFonts w:ascii="黑体" w:hAnsi="黑体" w:eastAsia="黑体" w:cs="Times New Roman"/>
          <w:sz w:val="32"/>
          <w:szCs w:val="32"/>
        </w:rPr>
      </w:pPr>
      <w:r>
        <w:rPr>
          <w:rFonts w:hint="eastAsia" w:ascii="黑体" w:hAnsi="黑体" w:eastAsia="黑体" w:cs="Times New Roman"/>
          <w:sz w:val="32"/>
          <w:szCs w:val="32"/>
        </w:rPr>
        <w:t>一、部门职责及机构设置情况</w:t>
      </w:r>
    </w:p>
    <w:p>
      <w:pPr>
        <w:adjustRightInd w:val="0"/>
        <w:snapToGrid w:val="0"/>
        <w:spacing w:line="560" w:lineRule="exact"/>
        <w:ind w:firstLine="630" w:firstLineChars="196"/>
        <w:jc w:val="left"/>
        <w:rPr>
          <w:rFonts w:ascii="仿宋_GB2312" w:hAnsi="仿宋" w:eastAsia="仿宋_GB2312"/>
          <w:sz w:val="32"/>
          <w:szCs w:val="32"/>
        </w:rPr>
      </w:pPr>
      <w:r>
        <w:rPr>
          <w:rFonts w:hint="eastAsia" w:ascii="仿宋" w:hAnsi="仿宋" w:eastAsia="仿宋" w:cs="Times New Roman"/>
          <w:b/>
          <w:sz w:val="32"/>
          <w:szCs w:val="32"/>
        </w:rPr>
        <w:t>部门</w:t>
      </w:r>
      <w:r>
        <w:rPr>
          <w:rFonts w:ascii="仿宋" w:hAnsi="仿宋" w:eastAsia="仿宋" w:cs="Times New Roman"/>
          <w:b/>
          <w:sz w:val="32"/>
          <w:szCs w:val="32"/>
        </w:rPr>
        <w:t>职责：</w:t>
      </w:r>
      <w:r>
        <w:rPr>
          <w:rFonts w:hint="eastAsia" w:ascii="仿宋_GB2312" w:hAnsi="仿宋" w:eastAsia="仿宋_GB2312"/>
          <w:sz w:val="32"/>
          <w:szCs w:val="32"/>
        </w:rPr>
        <w:t>宣传、贯彻、执行党的路线方针政策和国家的法律、法规,执行本级人民代表大会的决议和上级国家行政机关的决定和命令,其主要职能为:</w:t>
      </w:r>
    </w:p>
    <w:p>
      <w:pPr>
        <w:adjustRightInd w:val="0"/>
        <w:snapToGrid w:val="0"/>
        <w:spacing w:line="560" w:lineRule="exact"/>
        <w:ind w:left="420" w:leftChars="200"/>
        <w:jc w:val="left"/>
        <w:rPr>
          <w:rFonts w:ascii="仿宋_GB2312" w:hAnsi="仿宋" w:eastAsia="仿宋_GB2312"/>
          <w:sz w:val="32"/>
          <w:szCs w:val="32"/>
        </w:rPr>
      </w:pPr>
      <w:r>
        <w:rPr>
          <w:rFonts w:hint="eastAsia" w:ascii="仿宋_GB2312" w:hAnsi="仿宋"/>
          <w:sz w:val="32"/>
          <w:szCs w:val="32"/>
        </w:rPr>
        <w:t>1.</w:t>
      </w:r>
      <w:r>
        <w:rPr>
          <w:rFonts w:hint="eastAsia" w:ascii="仿宋_GB2312" w:hAnsi="仿宋" w:eastAsia="仿宋_GB2312"/>
          <w:sz w:val="32"/>
          <w:szCs w:val="32"/>
        </w:rPr>
        <w:t>促进经济发展</w:t>
      </w:r>
    </w:p>
    <w:p>
      <w:pPr>
        <w:adjustRightInd w:val="0"/>
        <w:snapToGrid w:val="0"/>
        <w:spacing w:line="560" w:lineRule="exact"/>
        <w:ind w:firstLine="640" w:firstLineChars="200"/>
        <w:jc w:val="left"/>
        <w:rPr>
          <w:rFonts w:ascii="仿宋_GB2312" w:hAnsi="仿宋" w:eastAsia="仿宋_GB2312"/>
          <w:sz w:val="32"/>
          <w:szCs w:val="32"/>
        </w:rPr>
      </w:pPr>
      <w:r>
        <w:rPr>
          <w:rFonts w:hint="eastAsia" w:ascii="仿宋_GB2312" w:hAnsi="仿宋" w:eastAsia="仿宋_GB2312"/>
          <w:sz w:val="32"/>
          <w:szCs w:val="32"/>
        </w:rPr>
        <w:t>主要包括:（1）搞好本乡镇产业发展规划,引导农民立足自身资源和区位条件,发展优势,大力发展区域特色经济。为农民提供政策、信息等服务,促进农民脱贫致富。（2）加强工业经济管理,为招商引资营造良好环境(投资环境、社会环境)大力发展第二、第三产业,加快城镇化进程;（3）配合民政、商务和供销社等部门,培育和发展农村经济合作组织(各种协会及中介组织);配合农口部门做好农业技术推广和服务工作</w:t>
      </w:r>
    </w:p>
    <w:p>
      <w:pPr>
        <w:adjustRightInd w:val="0"/>
        <w:snapToGrid w:val="0"/>
        <w:spacing w:line="560" w:lineRule="exact"/>
        <w:ind w:firstLine="627" w:firstLineChars="196"/>
        <w:jc w:val="left"/>
        <w:rPr>
          <w:rFonts w:ascii="仿宋_GB2312" w:hAnsi="仿宋" w:eastAsia="仿宋_GB2312"/>
          <w:sz w:val="32"/>
          <w:szCs w:val="32"/>
        </w:rPr>
      </w:pPr>
      <w:r>
        <w:rPr>
          <w:rFonts w:hint="eastAsia" w:ascii="仿宋_GB2312" w:hAnsi="仿宋" w:eastAsia="仿宋_GB2312"/>
          <w:sz w:val="32"/>
          <w:szCs w:val="32"/>
        </w:rPr>
        <w:t>2.加强社会管理</w:t>
      </w:r>
    </w:p>
    <w:p>
      <w:pPr>
        <w:adjustRightInd w:val="0"/>
        <w:snapToGrid w:val="0"/>
        <w:spacing w:line="560" w:lineRule="exact"/>
        <w:ind w:firstLine="627" w:firstLineChars="196"/>
        <w:jc w:val="left"/>
        <w:rPr>
          <w:rFonts w:ascii="仿宋_GB2312" w:hAnsi="仿宋" w:eastAsia="仿宋_GB2312"/>
          <w:sz w:val="32"/>
          <w:szCs w:val="32"/>
        </w:rPr>
      </w:pPr>
      <w:r>
        <w:rPr>
          <w:rFonts w:hint="eastAsia" w:ascii="仿宋_GB2312" w:hAnsi="仿宋" w:eastAsia="仿宋_GB2312"/>
          <w:sz w:val="32"/>
          <w:szCs w:val="32"/>
        </w:rPr>
        <w:t>主要包括:（1）加强乡村财政资金监督管理、农村合同管理及农民减负工作;做好乡镇统计、审计等工作。（2）做好人口和计划生育管理工作及计划生育协会工作。加强流动人口生育管理和计划生育技术服务站等工作。（3）推进农村民主政治建设和村民自治,加强农村基层组织建设,为实现公民在选举、决策、管理等方面的民主权利创造条件。（4）加强农村精神文明建设和生态文明村建设,制定构建和谐社会的具体措施,并抓好组织实施。（5）配合城建、国土资源部门做好镇村建设规划、保护耕地工作。（6）配合安全生产监督管理部门做好安全生产监督管理工作。（7）配合武装部做好征兵工作及民兵工作。（8）配合环保部门做好保护环境,改善生态环境工作,提高资源利用率</w:t>
      </w:r>
    </w:p>
    <w:p>
      <w:pPr>
        <w:adjustRightInd w:val="0"/>
        <w:snapToGrid w:val="0"/>
        <w:spacing w:line="560" w:lineRule="exact"/>
        <w:ind w:firstLine="627" w:firstLineChars="196"/>
        <w:jc w:val="left"/>
        <w:rPr>
          <w:rFonts w:ascii="仿宋_GB2312" w:hAnsi="仿宋" w:eastAsia="仿宋_GB2312"/>
          <w:sz w:val="32"/>
          <w:szCs w:val="32"/>
        </w:rPr>
      </w:pPr>
      <w:r>
        <w:rPr>
          <w:rFonts w:hint="eastAsia" w:ascii="仿宋_GB2312" w:hAnsi="仿宋" w:eastAsia="仿宋_GB2312"/>
          <w:sz w:val="32"/>
          <w:szCs w:val="32"/>
        </w:rPr>
        <w:t>3.提供公共服务</w:t>
      </w:r>
    </w:p>
    <w:p>
      <w:pPr>
        <w:adjustRightInd w:val="0"/>
        <w:snapToGrid w:val="0"/>
        <w:spacing w:line="560" w:lineRule="exact"/>
        <w:ind w:firstLine="627" w:firstLineChars="196"/>
        <w:jc w:val="left"/>
        <w:rPr>
          <w:rFonts w:ascii="仿宋_GB2312" w:hAnsi="仿宋" w:eastAsia="仿宋_GB2312"/>
          <w:sz w:val="32"/>
          <w:szCs w:val="32"/>
        </w:rPr>
      </w:pPr>
      <w:r>
        <w:rPr>
          <w:rFonts w:hint="eastAsia" w:ascii="仿宋_GB2312" w:hAnsi="仿宋" w:eastAsia="仿宋_GB2312"/>
          <w:sz w:val="32"/>
          <w:szCs w:val="32"/>
        </w:rPr>
        <w:t>主要包括:（1）量力组织乡村公共基础设施建设。（2）配合教育、科技、文体、卫生等部门搞好九年义务教育,普及推广科学技术,丰富农村文化生活,开展全民健身运动,推行和完善新型合作医疗制度,提高参保率;（3）配合农口部门(农、林、牧、水)做好农业技术服务和技术推广工作,动物防疫工作;加强农田水利基本建设,增强农业抗御自然灾害的能力。（4）配合广播电视、电力、电信等部门,做好普及有线电视、电网改造工作,扩大通讯网络在农村的覆盖面。（5）配合民政、残联部门做好农村扶贫和低保工作以及特困户救助和残疾人服务工作。配合劳动部门做好农村劳动力职业培训、劳动就业和社会保障工作。</w:t>
      </w:r>
    </w:p>
    <w:p>
      <w:pPr>
        <w:adjustRightInd w:val="0"/>
        <w:snapToGrid w:val="0"/>
        <w:spacing w:line="560" w:lineRule="exact"/>
        <w:ind w:firstLine="627" w:firstLineChars="196"/>
        <w:jc w:val="left"/>
        <w:rPr>
          <w:rFonts w:ascii="仿宋_GB2312" w:hAnsi="仿宋" w:eastAsia="仿宋_GB2312"/>
          <w:sz w:val="32"/>
          <w:szCs w:val="32"/>
        </w:rPr>
      </w:pPr>
      <w:r>
        <w:rPr>
          <w:rFonts w:hint="eastAsia" w:ascii="仿宋_GB2312" w:hAnsi="仿宋" w:eastAsia="仿宋_GB2312"/>
          <w:sz w:val="32"/>
          <w:szCs w:val="32"/>
        </w:rPr>
        <w:t>4.维护农村稳定</w:t>
      </w:r>
    </w:p>
    <w:p>
      <w:pPr>
        <w:adjustRightInd w:val="0"/>
        <w:snapToGrid w:val="0"/>
        <w:spacing w:line="560" w:lineRule="exact"/>
        <w:ind w:firstLine="627" w:firstLineChars="196"/>
        <w:jc w:val="left"/>
        <w:rPr>
          <w:rFonts w:ascii="仿宋" w:hAnsi="仿宋" w:eastAsia="仿宋" w:cs="Times New Roman"/>
          <w:sz w:val="32"/>
          <w:szCs w:val="32"/>
        </w:rPr>
      </w:pPr>
      <w:r>
        <w:rPr>
          <w:rFonts w:hint="eastAsia" w:ascii="仿宋_GB2312" w:hAnsi="仿宋" w:eastAsia="仿宋_GB2312"/>
          <w:sz w:val="32"/>
          <w:szCs w:val="32"/>
        </w:rPr>
        <w:t>主要包括:（1）做好社会治安综合</w:t>
      </w:r>
      <w:r>
        <w:rPr>
          <w:rFonts w:hint="eastAsia" w:ascii="仿宋_GB2312" w:hAnsi="仿宋" w:eastAsia="仿宋_GB2312"/>
          <w:sz w:val="32"/>
          <w:szCs w:val="32"/>
          <w:lang w:eastAsia="zh-CN"/>
        </w:rPr>
        <w:t>治理</w:t>
      </w:r>
      <w:r>
        <w:rPr>
          <w:rFonts w:hint="eastAsia" w:ascii="仿宋_GB2312" w:hAnsi="仿宋" w:eastAsia="仿宋_GB2312"/>
          <w:sz w:val="32"/>
          <w:szCs w:val="32"/>
        </w:rPr>
        <w:t>工作;（2）宣传贯彻国家法律法规和政策,增强农民法律意识,教育农民知法、懂法、守法;（3）做好司法、宗教工作,打击邪教;（4）做好群众来信来访、法律咨询、搞好农村矛盾纠纷排查调处;（5）妥善处理突发性、群体性事件,维护社会稳定;（6）协助司法机关打击各类刑事犯罪活动。</w:t>
      </w:r>
    </w:p>
    <w:p>
      <w:pPr>
        <w:ind w:firstLine="643" w:firstLineChars="200"/>
        <w:rPr>
          <w:rFonts w:ascii="仿宋" w:hAnsi="仿宋" w:eastAsia="仿宋" w:cs="Times New Roman"/>
          <w:b/>
          <w:sz w:val="32"/>
          <w:szCs w:val="32"/>
        </w:rPr>
      </w:pPr>
      <w:r>
        <w:rPr>
          <w:rFonts w:hint="eastAsia" w:ascii="仿宋" w:hAnsi="仿宋" w:eastAsia="仿宋" w:cs="Times New Roman"/>
          <w:b/>
          <w:sz w:val="32"/>
          <w:szCs w:val="32"/>
        </w:rPr>
        <w:t>机构设置：</w:t>
      </w:r>
    </w:p>
    <w:tbl>
      <w:tblPr>
        <w:tblStyle w:val="7"/>
        <w:tblW w:w="9600" w:type="dxa"/>
        <w:tblInd w:w="93" w:type="dxa"/>
        <w:tblLayout w:type="fixed"/>
        <w:tblCellMar>
          <w:top w:w="0" w:type="dxa"/>
          <w:left w:w="108" w:type="dxa"/>
          <w:bottom w:w="0" w:type="dxa"/>
          <w:right w:w="108" w:type="dxa"/>
        </w:tblCellMar>
      </w:tblPr>
      <w:tblGrid>
        <w:gridCol w:w="3705"/>
        <w:gridCol w:w="1676"/>
        <w:gridCol w:w="1413"/>
        <w:gridCol w:w="2806"/>
      </w:tblGrid>
      <w:tr>
        <w:tblPrEx>
          <w:tblCellMar>
            <w:top w:w="0" w:type="dxa"/>
            <w:left w:w="108" w:type="dxa"/>
            <w:bottom w:w="0" w:type="dxa"/>
            <w:right w:w="108" w:type="dxa"/>
          </w:tblCellMar>
        </w:tblPrEx>
        <w:trPr>
          <w:trHeight w:val="569" w:hRule="atLeast"/>
        </w:trPr>
        <w:tc>
          <w:tcPr>
            <w:tcW w:w="9600" w:type="dxa"/>
            <w:gridSpan w:val="4"/>
            <w:tcBorders>
              <w:top w:val="nil"/>
              <w:left w:val="nil"/>
              <w:bottom w:val="nil"/>
              <w:right w:val="nil"/>
            </w:tcBorders>
            <w:vAlign w:val="center"/>
          </w:tcPr>
          <w:p>
            <w:pPr>
              <w:widowControl/>
              <w:spacing w:line="560" w:lineRule="exact"/>
              <w:jc w:val="center"/>
              <w:rPr>
                <w:rFonts w:ascii="宋体" w:hAnsi="宋体" w:cs="宋体"/>
                <w:b/>
                <w:bCs/>
                <w:kern w:val="0"/>
                <w:sz w:val="36"/>
                <w:szCs w:val="36"/>
              </w:rPr>
            </w:pPr>
            <w:r>
              <w:rPr>
                <w:rFonts w:hint="eastAsia" w:ascii="宋体" w:hAnsi="宋体" w:cs="宋体"/>
                <w:b/>
                <w:bCs/>
                <w:kern w:val="0"/>
                <w:sz w:val="36"/>
                <w:szCs w:val="36"/>
              </w:rPr>
              <w:t>部门机构设置情况</w:t>
            </w:r>
          </w:p>
        </w:tc>
      </w:tr>
      <w:tr>
        <w:tblPrEx>
          <w:tblCellMar>
            <w:top w:w="0" w:type="dxa"/>
            <w:left w:w="108" w:type="dxa"/>
            <w:bottom w:w="0" w:type="dxa"/>
            <w:right w:w="108" w:type="dxa"/>
          </w:tblCellMar>
        </w:tblPrEx>
        <w:trPr>
          <w:trHeight w:val="579" w:hRule="atLeast"/>
        </w:trPr>
        <w:tc>
          <w:tcPr>
            <w:tcW w:w="3705" w:type="dxa"/>
            <w:tcBorders>
              <w:top w:val="single" w:color="auto" w:sz="4" w:space="0"/>
              <w:left w:val="single" w:color="auto" w:sz="4" w:space="0"/>
              <w:bottom w:val="single" w:color="auto" w:sz="4" w:space="0"/>
              <w:right w:val="single" w:color="auto" w:sz="4" w:space="0"/>
            </w:tcBorders>
            <w:vAlign w:val="center"/>
          </w:tcPr>
          <w:p>
            <w:pPr>
              <w:widowControl/>
              <w:spacing w:line="560" w:lineRule="exact"/>
              <w:jc w:val="center"/>
              <w:rPr>
                <w:rFonts w:ascii="仿宋_GB2312" w:hAnsi="宋体" w:eastAsia="仿宋_GB2312" w:cs="宋体"/>
                <w:b/>
                <w:bCs/>
                <w:kern w:val="0"/>
                <w:sz w:val="24"/>
              </w:rPr>
            </w:pPr>
            <w:r>
              <w:rPr>
                <w:rFonts w:hint="eastAsia" w:ascii="仿宋_GB2312" w:hAnsi="宋体" w:eastAsia="仿宋_GB2312" w:cs="宋体"/>
                <w:b/>
                <w:bCs/>
                <w:kern w:val="0"/>
                <w:sz w:val="24"/>
              </w:rPr>
              <w:t>单位名称</w:t>
            </w:r>
          </w:p>
        </w:tc>
        <w:tc>
          <w:tcPr>
            <w:tcW w:w="1676" w:type="dxa"/>
            <w:tcBorders>
              <w:top w:val="single" w:color="auto" w:sz="4" w:space="0"/>
              <w:left w:val="nil"/>
              <w:bottom w:val="single" w:color="auto" w:sz="4" w:space="0"/>
              <w:right w:val="single" w:color="auto" w:sz="4" w:space="0"/>
            </w:tcBorders>
            <w:vAlign w:val="center"/>
          </w:tcPr>
          <w:p>
            <w:pPr>
              <w:widowControl/>
              <w:spacing w:line="560" w:lineRule="exact"/>
              <w:rPr>
                <w:rFonts w:ascii="仿宋_GB2312" w:hAnsi="宋体" w:eastAsia="仿宋_GB2312" w:cs="宋体"/>
                <w:b/>
                <w:bCs/>
                <w:kern w:val="0"/>
                <w:sz w:val="24"/>
              </w:rPr>
            </w:pPr>
            <w:r>
              <w:rPr>
                <w:rFonts w:hint="eastAsia" w:ascii="仿宋_GB2312" w:hAnsi="宋体" w:eastAsia="仿宋_GB2312" w:cs="宋体"/>
                <w:b/>
                <w:bCs/>
                <w:kern w:val="0"/>
                <w:sz w:val="24"/>
              </w:rPr>
              <w:t>单位性质</w:t>
            </w:r>
          </w:p>
        </w:tc>
        <w:tc>
          <w:tcPr>
            <w:tcW w:w="1413" w:type="dxa"/>
            <w:tcBorders>
              <w:top w:val="single" w:color="auto" w:sz="4" w:space="0"/>
              <w:left w:val="nil"/>
              <w:bottom w:val="single" w:color="auto" w:sz="4" w:space="0"/>
              <w:right w:val="single" w:color="auto" w:sz="4" w:space="0"/>
            </w:tcBorders>
            <w:vAlign w:val="center"/>
          </w:tcPr>
          <w:p>
            <w:pPr>
              <w:widowControl/>
              <w:spacing w:line="560" w:lineRule="exact"/>
              <w:rPr>
                <w:rFonts w:ascii="仿宋_GB2312" w:hAnsi="宋体" w:eastAsia="仿宋_GB2312" w:cs="宋体"/>
                <w:b/>
                <w:bCs/>
                <w:kern w:val="0"/>
                <w:sz w:val="24"/>
              </w:rPr>
            </w:pPr>
            <w:r>
              <w:rPr>
                <w:rFonts w:hint="eastAsia" w:ascii="仿宋_GB2312" w:hAnsi="宋体" w:eastAsia="仿宋_GB2312" w:cs="宋体"/>
                <w:b/>
                <w:bCs/>
                <w:kern w:val="0"/>
                <w:sz w:val="24"/>
              </w:rPr>
              <w:t>单位规格</w:t>
            </w:r>
          </w:p>
        </w:tc>
        <w:tc>
          <w:tcPr>
            <w:tcW w:w="2806" w:type="dxa"/>
            <w:tcBorders>
              <w:top w:val="single" w:color="auto" w:sz="4" w:space="0"/>
              <w:left w:val="nil"/>
              <w:bottom w:val="single" w:color="auto" w:sz="4" w:space="0"/>
              <w:right w:val="single" w:color="auto" w:sz="4" w:space="0"/>
            </w:tcBorders>
            <w:vAlign w:val="center"/>
          </w:tcPr>
          <w:p>
            <w:pPr>
              <w:widowControl/>
              <w:spacing w:line="560" w:lineRule="exact"/>
              <w:rPr>
                <w:rFonts w:ascii="仿宋_GB2312" w:hAnsi="宋体" w:eastAsia="仿宋_GB2312" w:cs="宋体"/>
                <w:b/>
                <w:bCs/>
                <w:kern w:val="0"/>
                <w:sz w:val="24"/>
              </w:rPr>
            </w:pPr>
            <w:r>
              <w:rPr>
                <w:rFonts w:hint="eastAsia" w:ascii="仿宋_GB2312" w:hAnsi="宋体" w:eastAsia="仿宋_GB2312" w:cs="宋体"/>
                <w:b/>
                <w:bCs/>
                <w:kern w:val="0"/>
                <w:sz w:val="24"/>
              </w:rPr>
              <w:t>经费保障形式</w:t>
            </w:r>
          </w:p>
        </w:tc>
      </w:tr>
      <w:tr>
        <w:tblPrEx>
          <w:tblCellMar>
            <w:top w:w="0" w:type="dxa"/>
            <w:left w:w="108" w:type="dxa"/>
            <w:bottom w:w="0" w:type="dxa"/>
            <w:right w:w="108" w:type="dxa"/>
          </w:tblCellMar>
        </w:tblPrEx>
        <w:trPr>
          <w:trHeight w:val="579" w:hRule="atLeast"/>
        </w:trPr>
        <w:tc>
          <w:tcPr>
            <w:tcW w:w="3705" w:type="dxa"/>
            <w:tcBorders>
              <w:top w:val="nil"/>
              <w:left w:val="single" w:color="auto" w:sz="4" w:space="0"/>
              <w:bottom w:val="single" w:color="auto" w:sz="4" w:space="0"/>
              <w:right w:val="single" w:color="auto" w:sz="4" w:space="0"/>
            </w:tcBorders>
            <w:vAlign w:val="center"/>
          </w:tcPr>
          <w:p>
            <w:pPr>
              <w:widowControl/>
              <w:spacing w:line="560" w:lineRule="exact"/>
              <w:jc w:val="left"/>
              <w:rPr>
                <w:rFonts w:ascii="仿宋_GB2312" w:hAnsi="宋体" w:eastAsia="仿宋_GB2312" w:cs="宋体"/>
                <w:kern w:val="0"/>
                <w:sz w:val="24"/>
              </w:rPr>
            </w:pPr>
            <w:r>
              <w:rPr>
                <w:rFonts w:hint="eastAsia" w:ascii="仿宋_GB2312" w:hAnsi="宋体" w:eastAsia="仿宋_GB2312" w:cs="宋体"/>
                <w:kern w:val="0"/>
                <w:sz w:val="24"/>
              </w:rPr>
              <w:t>无极县里城道乡政府机关</w:t>
            </w:r>
          </w:p>
        </w:tc>
        <w:tc>
          <w:tcPr>
            <w:tcW w:w="1676" w:type="dxa"/>
            <w:tcBorders>
              <w:top w:val="nil"/>
              <w:left w:val="nil"/>
              <w:bottom w:val="single" w:color="auto" w:sz="4" w:space="0"/>
              <w:right w:val="single" w:color="auto" w:sz="4" w:space="0"/>
            </w:tcBorders>
            <w:vAlign w:val="center"/>
          </w:tcPr>
          <w:p>
            <w:pPr>
              <w:widowControl/>
              <w:spacing w:line="560" w:lineRule="exact"/>
              <w:jc w:val="left"/>
              <w:rPr>
                <w:rFonts w:ascii="仿宋_GB2312" w:hAnsi="宋体" w:eastAsia="仿宋_GB2312" w:cs="宋体"/>
                <w:kern w:val="0"/>
                <w:sz w:val="24"/>
              </w:rPr>
            </w:pPr>
            <w:r>
              <w:rPr>
                <w:rFonts w:hint="eastAsia" w:ascii="仿宋_GB2312" w:hAnsi="宋体" w:eastAsia="仿宋_GB2312" w:cs="宋体"/>
                <w:kern w:val="0"/>
                <w:sz w:val="24"/>
              </w:rPr>
              <w:t>行政</w:t>
            </w:r>
          </w:p>
        </w:tc>
        <w:tc>
          <w:tcPr>
            <w:tcW w:w="1413" w:type="dxa"/>
            <w:tcBorders>
              <w:top w:val="nil"/>
              <w:left w:val="nil"/>
              <w:bottom w:val="single" w:color="auto" w:sz="4" w:space="0"/>
              <w:right w:val="single" w:color="auto" w:sz="4" w:space="0"/>
            </w:tcBorders>
            <w:vAlign w:val="center"/>
          </w:tcPr>
          <w:p>
            <w:pPr>
              <w:widowControl/>
              <w:spacing w:line="560" w:lineRule="exact"/>
              <w:jc w:val="left"/>
              <w:rPr>
                <w:rFonts w:ascii="仿宋_GB2312" w:hAnsi="宋体" w:eastAsia="仿宋_GB2312" w:cs="宋体"/>
                <w:kern w:val="0"/>
                <w:sz w:val="24"/>
              </w:rPr>
            </w:pPr>
            <w:r>
              <w:rPr>
                <w:rFonts w:hint="eastAsia" w:ascii="仿宋_GB2312" w:hAnsi="宋体" w:eastAsia="仿宋_GB2312" w:cs="宋体"/>
                <w:kern w:val="0"/>
                <w:sz w:val="24"/>
              </w:rPr>
              <w:t>正科级</w:t>
            </w:r>
          </w:p>
        </w:tc>
        <w:tc>
          <w:tcPr>
            <w:tcW w:w="2806" w:type="dxa"/>
            <w:tcBorders>
              <w:top w:val="nil"/>
              <w:left w:val="nil"/>
              <w:bottom w:val="single" w:color="auto" w:sz="4" w:space="0"/>
              <w:right w:val="single" w:color="auto" w:sz="4" w:space="0"/>
            </w:tcBorders>
            <w:vAlign w:val="center"/>
          </w:tcPr>
          <w:p>
            <w:pPr>
              <w:widowControl/>
              <w:spacing w:line="560" w:lineRule="exact"/>
              <w:jc w:val="left"/>
              <w:rPr>
                <w:rFonts w:ascii="仿宋_GB2312" w:hAnsi="宋体" w:eastAsia="仿宋_GB2312" w:cs="宋体"/>
                <w:kern w:val="0"/>
                <w:sz w:val="24"/>
              </w:rPr>
            </w:pPr>
            <w:r>
              <w:rPr>
                <w:rFonts w:hint="eastAsia" w:ascii="仿宋_GB2312" w:hAnsi="宋体" w:eastAsia="仿宋_GB2312" w:cs="宋体"/>
                <w:kern w:val="0"/>
                <w:sz w:val="24"/>
              </w:rPr>
              <w:t>财政拨款</w:t>
            </w:r>
          </w:p>
        </w:tc>
      </w:tr>
      <w:tr>
        <w:tblPrEx>
          <w:tblCellMar>
            <w:top w:w="0" w:type="dxa"/>
            <w:left w:w="108" w:type="dxa"/>
            <w:bottom w:w="0" w:type="dxa"/>
            <w:right w:w="108" w:type="dxa"/>
          </w:tblCellMar>
        </w:tblPrEx>
        <w:trPr>
          <w:trHeight w:val="579" w:hRule="atLeast"/>
        </w:trPr>
        <w:tc>
          <w:tcPr>
            <w:tcW w:w="3705" w:type="dxa"/>
            <w:tcBorders>
              <w:top w:val="nil"/>
              <w:left w:val="single" w:color="auto" w:sz="4" w:space="0"/>
              <w:bottom w:val="single" w:color="auto" w:sz="4" w:space="0"/>
              <w:right w:val="single" w:color="auto" w:sz="4" w:space="0"/>
            </w:tcBorders>
            <w:vAlign w:val="center"/>
          </w:tcPr>
          <w:p>
            <w:pPr>
              <w:widowControl/>
              <w:spacing w:line="560" w:lineRule="exact"/>
              <w:jc w:val="left"/>
              <w:rPr>
                <w:rFonts w:ascii="仿宋_GB2312" w:hAnsi="宋体" w:eastAsia="仿宋_GB2312" w:cs="宋体"/>
                <w:kern w:val="0"/>
                <w:sz w:val="24"/>
              </w:rPr>
            </w:pPr>
            <w:r>
              <w:rPr>
                <w:rFonts w:hint="eastAsia" w:ascii="仿宋_GB2312" w:hAnsi="宋体" w:eastAsia="仿宋_GB2312" w:cs="宋体"/>
                <w:kern w:val="0"/>
                <w:sz w:val="24"/>
              </w:rPr>
              <w:t>无极县里城道乡共产党机关</w:t>
            </w:r>
          </w:p>
        </w:tc>
        <w:tc>
          <w:tcPr>
            <w:tcW w:w="1676" w:type="dxa"/>
            <w:tcBorders>
              <w:top w:val="nil"/>
              <w:left w:val="nil"/>
              <w:bottom w:val="single" w:color="auto" w:sz="4" w:space="0"/>
              <w:right w:val="single" w:color="auto" w:sz="4" w:space="0"/>
            </w:tcBorders>
            <w:vAlign w:val="center"/>
          </w:tcPr>
          <w:p>
            <w:pPr>
              <w:widowControl/>
              <w:spacing w:line="560" w:lineRule="exact"/>
              <w:jc w:val="left"/>
              <w:rPr>
                <w:rFonts w:ascii="仿宋_GB2312" w:hAnsi="宋体" w:eastAsia="仿宋_GB2312" w:cs="宋体"/>
                <w:kern w:val="0"/>
                <w:sz w:val="24"/>
              </w:rPr>
            </w:pPr>
            <w:r>
              <w:rPr>
                <w:rFonts w:hint="eastAsia" w:ascii="仿宋_GB2312" w:hAnsi="宋体" w:eastAsia="仿宋_GB2312" w:cs="宋体"/>
                <w:kern w:val="0"/>
                <w:sz w:val="24"/>
              </w:rPr>
              <w:t>行政</w:t>
            </w:r>
          </w:p>
        </w:tc>
        <w:tc>
          <w:tcPr>
            <w:tcW w:w="1413" w:type="dxa"/>
            <w:tcBorders>
              <w:top w:val="nil"/>
              <w:left w:val="nil"/>
              <w:bottom w:val="single" w:color="auto" w:sz="4" w:space="0"/>
              <w:right w:val="single" w:color="auto" w:sz="4" w:space="0"/>
            </w:tcBorders>
            <w:vAlign w:val="center"/>
          </w:tcPr>
          <w:p>
            <w:pPr>
              <w:widowControl/>
              <w:spacing w:line="560" w:lineRule="exact"/>
              <w:jc w:val="left"/>
              <w:rPr>
                <w:rFonts w:ascii="仿宋_GB2312" w:hAnsi="宋体" w:eastAsia="仿宋_GB2312" w:cs="宋体"/>
                <w:kern w:val="0"/>
                <w:sz w:val="24"/>
              </w:rPr>
            </w:pPr>
            <w:r>
              <w:rPr>
                <w:rFonts w:hint="eastAsia" w:ascii="仿宋_GB2312" w:hAnsi="宋体" w:eastAsia="仿宋_GB2312" w:cs="宋体"/>
                <w:kern w:val="0"/>
                <w:sz w:val="24"/>
              </w:rPr>
              <w:t>正科级</w:t>
            </w:r>
          </w:p>
        </w:tc>
        <w:tc>
          <w:tcPr>
            <w:tcW w:w="2806" w:type="dxa"/>
            <w:tcBorders>
              <w:top w:val="nil"/>
              <w:left w:val="nil"/>
              <w:bottom w:val="single" w:color="auto" w:sz="4" w:space="0"/>
              <w:right w:val="single" w:color="auto" w:sz="4" w:space="0"/>
            </w:tcBorders>
            <w:vAlign w:val="center"/>
          </w:tcPr>
          <w:p>
            <w:pPr>
              <w:widowControl/>
              <w:spacing w:line="560" w:lineRule="exact"/>
              <w:jc w:val="left"/>
              <w:rPr>
                <w:rFonts w:ascii="仿宋_GB2312" w:hAnsi="宋体" w:eastAsia="仿宋_GB2312" w:cs="宋体"/>
                <w:kern w:val="0"/>
                <w:sz w:val="24"/>
              </w:rPr>
            </w:pPr>
            <w:r>
              <w:rPr>
                <w:rFonts w:hint="eastAsia" w:ascii="仿宋_GB2312" w:hAnsi="宋体" w:eastAsia="仿宋_GB2312" w:cs="宋体"/>
                <w:kern w:val="0"/>
                <w:sz w:val="24"/>
              </w:rPr>
              <w:t>财政拨款</w:t>
            </w:r>
          </w:p>
        </w:tc>
      </w:tr>
      <w:tr>
        <w:tblPrEx>
          <w:tblCellMar>
            <w:top w:w="0" w:type="dxa"/>
            <w:left w:w="108" w:type="dxa"/>
            <w:bottom w:w="0" w:type="dxa"/>
            <w:right w:w="108" w:type="dxa"/>
          </w:tblCellMar>
        </w:tblPrEx>
        <w:trPr>
          <w:trHeight w:val="579" w:hRule="atLeast"/>
        </w:trPr>
        <w:tc>
          <w:tcPr>
            <w:tcW w:w="3705" w:type="dxa"/>
            <w:tcBorders>
              <w:top w:val="nil"/>
              <w:left w:val="single" w:color="auto" w:sz="4" w:space="0"/>
              <w:bottom w:val="single" w:color="auto" w:sz="4" w:space="0"/>
              <w:right w:val="single" w:color="auto" w:sz="4" w:space="0"/>
            </w:tcBorders>
            <w:vAlign w:val="center"/>
          </w:tcPr>
          <w:p>
            <w:pPr>
              <w:widowControl/>
              <w:spacing w:line="560" w:lineRule="exact"/>
              <w:jc w:val="left"/>
              <w:rPr>
                <w:rFonts w:ascii="仿宋_GB2312" w:hAnsi="宋体" w:eastAsia="仿宋_GB2312" w:cs="宋体"/>
                <w:kern w:val="0"/>
                <w:sz w:val="24"/>
              </w:rPr>
            </w:pPr>
            <w:r>
              <w:rPr>
                <w:rFonts w:hint="eastAsia" w:ascii="仿宋_GB2312" w:hAnsi="宋体" w:eastAsia="仿宋_GB2312" w:cs="宋体"/>
                <w:kern w:val="0"/>
                <w:sz w:val="24"/>
              </w:rPr>
              <w:t>无极县里城道乡财政部门</w:t>
            </w:r>
          </w:p>
        </w:tc>
        <w:tc>
          <w:tcPr>
            <w:tcW w:w="1676" w:type="dxa"/>
            <w:tcBorders>
              <w:top w:val="nil"/>
              <w:left w:val="nil"/>
              <w:bottom w:val="single" w:color="auto" w:sz="4" w:space="0"/>
              <w:right w:val="single" w:color="auto" w:sz="4" w:space="0"/>
            </w:tcBorders>
            <w:vAlign w:val="center"/>
          </w:tcPr>
          <w:p>
            <w:pPr>
              <w:widowControl/>
              <w:spacing w:line="560" w:lineRule="exact"/>
              <w:jc w:val="left"/>
              <w:rPr>
                <w:rFonts w:ascii="仿宋_GB2312" w:hAnsi="宋体" w:eastAsia="仿宋_GB2312" w:cs="宋体"/>
                <w:kern w:val="0"/>
                <w:sz w:val="24"/>
              </w:rPr>
            </w:pPr>
            <w:r>
              <w:rPr>
                <w:rFonts w:hint="eastAsia" w:ascii="仿宋_GB2312" w:hAnsi="宋体" w:eastAsia="仿宋_GB2312" w:cs="宋体"/>
                <w:kern w:val="0"/>
                <w:sz w:val="24"/>
              </w:rPr>
              <w:t>事业</w:t>
            </w:r>
          </w:p>
        </w:tc>
        <w:tc>
          <w:tcPr>
            <w:tcW w:w="1413" w:type="dxa"/>
            <w:tcBorders>
              <w:top w:val="nil"/>
              <w:left w:val="nil"/>
              <w:bottom w:val="single" w:color="auto" w:sz="4" w:space="0"/>
              <w:right w:val="single" w:color="auto" w:sz="4" w:space="0"/>
            </w:tcBorders>
            <w:vAlign w:val="center"/>
          </w:tcPr>
          <w:p>
            <w:pPr>
              <w:widowControl/>
              <w:spacing w:line="560" w:lineRule="exact"/>
              <w:jc w:val="left"/>
              <w:rPr>
                <w:rFonts w:ascii="仿宋_GB2312" w:hAnsi="宋体" w:eastAsia="仿宋_GB2312" w:cs="宋体"/>
                <w:kern w:val="0"/>
                <w:sz w:val="24"/>
              </w:rPr>
            </w:pPr>
            <w:r>
              <w:rPr>
                <w:rFonts w:hint="eastAsia" w:ascii="仿宋_GB2312" w:hAnsi="宋体" w:eastAsia="仿宋_GB2312" w:cs="宋体"/>
                <w:kern w:val="0"/>
                <w:sz w:val="24"/>
              </w:rPr>
              <w:t>　</w:t>
            </w:r>
          </w:p>
        </w:tc>
        <w:tc>
          <w:tcPr>
            <w:tcW w:w="2806" w:type="dxa"/>
            <w:tcBorders>
              <w:top w:val="nil"/>
              <w:left w:val="nil"/>
              <w:bottom w:val="single" w:color="auto" w:sz="4" w:space="0"/>
              <w:right w:val="single" w:color="auto" w:sz="4" w:space="0"/>
            </w:tcBorders>
            <w:vAlign w:val="center"/>
          </w:tcPr>
          <w:p>
            <w:pPr>
              <w:widowControl/>
              <w:spacing w:line="560" w:lineRule="exact"/>
              <w:jc w:val="left"/>
              <w:rPr>
                <w:rFonts w:ascii="仿宋_GB2312" w:hAnsi="宋体" w:eastAsia="仿宋_GB2312" w:cs="宋体"/>
                <w:kern w:val="0"/>
                <w:sz w:val="24"/>
              </w:rPr>
            </w:pPr>
            <w:r>
              <w:rPr>
                <w:rFonts w:hint="eastAsia" w:ascii="仿宋_GB2312" w:hAnsi="宋体" w:eastAsia="仿宋_GB2312" w:cs="宋体"/>
                <w:kern w:val="0"/>
                <w:sz w:val="24"/>
              </w:rPr>
              <w:t>财政性资金基本保证</w:t>
            </w:r>
          </w:p>
        </w:tc>
      </w:tr>
      <w:tr>
        <w:tblPrEx>
          <w:tblCellMar>
            <w:top w:w="0" w:type="dxa"/>
            <w:left w:w="108" w:type="dxa"/>
            <w:bottom w:w="0" w:type="dxa"/>
            <w:right w:w="108" w:type="dxa"/>
          </w:tblCellMar>
        </w:tblPrEx>
        <w:trPr>
          <w:trHeight w:val="579" w:hRule="atLeast"/>
        </w:trPr>
        <w:tc>
          <w:tcPr>
            <w:tcW w:w="3705" w:type="dxa"/>
            <w:tcBorders>
              <w:top w:val="nil"/>
              <w:left w:val="single" w:color="auto" w:sz="4" w:space="0"/>
              <w:bottom w:val="single" w:color="auto" w:sz="4" w:space="0"/>
              <w:right w:val="single" w:color="auto" w:sz="4" w:space="0"/>
            </w:tcBorders>
            <w:vAlign w:val="center"/>
          </w:tcPr>
          <w:p>
            <w:pPr>
              <w:widowControl/>
              <w:spacing w:line="560" w:lineRule="exact"/>
              <w:jc w:val="left"/>
              <w:rPr>
                <w:rFonts w:ascii="仿宋_GB2312" w:hAnsi="宋体" w:eastAsia="仿宋_GB2312" w:cs="宋体"/>
                <w:kern w:val="0"/>
                <w:sz w:val="24"/>
              </w:rPr>
            </w:pPr>
            <w:r>
              <w:rPr>
                <w:rFonts w:hint="eastAsia" w:ascii="仿宋_GB2312" w:hAnsi="宋体" w:eastAsia="仿宋_GB2312" w:cs="宋体"/>
                <w:kern w:val="0"/>
                <w:sz w:val="24"/>
              </w:rPr>
              <w:t>无极县里城道乡计生部门</w:t>
            </w:r>
          </w:p>
        </w:tc>
        <w:tc>
          <w:tcPr>
            <w:tcW w:w="1676" w:type="dxa"/>
            <w:tcBorders>
              <w:top w:val="nil"/>
              <w:left w:val="nil"/>
              <w:bottom w:val="single" w:color="auto" w:sz="4" w:space="0"/>
              <w:right w:val="single" w:color="auto" w:sz="4" w:space="0"/>
            </w:tcBorders>
            <w:vAlign w:val="center"/>
          </w:tcPr>
          <w:p>
            <w:pPr>
              <w:widowControl/>
              <w:spacing w:line="560" w:lineRule="exact"/>
              <w:jc w:val="left"/>
              <w:rPr>
                <w:rFonts w:ascii="仿宋_GB2312" w:hAnsi="宋体" w:eastAsia="仿宋_GB2312" w:cs="宋体"/>
                <w:kern w:val="0"/>
                <w:sz w:val="24"/>
              </w:rPr>
            </w:pPr>
            <w:r>
              <w:rPr>
                <w:rFonts w:hint="eastAsia" w:ascii="仿宋_GB2312" w:hAnsi="宋体" w:eastAsia="仿宋_GB2312" w:cs="宋体"/>
                <w:kern w:val="0"/>
                <w:sz w:val="24"/>
              </w:rPr>
              <w:t>事业</w:t>
            </w:r>
          </w:p>
        </w:tc>
        <w:tc>
          <w:tcPr>
            <w:tcW w:w="1413" w:type="dxa"/>
            <w:tcBorders>
              <w:top w:val="nil"/>
              <w:left w:val="nil"/>
              <w:bottom w:val="single" w:color="auto" w:sz="4" w:space="0"/>
              <w:right w:val="single" w:color="auto" w:sz="4" w:space="0"/>
            </w:tcBorders>
            <w:vAlign w:val="center"/>
          </w:tcPr>
          <w:p>
            <w:pPr>
              <w:widowControl/>
              <w:spacing w:line="560" w:lineRule="exact"/>
              <w:jc w:val="left"/>
              <w:rPr>
                <w:rFonts w:ascii="仿宋_GB2312" w:hAnsi="宋体" w:eastAsia="仿宋_GB2312" w:cs="宋体"/>
                <w:kern w:val="0"/>
                <w:sz w:val="24"/>
              </w:rPr>
            </w:pPr>
            <w:r>
              <w:rPr>
                <w:rFonts w:hint="eastAsia" w:ascii="仿宋_GB2312" w:hAnsi="宋体" w:eastAsia="仿宋_GB2312" w:cs="宋体"/>
                <w:kern w:val="0"/>
                <w:sz w:val="24"/>
              </w:rPr>
              <w:t>　</w:t>
            </w:r>
          </w:p>
        </w:tc>
        <w:tc>
          <w:tcPr>
            <w:tcW w:w="2806" w:type="dxa"/>
            <w:tcBorders>
              <w:top w:val="nil"/>
              <w:left w:val="nil"/>
              <w:bottom w:val="single" w:color="auto" w:sz="4" w:space="0"/>
              <w:right w:val="single" w:color="auto" w:sz="4" w:space="0"/>
            </w:tcBorders>
            <w:vAlign w:val="center"/>
          </w:tcPr>
          <w:p>
            <w:pPr>
              <w:widowControl/>
              <w:spacing w:line="560" w:lineRule="exact"/>
              <w:jc w:val="left"/>
              <w:rPr>
                <w:rFonts w:ascii="仿宋_GB2312" w:hAnsi="宋体" w:eastAsia="仿宋_GB2312" w:cs="宋体"/>
                <w:kern w:val="0"/>
                <w:sz w:val="24"/>
              </w:rPr>
            </w:pPr>
            <w:r>
              <w:rPr>
                <w:rFonts w:hint="eastAsia" w:ascii="仿宋_GB2312" w:hAnsi="宋体" w:eastAsia="仿宋_GB2312" w:cs="宋体"/>
                <w:kern w:val="0"/>
                <w:sz w:val="24"/>
              </w:rPr>
              <w:t>财政性资金基本保证</w:t>
            </w:r>
          </w:p>
        </w:tc>
      </w:tr>
      <w:tr>
        <w:tblPrEx>
          <w:tblCellMar>
            <w:top w:w="0" w:type="dxa"/>
            <w:left w:w="108" w:type="dxa"/>
            <w:bottom w:w="0" w:type="dxa"/>
            <w:right w:w="108" w:type="dxa"/>
          </w:tblCellMar>
        </w:tblPrEx>
        <w:trPr>
          <w:trHeight w:val="1148" w:hRule="atLeast"/>
        </w:trPr>
        <w:tc>
          <w:tcPr>
            <w:tcW w:w="9600" w:type="dxa"/>
            <w:gridSpan w:val="4"/>
            <w:tcBorders>
              <w:top w:val="nil"/>
              <w:left w:val="nil"/>
              <w:bottom w:val="nil"/>
              <w:right w:val="nil"/>
            </w:tcBorders>
            <w:vAlign w:val="center"/>
          </w:tcPr>
          <w:p>
            <w:pPr>
              <w:widowControl/>
              <w:spacing w:line="560" w:lineRule="exact"/>
              <w:jc w:val="left"/>
              <w:rPr>
                <w:rFonts w:ascii="仿宋_GB2312" w:hAnsi="宋体" w:eastAsia="仿宋_GB2312" w:cs="宋体"/>
                <w:kern w:val="0"/>
                <w:sz w:val="24"/>
              </w:rPr>
            </w:pPr>
            <w:r>
              <w:rPr>
                <w:rFonts w:hint="eastAsia" w:ascii="仿宋_GB2312" w:hAnsi="宋体" w:eastAsia="仿宋_GB2312" w:cs="宋体"/>
                <w:kern w:val="0"/>
                <w:sz w:val="24"/>
              </w:rPr>
              <w:t>备注：乡镇没有下属单位，按职能划分为政府、党委、财政、计生等部门，预决算统一在政府编制。</w:t>
            </w:r>
          </w:p>
        </w:tc>
      </w:tr>
    </w:tbl>
    <w:p>
      <w:pPr>
        <w:ind w:firstLine="643" w:firstLineChars="200"/>
        <w:rPr>
          <w:rFonts w:ascii="仿宋" w:hAnsi="仿宋" w:eastAsia="仿宋" w:cs="Times New Roman"/>
          <w:b/>
          <w:sz w:val="32"/>
          <w:szCs w:val="32"/>
        </w:rPr>
      </w:pPr>
    </w:p>
    <w:p>
      <w:pPr>
        <w:ind w:firstLine="640"/>
        <w:rPr>
          <w:rFonts w:ascii="黑体" w:hAnsi="黑体" w:eastAsia="黑体" w:cs="Times New Roman"/>
          <w:sz w:val="32"/>
          <w:szCs w:val="32"/>
        </w:rPr>
      </w:pPr>
      <w:r>
        <w:rPr>
          <w:rFonts w:hint="eastAsia" w:ascii="黑体" w:hAnsi="黑体" w:eastAsia="黑体" w:cs="Times New Roman"/>
          <w:sz w:val="32"/>
          <w:szCs w:val="32"/>
        </w:rPr>
        <w:t>二、部门预算安排的总体情况</w:t>
      </w:r>
    </w:p>
    <w:p>
      <w:pPr>
        <w:ind w:firstLine="640"/>
        <w:rPr>
          <w:rFonts w:ascii="Times New Roman" w:hAnsi="Times New Roman" w:eastAsia="仿宋" w:cs="Times New Roman"/>
          <w:sz w:val="32"/>
          <w:szCs w:val="32"/>
        </w:rPr>
      </w:pPr>
      <w:r>
        <w:rPr>
          <w:rFonts w:ascii="Times New Roman" w:hAnsi="Times New Roman" w:eastAsia="仿宋" w:cs="Times New Roman"/>
          <w:sz w:val="32"/>
          <w:szCs w:val="32"/>
        </w:rPr>
        <w:t>按照预算管理有关规定，目前我省部门预算的编制实行综合预算</w:t>
      </w:r>
      <w:r>
        <w:rPr>
          <w:rFonts w:hint="eastAsia" w:ascii="Times New Roman" w:hAnsi="Times New Roman" w:eastAsia="仿宋" w:cs="Times New Roman"/>
          <w:sz w:val="32"/>
          <w:szCs w:val="32"/>
        </w:rPr>
        <w:t>管理</w:t>
      </w:r>
      <w:r>
        <w:rPr>
          <w:rFonts w:ascii="Times New Roman" w:hAnsi="Times New Roman" w:eastAsia="仿宋" w:cs="Times New Roman"/>
          <w:sz w:val="32"/>
          <w:szCs w:val="32"/>
        </w:rPr>
        <w:t>，即全部收入和支出都反映的预算中。</w:t>
      </w:r>
      <w:r>
        <w:rPr>
          <w:rFonts w:hint="eastAsia" w:ascii="Times New Roman" w:hAnsi="Times New Roman" w:eastAsia="仿宋" w:cs="Times New Roman"/>
          <w:sz w:val="32"/>
          <w:szCs w:val="32"/>
        </w:rPr>
        <w:t>里城道乡人民政府没有下属单位，按职能划分为政府、党委、财政、计生等部门，</w:t>
      </w:r>
      <w:r>
        <w:rPr>
          <w:rFonts w:ascii="Times New Roman" w:hAnsi="Times New Roman" w:eastAsia="仿宋" w:cs="Times New Roman"/>
          <w:sz w:val="32"/>
          <w:szCs w:val="32"/>
        </w:rPr>
        <w:t>收支包含在部门预算中。</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1、</w:t>
      </w:r>
      <w:r>
        <w:rPr>
          <w:rFonts w:ascii="Times New Roman" w:hAnsi="Times New Roman" w:eastAsia="仿宋" w:cs="Times New Roman"/>
          <w:sz w:val="32"/>
          <w:szCs w:val="32"/>
        </w:rPr>
        <w:t>收入说明</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反映本部门当年全部收入。2020年预算收入662.45万元，其中：一般公共预算收入662.45万元，基金预算收入0万元，财政专户核拨收入0万元，其他来源收入0万元。</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2、</w:t>
      </w:r>
      <w:r>
        <w:rPr>
          <w:rFonts w:ascii="Times New Roman" w:hAnsi="Times New Roman" w:eastAsia="仿宋" w:cs="Times New Roman"/>
          <w:sz w:val="32"/>
          <w:szCs w:val="32"/>
        </w:rPr>
        <w:t>支出说明</w:t>
      </w:r>
    </w:p>
    <w:p>
      <w:pPr>
        <w:ind w:firstLine="640"/>
        <w:rPr>
          <w:rFonts w:ascii="Times New Roman" w:hAnsi="Times New Roman" w:eastAsia="仿宋" w:cs="Times New Roman"/>
          <w:sz w:val="32"/>
          <w:szCs w:val="32"/>
        </w:rPr>
      </w:pPr>
      <w:r>
        <w:rPr>
          <w:rFonts w:hint="eastAsia" w:ascii="仿宋_GB2312" w:hAnsi="Times New Roman" w:eastAsia="仿宋_GB2312" w:cs="Times New Roman"/>
          <w:sz w:val="32"/>
          <w:szCs w:val="32"/>
        </w:rPr>
        <w:t>收支预算总表支出栏、基本支出表、项目支出表按经济分类和支出功能分类科目编制，反映本部门年度部门预算中支出预算的总体情况。</w:t>
      </w:r>
      <w:r>
        <w:rPr>
          <w:rFonts w:hint="eastAsia" w:ascii="Times New Roman" w:hAnsi="Times New Roman" w:eastAsia="仿宋" w:cs="Times New Roman"/>
          <w:sz w:val="32"/>
          <w:szCs w:val="32"/>
        </w:rPr>
        <w:t>2020年部门支出预算为662.45万元，其中基本支出625.79万元，包括人员经费559.29万元和日常公用经费66.5万元；项目支出36.66万元，主要为定魏线、无繁线和羊曲线、战备路占地补偿款项目。</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3、</w:t>
      </w:r>
      <w:r>
        <w:rPr>
          <w:rFonts w:ascii="Times New Roman" w:hAnsi="Times New Roman" w:eastAsia="仿宋" w:cs="Times New Roman"/>
          <w:sz w:val="32"/>
          <w:szCs w:val="32"/>
        </w:rPr>
        <w:t>比上年增减情况</w:t>
      </w:r>
    </w:p>
    <w:p>
      <w:pPr>
        <w:ind w:firstLine="640"/>
        <w:rPr>
          <w:rFonts w:ascii="Times New Roman" w:hAnsi="Times New Roman" w:eastAsia="仿宋" w:cs="Times New Roman"/>
          <w:sz w:val="32"/>
          <w:szCs w:val="32"/>
        </w:rPr>
      </w:pPr>
      <w:r>
        <w:rPr>
          <w:rFonts w:hint="eastAsia" w:ascii="Times New Roman" w:hAnsi="Times New Roman" w:eastAsia="仿宋" w:cs="Times New Roman"/>
          <w:color w:val="000000"/>
          <w:sz w:val="32"/>
          <w:szCs w:val="32"/>
        </w:rPr>
        <w:t>2020年部门预算收支安排</w:t>
      </w:r>
      <w:r>
        <w:rPr>
          <w:rFonts w:hint="eastAsia" w:ascii="Times New Roman" w:hAnsi="Times New Roman" w:eastAsia="仿宋" w:cs="Times New Roman"/>
          <w:sz w:val="32"/>
          <w:szCs w:val="32"/>
        </w:rPr>
        <w:t>662.45</w:t>
      </w:r>
      <w:r>
        <w:rPr>
          <w:rFonts w:hint="eastAsia" w:ascii="Times New Roman" w:hAnsi="Times New Roman" w:eastAsia="仿宋" w:cs="Times New Roman"/>
          <w:color w:val="000000"/>
          <w:sz w:val="32"/>
          <w:szCs w:val="32"/>
        </w:rPr>
        <w:t>万元，</w:t>
      </w:r>
      <w:r>
        <w:rPr>
          <w:rFonts w:hint="eastAsia" w:ascii="Times New Roman" w:hAnsi="Times New Roman" w:eastAsia="仿宋" w:cs="Times New Roman"/>
          <w:sz w:val="32"/>
          <w:szCs w:val="32"/>
        </w:rPr>
        <w:t>较2019年增加575.17万元，其中：基本支出增加45.17万元，主要是人员增加，相应增加人员经费和日常公用经费；项目支出减少620.34万元，主要是减少了购买办公楼项目和</w:t>
      </w:r>
      <w:r>
        <w:rPr>
          <w:rFonts w:hint="eastAsia" w:ascii="仿宋_GB2312" w:hAnsi="仿宋" w:eastAsia="仿宋_GB2312"/>
          <w:sz w:val="32"/>
          <w:szCs w:val="32"/>
        </w:rPr>
        <w:t>北合庄村村内新建道路工程等项目资金的支出</w:t>
      </w:r>
      <w:r>
        <w:rPr>
          <w:rFonts w:hint="eastAsia" w:ascii="Times New Roman" w:hAnsi="Times New Roman" w:eastAsia="仿宋" w:cs="Times New Roman"/>
          <w:sz w:val="32"/>
          <w:szCs w:val="32"/>
        </w:rPr>
        <w:t>。</w:t>
      </w:r>
    </w:p>
    <w:p>
      <w:pPr>
        <w:autoSpaceDE w:val="0"/>
        <w:autoSpaceDN w:val="0"/>
        <w:adjustRightInd w:val="0"/>
        <w:ind w:firstLine="960" w:firstLineChars="300"/>
        <w:jc w:val="left"/>
        <w:rPr>
          <w:rFonts w:ascii="黑体" w:hAnsi="黑体" w:eastAsia="黑体" w:cs="Times New Roman"/>
          <w:sz w:val="32"/>
          <w:szCs w:val="32"/>
        </w:rPr>
      </w:pPr>
      <w:r>
        <w:rPr>
          <w:rFonts w:hint="eastAsia" w:ascii="黑体" w:hAnsi="黑体" w:eastAsia="黑体" w:cs="Times New Roman"/>
          <w:sz w:val="32"/>
          <w:szCs w:val="32"/>
        </w:rPr>
        <w:t>三、机关运行经费安排情况</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2020年，我部门机关运行经费共计安排66.5万元，主要用于保证机关正常运转的办公费、水费、电费、邮电费、差旅费、办公设备购置费、公务车运行维护费、公务交通补贴、印刷费、手续费等支出。</w:t>
      </w:r>
    </w:p>
    <w:p>
      <w:pPr>
        <w:autoSpaceDE w:val="0"/>
        <w:autoSpaceDN w:val="0"/>
        <w:adjustRightInd w:val="0"/>
        <w:ind w:left="198" w:firstLine="640" w:firstLineChars="200"/>
        <w:jc w:val="left"/>
        <w:rPr>
          <w:rFonts w:ascii="黑体" w:hAnsi="黑体" w:eastAsia="黑体" w:cs="Times New Roman"/>
          <w:sz w:val="32"/>
          <w:szCs w:val="32"/>
        </w:rPr>
      </w:pPr>
      <w:r>
        <w:rPr>
          <w:rFonts w:hint="eastAsia" w:ascii="黑体" w:hAnsi="黑体" w:eastAsia="黑体" w:cs="Times New Roman"/>
          <w:sz w:val="32"/>
          <w:szCs w:val="32"/>
        </w:rPr>
        <w:t>四、财政拨款</w:t>
      </w:r>
      <w:r>
        <w:rPr>
          <w:rFonts w:ascii="黑体" w:hAnsi="黑体" w:eastAsia="黑体" w:cs="Times New Roman"/>
          <w:sz w:val="32"/>
          <w:szCs w:val="32"/>
        </w:rPr>
        <w:t>“</w:t>
      </w:r>
      <w:r>
        <w:rPr>
          <w:rFonts w:hint="eastAsia" w:ascii="黑体" w:hAnsi="黑体" w:eastAsia="黑体" w:cs="Times New Roman"/>
          <w:sz w:val="32"/>
          <w:szCs w:val="32"/>
        </w:rPr>
        <w:t>三公</w:t>
      </w:r>
      <w:r>
        <w:rPr>
          <w:rFonts w:ascii="黑体" w:hAnsi="黑体" w:eastAsia="黑体" w:cs="Times New Roman"/>
          <w:sz w:val="32"/>
          <w:szCs w:val="32"/>
        </w:rPr>
        <w:t>”</w:t>
      </w:r>
      <w:r>
        <w:rPr>
          <w:rFonts w:hint="eastAsia" w:ascii="黑体" w:hAnsi="黑体" w:eastAsia="黑体" w:cs="Times New Roman"/>
          <w:sz w:val="32"/>
          <w:szCs w:val="32"/>
        </w:rPr>
        <w:t>经费预算情况及增减变化原因</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2020年，我部门财政拨款“三公”经费预算安排3万元，其中：因公出国（境）费0万元；公务用车购置及运维费3万元（其中：公务用车购置费0万元，公务用车运行维护费3万元)；公务接待费0万元。“三公”经费比上年减少0.5万元，</w:t>
      </w:r>
      <w:r>
        <w:rPr>
          <w:rFonts w:hint="eastAsia" w:ascii="仿宋" w:hAnsi="仿宋" w:eastAsia="仿宋" w:cs="仿宋_GB2312"/>
          <w:sz w:val="32"/>
          <w:szCs w:val="32"/>
        </w:rPr>
        <w:t>主要是因为我部门严格执行有关廉政法规、厉行节约</w:t>
      </w:r>
      <w:r>
        <w:rPr>
          <w:rFonts w:ascii="仿宋" w:hAnsi="仿宋" w:eastAsia="仿宋" w:cs="仿宋_GB2312"/>
          <w:sz w:val="32"/>
          <w:szCs w:val="32"/>
        </w:rPr>
        <w:t>。</w:t>
      </w:r>
    </w:p>
    <w:p>
      <w:pPr>
        <w:autoSpaceDE w:val="0"/>
        <w:autoSpaceDN w:val="0"/>
        <w:adjustRightInd w:val="0"/>
        <w:ind w:left="198" w:firstLine="640" w:firstLineChars="200"/>
        <w:jc w:val="left"/>
        <w:rPr>
          <w:rFonts w:ascii="黑体" w:hAnsi="黑体" w:eastAsia="黑体" w:cs="Times New Roman"/>
          <w:sz w:val="32"/>
          <w:szCs w:val="32"/>
        </w:rPr>
      </w:pPr>
      <w:r>
        <w:rPr>
          <w:rFonts w:hint="eastAsia" w:ascii="黑体" w:hAnsi="黑体" w:eastAsia="黑体" w:cs="Times New Roman"/>
          <w:sz w:val="32"/>
          <w:szCs w:val="32"/>
        </w:rPr>
        <w:t>五、预算绩效信息</w:t>
      </w:r>
    </w:p>
    <w:p>
      <w:pPr>
        <w:ind w:firstLine="643" w:firstLineChars="200"/>
        <w:jc w:val="left"/>
        <w:rPr>
          <w:rFonts w:ascii="Times New Roman" w:hAnsi="Times New Roman" w:eastAsia="仿宋" w:cs="Times New Roman"/>
          <w:sz w:val="32"/>
          <w:szCs w:val="32"/>
        </w:rPr>
      </w:pPr>
      <w:bookmarkStart w:id="0" w:name="_Toc471398463"/>
      <w:r>
        <w:rPr>
          <w:rFonts w:hint="eastAsia" w:ascii="Times New Roman" w:hAnsi="Times New Roman" w:eastAsia="方正仿宋_GBK" w:cs="Times New Roman"/>
          <w:b/>
          <w:sz w:val="32"/>
          <w:szCs w:val="32"/>
        </w:rPr>
        <w:t>第一部分  部门整体绩效目标</w:t>
      </w:r>
      <w:bookmarkEnd w:id="0"/>
    </w:p>
    <w:p>
      <w:pPr>
        <w:spacing w:line="560" w:lineRule="exact"/>
        <w:ind w:firstLine="640" w:firstLineChars="200"/>
        <w:rPr>
          <w:rFonts w:ascii="仿宋_GB2312" w:hAnsi="仿宋" w:eastAsia="仿宋_GB2312"/>
          <w:sz w:val="32"/>
          <w:szCs w:val="32"/>
        </w:rPr>
      </w:pPr>
      <w:r>
        <w:rPr>
          <w:rFonts w:hint="eastAsia" w:ascii="仿宋_GB2312" w:hAnsi="仿宋" w:eastAsia="仿宋_GB2312"/>
          <w:sz w:val="32"/>
          <w:szCs w:val="32"/>
        </w:rPr>
        <w:t xml:space="preserve">1．进一步转变政府职能    </w:t>
      </w:r>
    </w:p>
    <w:p>
      <w:pPr>
        <w:spacing w:line="560" w:lineRule="exact"/>
        <w:ind w:firstLine="640" w:firstLineChars="200"/>
        <w:rPr>
          <w:rFonts w:ascii="仿宋_GB2312" w:hAnsi="仿宋" w:eastAsia="仿宋_GB2312"/>
          <w:sz w:val="32"/>
          <w:szCs w:val="32"/>
        </w:rPr>
      </w:pPr>
      <w:r>
        <w:rPr>
          <w:rFonts w:hint="eastAsia" w:ascii="仿宋_GB2312" w:hAnsi="仿宋" w:eastAsia="仿宋_GB2312"/>
          <w:sz w:val="32"/>
          <w:szCs w:val="32"/>
        </w:rPr>
        <w:t xml:space="preserve">依法全面履行政府职能。注重强化社会管理职能和公共服务职能。充分发挥市场配置资源的基础性作用，主要运用经济、法律等手段，通过制定规划、政策指导、发布信息以及规范市场准入，引导和调控经济运行。依法加强对社会组织和社会事务的管理，妥善协调各种利益关系，增强维护公共安全和处理突发事件的能力，维护社会公正、社会秩序和社会稳定。进一步提高政府公共服务的效率做基础。  </w:t>
      </w:r>
    </w:p>
    <w:p>
      <w:pPr>
        <w:spacing w:line="560" w:lineRule="exact"/>
        <w:ind w:firstLine="640" w:firstLineChars="200"/>
        <w:rPr>
          <w:rFonts w:ascii="仿宋_GB2312" w:hAnsi="仿宋" w:eastAsia="仿宋_GB2312"/>
          <w:sz w:val="32"/>
          <w:szCs w:val="32"/>
        </w:rPr>
      </w:pPr>
      <w:r>
        <w:rPr>
          <w:rFonts w:hint="eastAsia" w:ascii="仿宋_GB2312" w:hAnsi="仿宋" w:eastAsia="仿宋_GB2312"/>
          <w:sz w:val="32"/>
          <w:szCs w:val="32"/>
        </w:rPr>
        <w:t>完善乡镇政府管理体制。 进一步完善政府管理体制，合理划分和依法规范行政机关的职能、权限。加强乡镇政府在社会管理和公共服务方面的属地化管理职责，积极推进乡镇改革。</w:t>
      </w:r>
    </w:p>
    <w:p>
      <w:pPr>
        <w:spacing w:line="560" w:lineRule="exact"/>
        <w:ind w:firstLine="640" w:firstLineChars="200"/>
        <w:rPr>
          <w:rFonts w:ascii="仿宋_GB2312" w:hAnsi="仿宋" w:eastAsia="仿宋_GB2312"/>
          <w:sz w:val="32"/>
          <w:szCs w:val="32"/>
        </w:rPr>
      </w:pPr>
      <w:r>
        <w:rPr>
          <w:rFonts w:hint="eastAsia" w:ascii="仿宋_GB2312" w:hAnsi="仿宋" w:eastAsia="仿宋_GB2312"/>
          <w:sz w:val="32"/>
          <w:szCs w:val="32"/>
        </w:rPr>
        <w:t xml:space="preserve">2、努力提高行政效率 </w:t>
      </w:r>
    </w:p>
    <w:p>
      <w:pPr>
        <w:spacing w:line="560" w:lineRule="exact"/>
        <w:ind w:firstLine="560"/>
        <w:rPr>
          <w:rFonts w:ascii="仿宋_GB2312" w:hAnsi="仿宋" w:eastAsia="仿宋_GB2312"/>
          <w:sz w:val="32"/>
          <w:szCs w:val="32"/>
        </w:rPr>
      </w:pPr>
      <w:r>
        <w:rPr>
          <w:rFonts w:hint="eastAsia" w:ascii="仿宋_GB2312" w:hAnsi="仿宋" w:eastAsia="仿宋_GB2312"/>
          <w:sz w:val="32"/>
          <w:szCs w:val="32"/>
        </w:rPr>
        <w:t xml:space="preserve">健全科学的决策和执行机制。 按照建立科学民主的决策机制、规范有序的执法机制、公正透明的监督机制的要求，继续完善政府工作制度和运作机制。进一步完善重大事项集体决策制度、专家咨询制度、决策责任制度，逐步完善与群众利益密切相关的重大事项社会公示和社会听证制度。坚持和完善分工负责、合力推进的工作机制。  </w:t>
      </w:r>
    </w:p>
    <w:p>
      <w:pPr>
        <w:spacing w:line="560" w:lineRule="exact"/>
        <w:ind w:firstLine="560"/>
        <w:rPr>
          <w:rFonts w:ascii="仿宋_GB2312" w:hAnsi="仿宋" w:eastAsia="仿宋_GB2312"/>
          <w:sz w:val="32"/>
          <w:szCs w:val="32"/>
        </w:rPr>
      </w:pPr>
      <w:r>
        <w:rPr>
          <w:rFonts w:hint="eastAsia" w:ascii="仿宋_GB2312" w:hAnsi="仿宋" w:eastAsia="仿宋_GB2312"/>
          <w:sz w:val="32"/>
          <w:szCs w:val="32"/>
        </w:rPr>
        <w:t xml:space="preserve">3、全面推进依法行政 </w:t>
      </w:r>
    </w:p>
    <w:p>
      <w:pPr>
        <w:spacing w:line="560" w:lineRule="exact"/>
        <w:ind w:firstLine="561"/>
        <w:rPr>
          <w:rFonts w:ascii="仿宋_GB2312" w:hAnsi="仿宋" w:eastAsia="仿宋_GB2312"/>
          <w:sz w:val="32"/>
          <w:szCs w:val="32"/>
        </w:rPr>
      </w:pPr>
      <w:r>
        <w:rPr>
          <w:rFonts w:hint="eastAsia" w:ascii="仿宋_GB2312" w:hAnsi="仿宋" w:eastAsia="仿宋_GB2312"/>
          <w:sz w:val="32"/>
          <w:szCs w:val="32"/>
        </w:rPr>
        <w:t xml:space="preserve">加强依法行政制度建设。 深入贯彻国务院《全面推进依法行政实施纲要》，按照合法行政、合理行政、程序正当、高效便民、诚实守信、权责统一的要求，全面提高政府依法行政水平。进一步完善规范性文件的制定和备案制度。深入贯彻《中华人民共和国行政许可法》，完善行政许可配套制度建设。以继续推进综合执法体制改革为重点，建立和完善职责明确、行为规范、监督有效、保障有力的执法体制。建立健全行政执法责任制、过错责任追究制度和评议考核机制。 </w:t>
      </w:r>
    </w:p>
    <w:p>
      <w:pPr>
        <w:spacing w:line="560" w:lineRule="exact"/>
        <w:ind w:firstLine="660"/>
        <w:rPr>
          <w:rFonts w:ascii="仿宋" w:hAnsi="仿宋" w:eastAsia="仿宋"/>
          <w:sz w:val="32"/>
          <w:szCs w:val="32"/>
        </w:rPr>
      </w:pPr>
      <w:r>
        <w:rPr>
          <w:rFonts w:hint="eastAsia" w:ascii="仿宋_GB2312" w:hAnsi="仿宋" w:eastAsia="仿宋_GB2312"/>
          <w:sz w:val="32"/>
          <w:szCs w:val="32"/>
        </w:rPr>
        <w:t>深入推进政府信息公开。 按照“以公开为原则、不公开为例外 ” 的总体要求，深化政府信息公开制度建设，拓宽公开范围和渠道，建立和落实政府信息公开争议解决机制和监督机制，为社会提供公开、透明、高效的公共服务</w:t>
      </w:r>
      <w:r>
        <w:rPr>
          <w:rFonts w:ascii="仿宋" w:hAnsi="仿宋" w:eastAsia="仿宋"/>
          <w:sz w:val="32"/>
          <w:szCs w:val="32"/>
        </w:rPr>
        <w:t>。</w:t>
      </w:r>
      <w:bookmarkStart w:id="1" w:name="_Toc508093041"/>
    </w:p>
    <w:p>
      <w:pPr>
        <w:ind w:firstLine="643" w:firstLineChars="200"/>
        <w:jc w:val="left"/>
        <w:rPr>
          <w:rFonts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第二部分   部门职责及工作活动绩效目标：</w:t>
      </w:r>
      <w:bookmarkStart w:id="2" w:name="_Toc507676767"/>
      <w:bookmarkEnd w:id="2"/>
    </w:p>
    <w:bookmarkEnd w:id="1"/>
    <w:p>
      <w:pPr>
        <w:widowControl/>
        <w:spacing w:line="560" w:lineRule="exact"/>
        <w:ind w:firstLine="411" w:firstLineChars="196"/>
        <w:jc w:val="left"/>
        <w:sectPr>
          <w:headerReference r:id="rId4" w:type="default"/>
          <w:pgSz w:w="11907" w:h="16839"/>
          <w:pgMar w:top="1361" w:right="1407" w:bottom="1361" w:left="1470" w:header="851" w:footer="992" w:gutter="0"/>
          <w:cols w:space="720" w:num="1"/>
          <w:docGrid w:type="lines" w:linePitch="312" w:charSpace="0"/>
        </w:sectPr>
      </w:pPr>
    </w:p>
    <w:p>
      <w:pPr>
        <w:jc w:val="center"/>
        <w:outlineLvl w:val="0"/>
        <w:rPr>
          <w:rFonts w:ascii="方正小标宋_GBK" w:eastAsia="方正小标宋_GBK"/>
          <w:color w:val="FFFFFF"/>
          <w:sz w:val="32"/>
        </w:rPr>
      </w:pPr>
      <w:bookmarkStart w:id="3" w:name="_Toc2364654"/>
      <w:r>
        <w:rPr>
          <w:rFonts w:hint="eastAsia" w:ascii="方正小标宋_GBK" w:eastAsia="方正小标宋_GBK"/>
          <w:sz w:val="32"/>
        </w:rPr>
        <w:t>部门职责-工作活动绩效目标</w:t>
      </w:r>
      <w:r>
        <w:rPr>
          <w:rStyle w:val="9"/>
          <w:rFonts w:ascii="方正小标宋_GBK" w:eastAsia="方正小标宋_GBK"/>
          <w:color w:val="FFFFFF"/>
          <w:sz w:val="32"/>
        </w:rPr>
        <w:sym w:font="Symbol" w:char="F020"/>
      </w:r>
      <w:bookmarkEnd w:id="3"/>
    </w:p>
    <w:tbl>
      <w:tblPr>
        <w:tblStyle w:val="7"/>
        <w:tblW w:w="1393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341"/>
        <w:gridCol w:w="1276"/>
        <w:gridCol w:w="2976"/>
        <w:gridCol w:w="2976"/>
        <w:gridCol w:w="1417"/>
        <w:gridCol w:w="737"/>
        <w:gridCol w:w="737"/>
        <w:gridCol w:w="737"/>
        <w:gridCol w:w="73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jc w:val="center"/>
        </w:trPr>
        <w:tc>
          <w:tcPr>
            <w:tcW w:w="10986" w:type="dxa"/>
            <w:gridSpan w:val="5"/>
            <w:tcBorders>
              <w:top w:val="single" w:color="FFFFFF" w:sz="6" w:space="0"/>
              <w:left w:val="single" w:color="FFFFFF" w:sz="6" w:space="0"/>
              <w:right w:val="single" w:color="FFFFFF" w:sz="6" w:space="0"/>
            </w:tcBorders>
            <w:vAlign w:val="center"/>
          </w:tcPr>
          <w:p>
            <w:pPr>
              <w:spacing w:line="300" w:lineRule="exact"/>
              <w:jc w:val="left"/>
              <w:rPr>
                <w:rFonts w:ascii="方正小标宋_GBK" w:eastAsia="方正小标宋_GBK"/>
                <w:sz w:val="24"/>
              </w:rPr>
            </w:pPr>
            <w:r>
              <w:rPr>
                <w:rFonts w:ascii="方正小标宋_GBK" w:eastAsia="方正小标宋_GBK"/>
                <w:sz w:val="24"/>
              </w:rPr>
              <w:footnoteReference w:id="0" w:customMarkFollows="1"/>
              <w:t>9</w:t>
            </w:r>
            <w:r>
              <w:rPr>
                <w:rFonts w:ascii="方正小标宋_GBK" w:eastAsia="方正小标宋_GBK"/>
                <w:sz w:val="24"/>
              </w:rPr>
              <w:t>38</w:t>
            </w:r>
            <w:r>
              <w:rPr>
                <w:rFonts w:hint="eastAsia" w:ascii="方正小标宋_GBK" w:eastAsia="方正小标宋_GBK"/>
                <w:sz w:val="24"/>
              </w:rPr>
              <w:t>里城道乡</w:t>
            </w:r>
          </w:p>
        </w:tc>
        <w:tc>
          <w:tcPr>
            <w:tcW w:w="2948" w:type="dxa"/>
            <w:gridSpan w:val="4"/>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sz w:val="24"/>
              </w:rPr>
            </w:pPr>
            <w:r>
              <w:rPr>
                <w:rFonts w:hint="eastAsia" w:ascii="方正书宋_GBK" w:eastAsia="方正书宋_GBK"/>
                <w:sz w:val="24"/>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jc w:val="center"/>
        </w:trPr>
        <w:tc>
          <w:tcPr>
            <w:tcW w:w="2341" w:type="dxa"/>
            <w:vMerge w:val="restart"/>
            <w:vAlign w:val="center"/>
          </w:tcPr>
          <w:p>
            <w:pPr>
              <w:spacing w:line="300" w:lineRule="exact"/>
              <w:jc w:val="center"/>
              <w:rPr>
                <w:rFonts w:ascii="方正书宋_GBK" w:eastAsia="方正书宋_GBK"/>
                <w:b/>
              </w:rPr>
            </w:pPr>
            <w:r>
              <w:rPr>
                <w:rFonts w:hint="eastAsia" w:ascii="方正书宋_GBK" w:eastAsia="方正书宋_GBK"/>
                <w:b/>
              </w:rPr>
              <w:t>职责活动</w:t>
            </w:r>
          </w:p>
        </w:tc>
        <w:tc>
          <w:tcPr>
            <w:tcW w:w="1276" w:type="dxa"/>
            <w:vMerge w:val="restart"/>
            <w:vAlign w:val="center"/>
          </w:tcPr>
          <w:p>
            <w:pPr>
              <w:spacing w:line="300" w:lineRule="exact"/>
              <w:jc w:val="center"/>
              <w:rPr>
                <w:rFonts w:ascii="方正书宋_GBK" w:eastAsia="方正书宋_GBK"/>
                <w:b/>
              </w:rPr>
            </w:pPr>
            <w:r>
              <w:rPr>
                <w:rFonts w:hint="eastAsia" w:ascii="方正书宋_GBK" w:eastAsia="方正书宋_GBK"/>
                <w:b/>
              </w:rPr>
              <w:t>年度预算数</w:t>
            </w:r>
          </w:p>
        </w:tc>
        <w:tc>
          <w:tcPr>
            <w:tcW w:w="2976" w:type="dxa"/>
            <w:vMerge w:val="restart"/>
            <w:vAlign w:val="center"/>
          </w:tcPr>
          <w:p>
            <w:pPr>
              <w:spacing w:line="300" w:lineRule="exact"/>
              <w:jc w:val="center"/>
              <w:rPr>
                <w:rFonts w:ascii="方正书宋_GBK" w:eastAsia="方正书宋_GBK"/>
                <w:b/>
              </w:rPr>
            </w:pPr>
            <w:r>
              <w:rPr>
                <w:rFonts w:hint="eastAsia" w:ascii="方正书宋_GBK" w:eastAsia="方正书宋_GBK"/>
                <w:b/>
              </w:rPr>
              <w:t>内容描述</w:t>
            </w:r>
          </w:p>
        </w:tc>
        <w:tc>
          <w:tcPr>
            <w:tcW w:w="2976" w:type="dxa"/>
            <w:vMerge w:val="restart"/>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417" w:type="dxa"/>
            <w:vMerge w:val="restart"/>
            <w:vAlign w:val="center"/>
          </w:tcPr>
          <w:p>
            <w:pPr>
              <w:spacing w:line="300" w:lineRule="exact"/>
              <w:jc w:val="center"/>
              <w:rPr>
                <w:rFonts w:ascii="方正书宋_GBK" w:eastAsia="方正书宋_GBK"/>
                <w:b/>
              </w:rPr>
            </w:pPr>
            <w:r>
              <w:rPr>
                <w:rFonts w:hint="eastAsia" w:ascii="方正书宋_GBK" w:eastAsia="方正书宋_GBK"/>
                <w:b/>
              </w:rPr>
              <w:t>绩效指标</w:t>
            </w:r>
          </w:p>
        </w:tc>
        <w:tc>
          <w:tcPr>
            <w:tcW w:w="2948" w:type="dxa"/>
            <w:gridSpan w:val="4"/>
            <w:vAlign w:val="center"/>
          </w:tcPr>
          <w:p>
            <w:pPr>
              <w:spacing w:line="300" w:lineRule="exact"/>
              <w:jc w:val="center"/>
              <w:rPr>
                <w:rFonts w:ascii="方正书宋_GBK" w:eastAsia="方正书宋_GBK"/>
                <w:b/>
              </w:rPr>
            </w:pPr>
            <w:r>
              <w:rPr>
                <w:rFonts w:hint="eastAsia" w:ascii="方正书宋_GBK" w:eastAsia="方正书宋_GBK"/>
                <w:b/>
              </w:rPr>
              <w:t>评价标准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jc w:val="center"/>
        </w:trPr>
        <w:tc>
          <w:tcPr>
            <w:tcW w:w="2341" w:type="dxa"/>
            <w:vMerge w:val="continue"/>
            <w:vAlign w:val="center"/>
          </w:tcPr>
          <w:p>
            <w:pPr>
              <w:spacing w:line="300" w:lineRule="exact"/>
              <w:jc w:val="left"/>
              <w:outlineLvl w:val="0"/>
            </w:pPr>
          </w:p>
        </w:tc>
        <w:tc>
          <w:tcPr>
            <w:tcW w:w="1276" w:type="dxa"/>
            <w:vMerge w:val="continue"/>
            <w:vAlign w:val="center"/>
          </w:tcPr>
          <w:p>
            <w:pPr>
              <w:spacing w:line="300" w:lineRule="exact"/>
              <w:jc w:val="left"/>
              <w:outlineLvl w:val="0"/>
            </w:pPr>
          </w:p>
        </w:tc>
        <w:tc>
          <w:tcPr>
            <w:tcW w:w="2976" w:type="dxa"/>
            <w:vMerge w:val="continue"/>
            <w:vAlign w:val="center"/>
          </w:tcPr>
          <w:p>
            <w:pPr>
              <w:spacing w:line="300" w:lineRule="exact"/>
              <w:jc w:val="left"/>
              <w:outlineLvl w:val="0"/>
            </w:pPr>
          </w:p>
        </w:tc>
        <w:tc>
          <w:tcPr>
            <w:tcW w:w="2976" w:type="dxa"/>
            <w:vMerge w:val="continue"/>
            <w:vAlign w:val="center"/>
          </w:tcPr>
          <w:p>
            <w:pPr>
              <w:spacing w:line="300" w:lineRule="exact"/>
              <w:jc w:val="left"/>
              <w:outlineLvl w:val="0"/>
            </w:pPr>
          </w:p>
        </w:tc>
        <w:tc>
          <w:tcPr>
            <w:tcW w:w="1417" w:type="dxa"/>
            <w:vMerge w:val="continue"/>
            <w:vAlign w:val="center"/>
          </w:tcPr>
          <w:p>
            <w:pPr>
              <w:spacing w:line="300" w:lineRule="exact"/>
              <w:jc w:val="left"/>
              <w:outlineLvl w:val="0"/>
            </w:pPr>
          </w:p>
        </w:tc>
        <w:tc>
          <w:tcPr>
            <w:tcW w:w="737" w:type="dxa"/>
            <w:vAlign w:val="center"/>
          </w:tcPr>
          <w:p>
            <w:pPr>
              <w:spacing w:line="300" w:lineRule="exact"/>
              <w:jc w:val="center"/>
              <w:rPr>
                <w:rFonts w:ascii="方正书宋_GBK" w:eastAsia="方正书宋_GBK"/>
                <w:b/>
              </w:rPr>
            </w:pPr>
            <w:r>
              <w:rPr>
                <w:rFonts w:hint="eastAsia" w:ascii="方正书宋_GBK" w:eastAsia="方正书宋_GBK"/>
                <w:b/>
              </w:rPr>
              <w:t>优</w:t>
            </w:r>
          </w:p>
        </w:tc>
        <w:tc>
          <w:tcPr>
            <w:tcW w:w="737" w:type="dxa"/>
            <w:vAlign w:val="center"/>
          </w:tcPr>
          <w:p>
            <w:pPr>
              <w:spacing w:line="300" w:lineRule="exact"/>
              <w:jc w:val="center"/>
              <w:rPr>
                <w:rFonts w:ascii="方正书宋_GBK" w:eastAsia="方正书宋_GBK"/>
                <w:b/>
              </w:rPr>
            </w:pPr>
            <w:r>
              <w:rPr>
                <w:rFonts w:hint="eastAsia" w:ascii="方正书宋_GBK" w:eastAsia="方正书宋_GBK"/>
                <w:b/>
              </w:rPr>
              <w:t>良</w:t>
            </w:r>
          </w:p>
        </w:tc>
        <w:tc>
          <w:tcPr>
            <w:tcW w:w="737" w:type="dxa"/>
            <w:vAlign w:val="center"/>
          </w:tcPr>
          <w:p>
            <w:pPr>
              <w:spacing w:line="300" w:lineRule="exact"/>
              <w:jc w:val="center"/>
              <w:rPr>
                <w:rFonts w:ascii="方正书宋_GBK" w:eastAsia="方正书宋_GBK"/>
                <w:b/>
              </w:rPr>
            </w:pPr>
            <w:r>
              <w:rPr>
                <w:rFonts w:hint="eastAsia" w:ascii="方正书宋_GBK" w:eastAsia="方正书宋_GBK"/>
                <w:b/>
              </w:rPr>
              <w:t>中</w:t>
            </w:r>
          </w:p>
        </w:tc>
        <w:tc>
          <w:tcPr>
            <w:tcW w:w="737" w:type="dxa"/>
            <w:vAlign w:val="center"/>
          </w:tcPr>
          <w:p>
            <w:pPr>
              <w:spacing w:line="300" w:lineRule="exact"/>
              <w:jc w:val="center"/>
              <w:rPr>
                <w:rFonts w:ascii="方正书宋_GBK" w:eastAsia="方正书宋_GBK"/>
                <w:b/>
              </w:rPr>
            </w:pPr>
            <w:r>
              <w:rPr>
                <w:rFonts w:hint="eastAsia" w:ascii="方正书宋_GBK" w:eastAsia="方正书宋_GBK"/>
                <w:b/>
              </w:rPr>
              <w:t>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Align w:val="center"/>
          </w:tcPr>
          <w:p>
            <w:pPr>
              <w:spacing w:line="300" w:lineRule="exact"/>
              <w:jc w:val="left"/>
              <w:rPr>
                <w:rFonts w:ascii="方正书宋_GBK" w:eastAsia="方正书宋_GBK"/>
                <w:b/>
              </w:rPr>
            </w:pPr>
            <w:r>
              <w:rPr>
                <w:rFonts w:hint="eastAsia" w:ascii="方正书宋_GBK" w:eastAsia="方正书宋_GBK"/>
                <w:b/>
              </w:rPr>
              <w:t>一、人大监督</w:t>
            </w:r>
          </w:p>
        </w:tc>
        <w:tc>
          <w:tcPr>
            <w:tcW w:w="1276" w:type="dxa"/>
            <w:vAlign w:val="center"/>
          </w:tcPr>
          <w:p>
            <w:pPr>
              <w:spacing w:line="300" w:lineRule="exact"/>
              <w:jc w:val="left"/>
              <w:rPr>
                <w:rFonts w:ascii="方正书宋_GBK" w:eastAsia="方正书宋_GBK"/>
              </w:rPr>
            </w:pPr>
          </w:p>
        </w:tc>
        <w:tc>
          <w:tcPr>
            <w:tcW w:w="2976" w:type="dxa"/>
            <w:vAlign w:val="center"/>
          </w:tcPr>
          <w:p>
            <w:pPr>
              <w:spacing w:line="300" w:lineRule="exact"/>
              <w:jc w:val="left"/>
              <w:rPr>
                <w:rFonts w:ascii="方正书宋_GBK" w:eastAsia="方正书宋_GBK"/>
              </w:rPr>
            </w:pPr>
            <w:r>
              <w:rPr>
                <w:rFonts w:hint="eastAsia" w:ascii="方正书宋_GBK" w:eastAsia="方正书宋_GBK"/>
              </w:rPr>
              <w:t>进行执法调研和执法检查；围绕政府工作报告涉及内容开展调查研究，开展专题询问和工作评议。</w:t>
            </w:r>
          </w:p>
        </w:tc>
        <w:tc>
          <w:tcPr>
            <w:tcW w:w="2976" w:type="dxa"/>
            <w:vAlign w:val="center"/>
          </w:tcPr>
          <w:p>
            <w:pPr>
              <w:spacing w:line="300" w:lineRule="exact"/>
              <w:jc w:val="left"/>
              <w:rPr>
                <w:rFonts w:ascii="方正书宋_GBK" w:eastAsia="方正书宋_GBK"/>
              </w:rPr>
            </w:pPr>
            <w:r>
              <w:rPr>
                <w:rFonts w:hint="eastAsia" w:ascii="方正书宋_GBK" w:eastAsia="方正书宋_GBK"/>
              </w:rPr>
              <w:t>促进各项法律法规、人大决议、报告等的落实；提高规范性文件质量；促进社会和谐稳定。</w:t>
            </w:r>
          </w:p>
        </w:tc>
        <w:tc>
          <w:tcPr>
            <w:tcW w:w="1417" w:type="dxa"/>
            <w:vAlign w:val="center"/>
          </w:tcPr>
          <w:p>
            <w:pPr>
              <w:spacing w:line="300" w:lineRule="exact"/>
              <w:jc w:val="left"/>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vAlign w:val="center"/>
          </w:tcPr>
          <w:p>
            <w:pPr>
              <w:spacing w:line="300" w:lineRule="exact"/>
              <w:jc w:val="left"/>
              <w:rPr>
                <w:rFonts w:ascii="方正书宋_GBK" w:eastAsia="方正书宋_GBK"/>
                <w:b/>
              </w:rPr>
            </w:pPr>
            <w:r>
              <w:rPr>
                <w:rFonts w:hint="eastAsia" w:ascii="方正书宋_GBK" w:eastAsia="方正书宋_GBK"/>
                <w:b/>
              </w:rPr>
              <w:t>　　</w:t>
            </w:r>
            <w:r>
              <w:rPr>
                <w:rFonts w:ascii="方正书宋_GBK" w:eastAsia="方正书宋_GBK"/>
                <w:b/>
              </w:rPr>
              <w:t>1</w:t>
            </w:r>
            <w:r>
              <w:rPr>
                <w:rFonts w:hint="eastAsia" w:ascii="方正书宋_GBK" w:eastAsia="方正书宋_GBK"/>
                <w:b/>
              </w:rPr>
              <w:t>、专门委员会及代表活动</w:t>
            </w:r>
          </w:p>
        </w:tc>
        <w:tc>
          <w:tcPr>
            <w:tcW w:w="1276" w:type="dxa"/>
            <w:vMerge w:val="restart"/>
            <w:vAlign w:val="center"/>
          </w:tcPr>
          <w:p>
            <w:pPr>
              <w:spacing w:line="300" w:lineRule="exact"/>
              <w:jc w:val="left"/>
              <w:rPr>
                <w:rFonts w:ascii="方正书宋_GBK" w:eastAsia="方正书宋_GBK"/>
              </w:rPr>
            </w:pPr>
          </w:p>
        </w:tc>
        <w:tc>
          <w:tcPr>
            <w:tcW w:w="2976" w:type="dxa"/>
            <w:vMerge w:val="restart"/>
            <w:vAlign w:val="center"/>
          </w:tcPr>
          <w:p>
            <w:pPr>
              <w:spacing w:line="300" w:lineRule="exact"/>
              <w:jc w:val="left"/>
              <w:rPr>
                <w:rFonts w:ascii="方正书宋_GBK" w:eastAsia="方正书宋_GBK"/>
              </w:rPr>
            </w:pPr>
            <w:r>
              <w:rPr>
                <w:rFonts w:hint="eastAsia" w:ascii="方正书宋_GBK" w:eastAsia="方正书宋_GBK"/>
              </w:rPr>
              <w:t>组织专门委员会委员、各工作委员会及特聘专家进行对法律实施情况进行执法检查；组织乡人大及乡人大代表进行执法检查和集中视察；开展代表建议督办；组织对常委及代表培训。</w:t>
            </w:r>
          </w:p>
        </w:tc>
        <w:tc>
          <w:tcPr>
            <w:tcW w:w="2976" w:type="dxa"/>
            <w:vMerge w:val="restart"/>
            <w:vAlign w:val="center"/>
          </w:tcPr>
          <w:p>
            <w:pPr>
              <w:spacing w:line="300" w:lineRule="exact"/>
              <w:jc w:val="left"/>
              <w:rPr>
                <w:rFonts w:ascii="方正书宋_GBK" w:eastAsia="方正书宋_GBK"/>
              </w:rPr>
            </w:pPr>
            <w:r>
              <w:rPr>
                <w:rFonts w:hint="eastAsia" w:ascii="方正书宋_GBK" w:eastAsia="方正书宋_GBK"/>
              </w:rPr>
              <w:t>发挥常委及代表的作用，集中反映民意，促进依法履职。</w:t>
            </w:r>
          </w:p>
        </w:tc>
        <w:tc>
          <w:tcPr>
            <w:tcW w:w="1417" w:type="dxa"/>
            <w:vAlign w:val="center"/>
          </w:tcPr>
          <w:p>
            <w:pPr>
              <w:spacing w:line="300" w:lineRule="exact"/>
              <w:jc w:val="left"/>
              <w:rPr>
                <w:rFonts w:ascii="方正书宋_GBK" w:eastAsia="方正书宋_GBK"/>
              </w:rPr>
            </w:pPr>
            <w:r>
              <w:rPr>
                <w:rFonts w:hint="eastAsia" w:ascii="方正书宋_GBK" w:eastAsia="方正书宋_GBK"/>
              </w:rPr>
              <w:t>建议督办完成率</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70%</w:t>
            </w:r>
          </w:p>
        </w:tc>
        <w:tc>
          <w:tcPr>
            <w:tcW w:w="737" w:type="dxa"/>
            <w:vAlign w:val="center"/>
          </w:tcPr>
          <w:p>
            <w:pPr>
              <w:spacing w:line="300" w:lineRule="exact"/>
              <w:jc w:val="center"/>
              <w:rPr>
                <w:rFonts w:ascii="方正书宋_GBK" w:eastAsia="方正书宋_GBK"/>
              </w:rPr>
            </w:pPr>
            <w:r>
              <w:rPr>
                <w:rFonts w:ascii="方正书宋_GBK" w:eastAsia="方正书宋_GBK"/>
              </w:rPr>
              <w:t>&lt;70%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pPr>
              <w:spacing w:line="300" w:lineRule="exact"/>
              <w:jc w:val="left"/>
              <w:rPr>
                <w:rFonts w:ascii="方正书宋_GBK" w:eastAsia="方正书宋_GBK"/>
                <w:b/>
              </w:rPr>
            </w:pPr>
          </w:p>
        </w:tc>
        <w:tc>
          <w:tcPr>
            <w:tcW w:w="12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r>
              <w:rPr>
                <w:rFonts w:hint="eastAsia" w:ascii="方正书宋_GBK" w:eastAsia="方正书宋_GBK"/>
              </w:rPr>
              <w:t>建议督办完成率</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优</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良</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中</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Align w:val="center"/>
          </w:tcPr>
          <w:p>
            <w:pPr>
              <w:spacing w:line="300" w:lineRule="exact"/>
              <w:jc w:val="left"/>
              <w:rPr>
                <w:rFonts w:ascii="方正书宋_GBK" w:eastAsia="方正书宋_GBK"/>
                <w:b/>
              </w:rPr>
            </w:pPr>
            <w:r>
              <w:rPr>
                <w:rFonts w:hint="eastAsia" w:ascii="方正书宋_GBK" w:eastAsia="方正书宋_GBK"/>
                <w:b/>
              </w:rPr>
              <w:t>二、人大会议</w:t>
            </w:r>
          </w:p>
        </w:tc>
        <w:tc>
          <w:tcPr>
            <w:tcW w:w="1276" w:type="dxa"/>
            <w:vAlign w:val="center"/>
          </w:tcPr>
          <w:p>
            <w:pPr>
              <w:spacing w:line="300" w:lineRule="exact"/>
              <w:jc w:val="left"/>
              <w:rPr>
                <w:rFonts w:ascii="方正书宋_GBK" w:eastAsia="方正书宋_GBK"/>
              </w:rPr>
            </w:pPr>
          </w:p>
        </w:tc>
        <w:tc>
          <w:tcPr>
            <w:tcW w:w="2976" w:type="dxa"/>
            <w:vAlign w:val="center"/>
          </w:tcPr>
          <w:p>
            <w:pPr>
              <w:spacing w:line="300" w:lineRule="exact"/>
              <w:jc w:val="left"/>
              <w:rPr>
                <w:rFonts w:ascii="方正书宋_GBK" w:eastAsia="方正书宋_GBK"/>
              </w:rPr>
            </w:pPr>
            <w:r>
              <w:rPr>
                <w:rFonts w:hint="eastAsia" w:ascii="方正书宋_GBK" w:eastAsia="方正书宋_GBK"/>
              </w:rPr>
              <w:t>乡人民代表大会各种会议的筹备、会务工作，负责文件起草、审核把关，工作部署、重要文件及领导批示的传达和督办。</w:t>
            </w:r>
          </w:p>
        </w:tc>
        <w:tc>
          <w:tcPr>
            <w:tcW w:w="2976" w:type="dxa"/>
            <w:vAlign w:val="center"/>
          </w:tcPr>
          <w:p>
            <w:pPr>
              <w:spacing w:line="300" w:lineRule="exact"/>
              <w:jc w:val="left"/>
              <w:rPr>
                <w:rFonts w:ascii="方正书宋_GBK" w:eastAsia="方正书宋_GBK"/>
              </w:rPr>
            </w:pPr>
            <w:r>
              <w:rPr>
                <w:rFonts w:hint="eastAsia" w:ascii="方正书宋_GBK" w:eastAsia="方正书宋_GBK"/>
              </w:rPr>
              <w:t>完善各项会议制度，规范会议程序，提高会议质量，提高人大代表审议水平。</w:t>
            </w:r>
          </w:p>
        </w:tc>
        <w:tc>
          <w:tcPr>
            <w:tcW w:w="1417" w:type="dxa"/>
            <w:vAlign w:val="center"/>
          </w:tcPr>
          <w:p>
            <w:pPr>
              <w:spacing w:line="300" w:lineRule="exact"/>
              <w:jc w:val="left"/>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Align w:val="center"/>
          </w:tcPr>
          <w:p>
            <w:pPr>
              <w:spacing w:line="300" w:lineRule="exact"/>
              <w:jc w:val="left"/>
              <w:rPr>
                <w:rFonts w:ascii="方正书宋_GBK" w:eastAsia="方正书宋_GBK"/>
                <w:b/>
              </w:rPr>
            </w:pPr>
            <w:r>
              <w:rPr>
                <w:rFonts w:hint="eastAsia" w:ascii="方正书宋_GBK" w:eastAsia="方正书宋_GBK"/>
                <w:b/>
              </w:rPr>
              <w:t>　　</w:t>
            </w:r>
            <w:r>
              <w:rPr>
                <w:rFonts w:ascii="方正书宋_GBK" w:eastAsia="方正书宋_GBK"/>
                <w:b/>
              </w:rPr>
              <w:t>1</w:t>
            </w:r>
            <w:r>
              <w:rPr>
                <w:rFonts w:hint="eastAsia" w:ascii="方正书宋_GBK" w:eastAsia="方正书宋_GBK"/>
                <w:b/>
              </w:rPr>
              <w:t>、人大会议</w:t>
            </w:r>
          </w:p>
        </w:tc>
        <w:tc>
          <w:tcPr>
            <w:tcW w:w="1276" w:type="dxa"/>
            <w:vAlign w:val="center"/>
          </w:tcPr>
          <w:p>
            <w:pPr>
              <w:spacing w:line="300" w:lineRule="exact"/>
              <w:jc w:val="left"/>
              <w:rPr>
                <w:rFonts w:ascii="方正书宋_GBK" w:eastAsia="方正书宋_GBK"/>
              </w:rPr>
            </w:pPr>
          </w:p>
        </w:tc>
        <w:tc>
          <w:tcPr>
            <w:tcW w:w="2976" w:type="dxa"/>
            <w:vAlign w:val="center"/>
          </w:tcPr>
          <w:p>
            <w:pPr>
              <w:spacing w:line="300" w:lineRule="exact"/>
              <w:jc w:val="left"/>
              <w:rPr>
                <w:rFonts w:ascii="方正书宋_GBK" w:eastAsia="方正书宋_GBK"/>
              </w:rPr>
            </w:pPr>
            <w:r>
              <w:rPr>
                <w:rFonts w:hint="eastAsia" w:ascii="方正书宋_GBK" w:eastAsia="方正书宋_GBK"/>
              </w:rPr>
              <w:t>承担乡人民代表大会和常务委员会各种会议的筹备、会务工作，负责常委会文件起草、审核把关，常委会会议、主任会议及常委会党组会议决定事项、工作部署、重要文件及领导批示的传达和督办。</w:t>
            </w:r>
          </w:p>
        </w:tc>
        <w:tc>
          <w:tcPr>
            <w:tcW w:w="2976" w:type="dxa"/>
            <w:vAlign w:val="center"/>
          </w:tcPr>
          <w:p>
            <w:pPr>
              <w:spacing w:line="300" w:lineRule="exact"/>
              <w:jc w:val="left"/>
              <w:rPr>
                <w:rFonts w:ascii="方正书宋_GBK" w:eastAsia="方正书宋_GBK"/>
              </w:rPr>
            </w:pPr>
            <w:r>
              <w:rPr>
                <w:rFonts w:hint="eastAsia" w:ascii="方正书宋_GBK" w:eastAsia="方正书宋_GBK"/>
              </w:rPr>
              <w:t>完善各项会议制度，规范会议程序，提高会议质量，提高人大代表及常委会审议水平。</w:t>
            </w:r>
          </w:p>
        </w:tc>
        <w:tc>
          <w:tcPr>
            <w:tcW w:w="1417" w:type="dxa"/>
            <w:vAlign w:val="center"/>
          </w:tcPr>
          <w:p>
            <w:pPr>
              <w:spacing w:line="300" w:lineRule="exact"/>
              <w:jc w:val="left"/>
              <w:rPr>
                <w:rFonts w:ascii="方正书宋_GBK" w:eastAsia="方正书宋_GBK"/>
              </w:rPr>
            </w:pPr>
            <w:r>
              <w:rPr>
                <w:rFonts w:hint="eastAsia" w:ascii="方正书宋_GBK" w:eastAsia="方正书宋_GBK"/>
              </w:rPr>
              <w:t>会议筹备及会务工作的完成率</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100%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vAlign w:val="center"/>
          </w:tcPr>
          <w:p>
            <w:pPr>
              <w:spacing w:line="300" w:lineRule="exact"/>
              <w:jc w:val="center"/>
              <w:rPr>
                <w:rFonts w:ascii="方正书宋_GBK" w:eastAsia="方正书宋_GBK"/>
              </w:rPr>
            </w:pPr>
            <w:r>
              <w:rPr>
                <w:rFonts w:ascii="方正书宋_GBK" w:eastAsia="方正书宋_GBK"/>
              </w:rPr>
              <w:t>&lt;90%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Align w:val="center"/>
          </w:tcPr>
          <w:p>
            <w:pPr>
              <w:spacing w:line="300" w:lineRule="exact"/>
              <w:jc w:val="left"/>
              <w:rPr>
                <w:rFonts w:ascii="方正书宋_GBK" w:eastAsia="方正书宋_GBK"/>
                <w:b/>
              </w:rPr>
            </w:pPr>
            <w:r>
              <w:rPr>
                <w:rFonts w:hint="eastAsia" w:ascii="方正书宋_GBK" w:eastAsia="方正书宋_GBK"/>
                <w:b/>
              </w:rPr>
              <w:t>三、选举和任免</w:t>
            </w:r>
          </w:p>
        </w:tc>
        <w:tc>
          <w:tcPr>
            <w:tcW w:w="1276" w:type="dxa"/>
            <w:vAlign w:val="center"/>
          </w:tcPr>
          <w:p>
            <w:pPr>
              <w:spacing w:line="300" w:lineRule="exact"/>
              <w:jc w:val="left"/>
              <w:rPr>
                <w:rFonts w:ascii="方正书宋_GBK" w:eastAsia="方正书宋_GBK"/>
              </w:rPr>
            </w:pPr>
          </w:p>
        </w:tc>
        <w:tc>
          <w:tcPr>
            <w:tcW w:w="2976" w:type="dxa"/>
            <w:vAlign w:val="center"/>
          </w:tcPr>
          <w:p>
            <w:pPr>
              <w:spacing w:line="300" w:lineRule="exact"/>
              <w:jc w:val="left"/>
              <w:rPr>
                <w:rFonts w:ascii="方正书宋_GBK" w:eastAsia="方正书宋_GBK"/>
              </w:rPr>
            </w:pPr>
            <w:r>
              <w:rPr>
                <w:rFonts w:hint="eastAsia" w:ascii="方正书宋_GBK" w:eastAsia="方正书宋_GBK"/>
              </w:rPr>
              <w:t>检查监督代表法、选举法及其实施办法的贯彻实施；承担人大换届选举及人事任免服务工作；负责对乡政府组成人员的目标责任书、述职报告的督办工作。</w:t>
            </w:r>
          </w:p>
        </w:tc>
        <w:tc>
          <w:tcPr>
            <w:tcW w:w="2976" w:type="dxa"/>
            <w:vAlign w:val="center"/>
          </w:tcPr>
          <w:p>
            <w:pPr>
              <w:spacing w:line="300" w:lineRule="exact"/>
              <w:jc w:val="left"/>
              <w:rPr>
                <w:rFonts w:ascii="方正书宋_GBK" w:eastAsia="方正书宋_GBK"/>
              </w:rPr>
            </w:pPr>
            <w:r>
              <w:rPr>
                <w:rFonts w:hint="eastAsia" w:ascii="方正书宋_GBK" w:eastAsia="方正书宋_GBK"/>
              </w:rPr>
              <w:t>确保换届选举工作顺利完成，实现省市和乡人事安排部署；提高组织换届选举工作水平。</w:t>
            </w:r>
          </w:p>
        </w:tc>
        <w:tc>
          <w:tcPr>
            <w:tcW w:w="1417" w:type="dxa"/>
            <w:vAlign w:val="center"/>
          </w:tcPr>
          <w:p>
            <w:pPr>
              <w:spacing w:line="300" w:lineRule="exact"/>
              <w:jc w:val="left"/>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vAlign w:val="center"/>
          </w:tcPr>
          <w:p>
            <w:pPr>
              <w:spacing w:line="300" w:lineRule="exact"/>
              <w:jc w:val="left"/>
              <w:rPr>
                <w:rFonts w:ascii="方正书宋_GBK" w:eastAsia="方正书宋_GBK"/>
                <w:b/>
              </w:rPr>
            </w:pPr>
            <w:r>
              <w:rPr>
                <w:rFonts w:hint="eastAsia" w:ascii="方正书宋_GBK" w:eastAsia="方正书宋_GBK"/>
                <w:b/>
              </w:rPr>
              <w:t>　　</w:t>
            </w:r>
            <w:r>
              <w:rPr>
                <w:rFonts w:ascii="方正书宋_GBK" w:eastAsia="方正书宋_GBK"/>
                <w:b/>
              </w:rPr>
              <w:t>1</w:t>
            </w:r>
            <w:r>
              <w:rPr>
                <w:rFonts w:hint="eastAsia" w:ascii="方正书宋_GBK" w:eastAsia="方正书宋_GBK"/>
                <w:b/>
              </w:rPr>
              <w:t>、换届选举及人事任免</w:t>
            </w:r>
          </w:p>
        </w:tc>
        <w:tc>
          <w:tcPr>
            <w:tcW w:w="1276" w:type="dxa"/>
            <w:vMerge w:val="restart"/>
            <w:vAlign w:val="center"/>
          </w:tcPr>
          <w:p>
            <w:pPr>
              <w:spacing w:line="300" w:lineRule="exact"/>
              <w:jc w:val="left"/>
              <w:rPr>
                <w:rFonts w:ascii="方正书宋_GBK" w:eastAsia="方正书宋_GBK"/>
              </w:rPr>
            </w:pPr>
          </w:p>
        </w:tc>
        <w:tc>
          <w:tcPr>
            <w:tcW w:w="2976" w:type="dxa"/>
            <w:vMerge w:val="restart"/>
            <w:vAlign w:val="center"/>
          </w:tcPr>
          <w:p>
            <w:pPr>
              <w:spacing w:line="300" w:lineRule="exact"/>
              <w:jc w:val="left"/>
              <w:rPr>
                <w:rFonts w:ascii="方正书宋_GBK" w:eastAsia="方正书宋_GBK"/>
              </w:rPr>
            </w:pPr>
            <w:r>
              <w:rPr>
                <w:rFonts w:hint="eastAsia" w:ascii="方正书宋_GBK" w:eastAsia="方正书宋_GBK"/>
              </w:rPr>
              <w:t>承担乡人大换届选举、乡级国家机关领导人的选举和常委会人事任免的服务工作；指导乡人大换届选举工作；负责对乡政府组成人员主要负责人的目标责任书、述职报告的督办工作；对换届选举人员进行培训。</w:t>
            </w:r>
          </w:p>
        </w:tc>
        <w:tc>
          <w:tcPr>
            <w:tcW w:w="2976" w:type="dxa"/>
            <w:vMerge w:val="restart"/>
            <w:vAlign w:val="center"/>
          </w:tcPr>
          <w:p>
            <w:pPr>
              <w:spacing w:line="300" w:lineRule="exact"/>
              <w:jc w:val="left"/>
              <w:rPr>
                <w:rFonts w:ascii="方正书宋_GBK" w:eastAsia="方正书宋_GBK"/>
              </w:rPr>
            </w:pPr>
            <w:r>
              <w:rPr>
                <w:rFonts w:hint="eastAsia" w:ascii="方正书宋_GBK" w:eastAsia="方正书宋_GBK"/>
              </w:rPr>
              <w:t>确保乡人大换届选举工作顺利完成，提高组织换届选举工作水平；高质量完成国家机关领导人选举工作；高效督办有关部门负责人的目标责任书和述职报告。</w:t>
            </w:r>
          </w:p>
        </w:tc>
        <w:tc>
          <w:tcPr>
            <w:tcW w:w="1417" w:type="dxa"/>
            <w:vAlign w:val="center"/>
          </w:tcPr>
          <w:p>
            <w:pPr>
              <w:spacing w:line="300" w:lineRule="exact"/>
              <w:jc w:val="left"/>
              <w:rPr>
                <w:rFonts w:ascii="方正书宋_GBK" w:eastAsia="方正书宋_GBK"/>
              </w:rPr>
            </w:pPr>
            <w:r>
              <w:rPr>
                <w:rFonts w:hint="eastAsia" w:ascii="方正书宋_GBK" w:eastAsia="方正书宋_GBK"/>
              </w:rPr>
              <w:t>政治任务实现率</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100%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vAlign w:val="center"/>
          </w:tcPr>
          <w:p>
            <w:pPr>
              <w:spacing w:line="300" w:lineRule="exact"/>
              <w:jc w:val="center"/>
              <w:rPr>
                <w:rFonts w:ascii="方正书宋_GBK" w:eastAsia="方正书宋_GBK"/>
              </w:rPr>
            </w:pPr>
            <w:r>
              <w:rPr>
                <w:rFonts w:ascii="方正书宋_GBK" w:eastAsia="方正书宋_GBK"/>
              </w:rPr>
              <w:t>&lt;90%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pPr>
              <w:spacing w:line="300" w:lineRule="exact"/>
              <w:jc w:val="left"/>
              <w:rPr>
                <w:rFonts w:ascii="方正书宋_GBK" w:eastAsia="方正书宋_GBK"/>
                <w:b/>
              </w:rPr>
            </w:pPr>
          </w:p>
        </w:tc>
        <w:tc>
          <w:tcPr>
            <w:tcW w:w="12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r>
              <w:rPr>
                <w:rFonts w:hint="eastAsia" w:ascii="方正书宋_GBK" w:eastAsia="方正书宋_GBK"/>
              </w:rPr>
              <w:t>换届选举工作完成率</w:t>
            </w:r>
          </w:p>
        </w:tc>
        <w:tc>
          <w:tcPr>
            <w:tcW w:w="737" w:type="dxa"/>
            <w:vAlign w:val="center"/>
          </w:tcPr>
          <w:p>
            <w:pPr>
              <w:spacing w:line="300" w:lineRule="exact"/>
              <w:jc w:val="center"/>
              <w:rPr>
                <w:rFonts w:ascii="方正书宋_GBK" w:eastAsia="方正书宋_GBK"/>
              </w:rPr>
            </w:pPr>
            <w:r>
              <w:rPr>
                <w:rFonts w:ascii="方正书宋_GBK" w:eastAsia="方正书宋_GBK"/>
              </w:rPr>
              <w:t>100%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vAlign w:val="center"/>
          </w:tcPr>
          <w:p>
            <w:pPr>
              <w:spacing w:line="300" w:lineRule="exact"/>
              <w:jc w:val="center"/>
              <w:rPr>
                <w:rFonts w:ascii="方正书宋_GBK" w:eastAsia="方正书宋_GBK"/>
              </w:rPr>
            </w:pPr>
            <w:r>
              <w:rPr>
                <w:rFonts w:ascii="方正书宋_GBK" w:eastAsia="方正书宋_GBK"/>
              </w:rPr>
              <w:t>&lt;90%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Align w:val="center"/>
          </w:tcPr>
          <w:p>
            <w:pPr>
              <w:spacing w:line="300" w:lineRule="exact"/>
              <w:jc w:val="left"/>
              <w:rPr>
                <w:rFonts w:ascii="方正书宋_GBK" w:eastAsia="方正书宋_GBK"/>
                <w:b/>
              </w:rPr>
            </w:pPr>
            <w:r>
              <w:rPr>
                <w:rFonts w:hint="eastAsia" w:ascii="方正书宋_GBK" w:eastAsia="方正书宋_GBK"/>
                <w:b/>
              </w:rPr>
              <w:t>四、人大事务管理</w:t>
            </w:r>
          </w:p>
        </w:tc>
        <w:tc>
          <w:tcPr>
            <w:tcW w:w="1276" w:type="dxa"/>
            <w:vAlign w:val="center"/>
          </w:tcPr>
          <w:p>
            <w:pPr>
              <w:spacing w:line="300" w:lineRule="exact"/>
              <w:jc w:val="left"/>
              <w:rPr>
                <w:rFonts w:ascii="方正书宋_GBK" w:eastAsia="方正书宋_GBK"/>
              </w:rPr>
            </w:pPr>
          </w:p>
        </w:tc>
        <w:tc>
          <w:tcPr>
            <w:tcW w:w="2976" w:type="dxa"/>
            <w:vAlign w:val="center"/>
          </w:tcPr>
          <w:p>
            <w:pPr>
              <w:spacing w:line="300" w:lineRule="exact"/>
              <w:jc w:val="left"/>
              <w:rPr>
                <w:rFonts w:ascii="方正书宋_GBK" w:eastAsia="方正书宋_GBK"/>
              </w:rPr>
            </w:pPr>
            <w:r>
              <w:rPr>
                <w:rFonts w:hint="eastAsia" w:ascii="方正书宋_GBK" w:eastAsia="方正书宋_GBK"/>
              </w:rPr>
              <w:t>新闻宣传和机关信息化建设与维护；人代会及常委会会议表决系统、机关基础设施建设与维护；乡</w:t>
            </w:r>
            <w:r>
              <w:rPr>
                <w:rFonts w:hint="eastAsia" w:ascii="方正书宋_GBK" w:eastAsia="方正书宋_GBK"/>
                <w:lang w:eastAsia="zh-CN"/>
              </w:rPr>
              <w:t>人大会机关</w:t>
            </w:r>
            <w:r>
              <w:rPr>
                <w:rFonts w:hint="eastAsia" w:ascii="方正书宋_GBK" w:eastAsia="方正书宋_GBK"/>
              </w:rPr>
              <w:t>日常管理事务；公报、年检的编辑印刷；信访工作。</w:t>
            </w:r>
          </w:p>
        </w:tc>
        <w:tc>
          <w:tcPr>
            <w:tcW w:w="2976" w:type="dxa"/>
            <w:vAlign w:val="center"/>
          </w:tcPr>
          <w:p>
            <w:pPr>
              <w:spacing w:line="300" w:lineRule="exact"/>
              <w:jc w:val="left"/>
              <w:rPr>
                <w:rFonts w:ascii="方正书宋_GBK" w:eastAsia="方正书宋_GBK"/>
              </w:rPr>
            </w:pPr>
            <w:r>
              <w:rPr>
                <w:rFonts w:hint="eastAsia" w:ascii="方正书宋_GBK" w:eastAsia="方正书宋_GBK"/>
              </w:rPr>
              <w:t>促进机关自身建设、服务保障能力进一步提升。</w:t>
            </w:r>
          </w:p>
        </w:tc>
        <w:tc>
          <w:tcPr>
            <w:tcW w:w="1417" w:type="dxa"/>
            <w:vAlign w:val="center"/>
          </w:tcPr>
          <w:p>
            <w:pPr>
              <w:spacing w:line="300" w:lineRule="exact"/>
              <w:jc w:val="left"/>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Align w:val="center"/>
          </w:tcPr>
          <w:p>
            <w:pPr>
              <w:spacing w:line="300" w:lineRule="exact"/>
              <w:jc w:val="left"/>
              <w:rPr>
                <w:rFonts w:ascii="方正书宋_GBK" w:eastAsia="方正书宋_GBK"/>
                <w:b/>
              </w:rPr>
            </w:pPr>
            <w:r>
              <w:rPr>
                <w:rFonts w:hint="eastAsia" w:ascii="方正书宋_GBK" w:eastAsia="方正书宋_GBK"/>
                <w:b/>
              </w:rPr>
              <w:t>　　</w:t>
            </w:r>
            <w:r>
              <w:rPr>
                <w:rFonts w:ascii="方正书宋_GBK" w:eastAsia="方正书宋_GBK"/>
                <w:b/>
              </w:rPr>
              <w:t>1</w:t>
            </w:r>
            <w:r>
              <w:rPr>
                <w:rFonts w:hint="eastAsia" w:ascii="方正书宋_GBK" w:eastAsia="方正书宋_GBK"/>
                <w:b/>
              </w:rPr>
              <w:t>、综合业务管理</w:t>
            </w:r>
          </w:p>
        </w:tc>
        <w:tc>
          <w:tcPr>
            <w:tcW w:w="1276" w:type="dxa"/>
            <w:vAlign w:val="center"/>
          </w:tcPr>
          <w:p>
            <w:pPr>
              <w:spacing w:line="300" w:lineRule="exact"/>
              <w:jc w:val="left"/>
              <w:rPr>
                <w:rFonts w:ascii="方正书宋_GBK" w:eastAsia="方正书宋_GBK"/>
              </w:rPr>
            </w:pPr>
          </w:p>
        </w:tc>
        <w:tc>
          <w:tcPr>
            <w:tcW w:w="2976" w:type="dxa"/>
            <w:vAlign w:val="center"/>
          </w:tcPr>
          <w:p>
            <w:pPr>
              <w:spacing w:line="300" w:lineRule="exact"/>
              <w:jc w:val="left"/>
              <w:rPr>
                <w:rFonts w:ascii="方正书宋_GBK" w:eastAsia="方正书宋_GBK"/>
              </w:rPr>
            </w:pPr>
            <w:r>
              <w:rPr>
                <w:rFonts w:hint="eastAsia" w:ascii="方正书宋_GBK" w:eastAsia="方正书宋_GBK"/>
              </w:rPr>
              <w:t>办理来信来访，日常外事活动和乡人大代表团出访事务，内外宾接待，常委会新闻发布和对外宣传，人大系列工作的宣传报道；会议表决系统建设与维护；代表大会和常委会会议公报、人大工作年鉴、大事记和组织史的编写及印刷；负责乡内外</w:t>
            </w:r>
            <w:r>
              <w:rPr>
                <w:rFonts w:hint="eastAsia" w:ascii="方正书宋_GBK" w:eastAsia="方正书宋_GBK"/>
                <w:lang w:eastAsia="zh-CN"/>
              </w:rPr>
              <w:t>人大会</w:t>
            </w:r>
            <w:r>
              <w:rPr>
                <w:rFonts w:hint="eastAsia" w:ascii="方正书宋_GBK" w:eastAsia="方正书宋_GBK"/>
              </w:rPr>
              <w:t>联系；重大课题调研。</w:t>
            </w:r>
          </w:p>
        </w:tc>
        <w:tc>
          <w:tcPr>
            <w:tcW w:w="2976" w:type="dxa"/>
            <w:vAlign w:val="center"/>
          </w:tcPr>
          <w:p>
            <w:pPr>
              <w:spacing w:line="300" w:lineRule="exact"/>
              <w:jc w:val="left"/>
              <w:rPr>
                <w:rFonts w:ascii="方正书宋_GBK" w:eastAsia="方正书宋_GBK"/>
              </w:rPr>
            </w:pPr>
            <w:r>
              <w:rPr>
                <w:rFonts w:hint="eastAsia" w:ascii="方正书宋_GBK" w:eastAsia="方正书宋_GBK"/>
              </w:rPr>
              <w:t>保障新闻宣传与新闻发布工作正常开展，提高人大信息透明度和影响力；保障会议表决系统正常运转；网络与办公平台正常运行；促进社会和谐稳定。</w:t>
            </w:r>
          </w:p>
        </w:tc>
        <w:tc>
          <w:tcPr>
            <w:tcW w:w="1417" w:type="dxa"/>
            <w:vAlign w:val="center"/>
          </w:tcPr>
          <w:p>
            <w:pPr>
              <w:spacing w:line="300" w:lineRule="exact"/>
              <w:jc w:val="left"/>
              <w:rPr>
                <w:rFonts w:ascii="方正书宋_GBK" w:eastAsia="方正书宋_GBK"/>
              </w:rPr>
            </w:pPr>
            <w:r>
              <w:rPr>
                <w:rFonts w:hint="eastAsia" w:ascii="方正书宋_GBK" w:eastAsia="方正书宋_GBK"/>
              </w:rPr>
              <w:t>综合业务管理工作完成率</w:t>
            </w:r>
          </w:p>
        </w:tc>
        <w:tc>
          <w:tcPr>
            <w:tcW w:w="737" w:type="dxa"/>
            <w:vAlign w:val="center"/>
          </w:tcPr>
          <w:p>
            <w:pPr>
              <w:spacing w:line="300" w:lineRule="exact"/>
              <w:jc w:val="center"/>
              <w:rPr>
                <w:rFonts w:ascii="方正书宋_GBK" w:eastAsia="方正书宋_GBK"/>
              </w:rPr>
            </w:pPr>
            <w:r>
              <w:rPr>
                <w:rFonts w:ascii="方正书宋_GBK" w:eastAsia="方正书宋_GBK"/>
              </w:rPr>
              <w:t>100%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vAlign w:val="center"/>
          </w:tcPr>
          <w:p>
            <w:pPr>
              <w:spacing w:line="300" w:lineRule="exact"/>
              <w:jc w:val="center"/>
              <w:rPr>
                <w:rFonts w:ascii="方正书宋_GBK" w:eastAsia="方正书宋_GBK"/>
              </w:rPr>
            </w:pPr>
            <w:r>
              <w:rPr>
                <w:rFonts w:ascii="方正书宋_GBK" w:eastAsia="方正书宋_GBK"/>
              </w:rPr>
              <w:t>&lt;90%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Align w:val="center"/>
          </w:tcPr>
          <w:p>
            <w:pPr>
              <w:spacing w:line="300" w:lineRule="exact"/>
              <w:jc w:val="left"/>
              <w:rPr>
                <w:rFonts w:ascii="方正书宋_GBK" w:eastAsia="方正书宋_GBK"/>
                <w:b/>
              </w:rPr>
            </w:pPr>
            <w:r>
              <w:rPr>
                <w:rFonts w:hint="eastAsia" w:ascii="方正书宋_GBK" w:eastAsia="方正书宋_GBK"/>
                <w:b/>
              </w:rPr>
              <w:t>　　</w:t>
            </w:r>
            <w:r>
              <w:rPr>
                <w:rFonts w:ascii="方正书宋_GBK" w:eastAsia="方正书宋_GBK"/>
                <w:b/>
              </w:rPr>
              <w:t>2</w:t>
            </w:r>
            <w:r>
              <w:rPr>
                <w:rFonts w:hint="eastAsia" w:ascii="方正书宋_GBK" w:eastAsia="方正书宋_GBK"/>
                <w:b/>
              </w:rPr>
              <w:t>、综合事务管理</w:t>
            </w:r>
          </w:p>
        </w:tc>
        <w:tc>
          <w:tcPr>
            <w:tcW w:w="1276" w:type="dxa"/>
            <w:vAlign w:val="center"/>
          </w:tcPr>
          <w:p>
            <w:pPr>
              <w:spacing w:line="300" w:lineRule="exact"/>
              <w:jc w:val="left"/>
              <w:rPr>
                <w:rFonts w:ascii="方正书宋_GBK" w:eastAsia="方正书宋_GBK"/>
              </w:rPr>
            </w:pPr>
          </w:p>
        </w:tc>
        <w:tc>
          <w:tcPr>
            <w:tcW w:w="2976" w:type="dxa"/>
            <w:vAlign w:val="center"/>
          </w:tcPr>
          <w:p>
            <w:pPr>
              <w:spacing w:line="300" w:lineRule="exact"/>
              <w:jc w:val="left"/>
              <w:rPr>
                <w:rFonts w:ascii="方正书宋_GBK" w:eastAsia="方正书宋_GBK"/>
              </w:rPr>
            </w:pPr>
            <w:r>
              <w:rPr>
                <w:rFonts w:hint="eastAsia" w:ascii="方正书宋_GBK" w:eastAsia="方正书宋_GBK"/>
              </w:rPr>
              <w:t>负责机关文书档案印信管理和保密，机关人事、离退休人员服务，财务、基建、后勤服务及警卫工作；机关信息建设和办公自动化建设；负责对全乡人大系统信息建设和办公自动化建设的指导、规划、组织、协调和人员培训工作；纪检组办案及培训；领导交办的其他工作。</w:t>
            </w:r>
          </w:p>
        </w:tc>
        <w:tc>
          <w:tcPr>
            <w:tcW w:w="2976" w:type="dxa"/>
            <w:vAlign w:val="center"/>
          </w:tcPr>
          <w:p>
            <w:pPr>
              <w:spacing w:line="300" w:lineRule="exact"/>
              <w:jc w:val="left"/>
              <w:rPr>
                <w:rFonts w:ascii="方正书宋_GBK" w:eastAsia="方正书宋_GBK"/>
              </w:rPr>
            </w:pPr>
            <w:r>
              <w:rPr>
                <w:rFonts w:hint="eastAsia" w:ascii="方正书宋_GBK" w:eastAsia="方正书宋_GBK"/>
              </w:rPr>
              <w:t>机关基础设施设备正常运转，信息化保障、老干部服务保障能力进一步提高。</w:t>
            </w:r>
          </w:p>
        </w:tc>
        <w:tc>
          <w:tcPr>
            <w:tcW w:w="1417" w:type="dxa"/>
            <w:vAlign w:val="center"/>
          </w:tcPr>
          <w:p>
            <w:pPr>
              <w:spacing w:line="300" w:lineRule="exact"/>
              <w:jc w:val="left"/>
              <w:rPr>
                <w:rFonts w:ascii="方正书宋_GBK" w:eastAsia="方正书宋_GBK"/>
              </w:rPr>
            </w:pPr>
            <w:r>
              <w:rPr>
                <w:rFonts w:hint="eastAsia" w:ascii="方正书宋_GBK" w:eastAsia="方正书宋_GBK"/>
              </w:rPr>
              <w:t>综合事务管理工作完成率</w:t>
            </w:r>
          </w:p>
        </w:tc>
        <w:tc>
          <w:tcPr>
            <w:tcW w:w="737" w:type="dxa"/>
            <w:vAlign w:val="center"/>
          </w:tcPr>
          <w:p>
            <w:pPr>
              <w:spacing w:line="300" w:lineRule="exact"/>
              <w:jc w:val="center"/>
              <w:rPr>
                <w:rFonts w:ascii="方正书宋_GBK" w:eastAsia="方正书宋_GBK"/>
              </w:rPr>
            </w:pPr>
            <w:r>
              <w:rPr>
                <w:rFonts w:ascii="方正书宋_GBK" w:eastAsia="方正书宋_GBK"/>
              </w:rPr>
              <w:t>100%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vAlign w:val="center"/>
          </w:tcPr>
          <w:p>
            <w:pPr>
              <w:spacing w:line="300" w:lineRule="exact"/>
              <w:jc w:val="center"/>
              <w:rPr>
                <w:rFonts w:ascii="方正书宋_GBK" w:eastAsia="方正书宋_GBK"/>
              </w:rPr>
            </w:pPr>
            <w:r>
              <w:rPr>
                <w:rFonts w:ascii="方正书宋_GBK" w:eastAsia="方正书宋_GBK"/>
              </w:rPr>
              <w:t>&lt;90%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Align w:val="center"/>
          </w:tcPr>
          <w:p>
            <w:pPr>
              <w:spacing w:line="300" w:lineRule="exact"/>
              <w:jc w:val="left"/>
              <w:rPr>
                <w:rFonts w:ascii="方正书宋_GBK" w:eastAsia="方正书宋_GBK"/>
                <w:b/>
              </w:rPr>
            </w:pPr>
            <w:r>
              <w:rPr>
                <w:rFonts w:hint="eastAsia" w:ascii="方正书宋_GBK" w:eastAsia="方正书宋_GBK"/>
                <w:b/>
              </w:rPr>
              <w:t>五、政务服务与政务管理</w:t>
            </w:r>
          </w:p>
        </w:tc>
        <w:tc>
          <w:tcPr>
            <w:tcW w:w="1276" w:type="dxa"/>
            <w:vAlign w:val="center"/>
          </w:tcPr>
          <w:p>
            <w:pPr>
              <w:spacing w:line="300" w:lineRule="exact"/>
              <w:jc w:val="left"/>
              <w:rPr>
                <w:rFonts w:ascii="方正书宋_GBK" w:eastAsia="方正书宋_GBK"/>
              </w:rPr>
            </w:pPr>
          </w:p>
        </w:tc>
        <w:tc>
          <w:tcPr>
            <w:tcW w:w="2976" w:type="dxa"/>
            <w:vAlign w:val="center"/>
          </w:tcPr>
          <w:p>
            <w:pPr>
              <w:spacing w:line="300" w:lineRule="exact"/>
              <w:jc w:val="left"/>
              <w:rPr>
                <w:rFonts w:ascii="方正书宋_GBK" w:eastAsia="方正书宋_GBK"/>
              </w:rPr>
            </w:pPr>
            <w:r>
              <w:rPr>
                <w:rFonts w:hint="eastAsia" w:ascii="方正书宋_GBK" w:eastAsia="方正书宋_GBK"/>
              </w:rPr>
              <w:t>政务公开、乡政府大型会议管理、政务督查督办、政务联络工作。</w:t>
            </w:r>
          </w:p>
        </w:tc>
        <w:tc>
          <w:tcPr>
            <w:tcW w:w="2976" w:type="dxa"/>
            <w:vAlign w:val="center"/>
          </w:tcPr>
          <w:p>
            <w:pPr>
              <w:spacing w:line="300" w:lineRule="exact"/>
              <w:jc w:val="left"/>
              <w:rPr>
                <w:rFonts w:ascii="方正书宋_GBK" w:eastAsia="方正书宋_GBK"/>
              </w:rPr>
            </w:pPr>
            <w:r>
              <w:rPr>
                <w:rFonts w:hint="eastAsia" w:ascii="方正书宋_GBK" w:eastAsia="方正书宋_GBK"/>
              </w:rPr>
              <w:t>突出政务、加强事务管理，力求重点工作出精品。难点工作求突破、基础工作有创新、常规工作见特色。以机关干部工作作风为依据，增强工作综合服务实力。</w:t>
            </w:r>
          </w:p>
        </w:tc>
        <w:tc>
          <w:tcPr>
            <w:tcW w:w="1417" w:type="dxa"/>
            <w:vAlign w:val="center"/>
          </w:tcPr>
          <w:p>
            <w:pPr>
              <w:spacing w:line="300" w:lineRule="exact"/>
              <w:jc w:val="left"/>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Align w:val="center"/>
          </w:tcPr>
          <w:p>
            <w:pPr>
              <w:spacing w:line="300" w:lineRule="exact"/>
              <w:jc w:val="left"/>
              <w:rPr>
                <w:rFonts w:ascii="方正书宋_GBK" w:eastAsia="方正书宋_GBK"/>
                <w:b/>
              </w:rPr>
            </w:pPr>
            <w:r>
              <w:rPr>
                <w:rFonts w:hint="eastAsia" w:ascii="方正书宋_GBK" w:eastAsia="方正书宋_GBK"/>
                <w:b/>
              </w:rPr>
              <w:t>　　</w:t>
            </w:r>
            <w:r>
              <w:rPr>
                <w:rFonts w:ascii="方正书宋_GBK" w:eastAsia="方正书宋_GBK"/>
                <w:b/>
              </w:rPr>
              <w:t>1</w:t>
            </w:r>
            <w:r>
              <w:rPr>
                <w:rFonts w:hint="eastAsia" w:ascii="方正书宋_GBK" w:eastAsia="方正书宋_GBK"/>
                <w:b/>
              </w:rPr>
              <w:t>、政务公开、会议管理、督查督办、政务联络。</w:t>
            </w:r>
          </w:p>
        </w:tc>
        <w:tc>
          <w:tcPr>
            <w:tcW w:w="1276" w:type="dxa"/>
            <w:vAlign w:val="center"/>
          </w:tcPr>
          <w:p>
            <w:pPr>
              <w:spacing w:line="300" w:lineRule="exact"/>
              <w:jc w:val="left"/>
              <w:rPr>
                <w:rFonts w:ascii="方正书宋_GBK" w:eastAsia="方正书宋_GBK"/>
              </w:rPr>
            </w:pPr>
          </w:p>
        </w:tc>
        <w:tc>
          <w:tcPr>
            <w:tcW w:w="2976" w:type="dxa"/>
            <w:vAlign w:val="center"/>
          </w:tcPr>
          <w:p>
            <w:pPr>
              <w:spacing w:line="300" w:lineRule="exact"/>
              <w:jc w:val="left"/>
              <w:rPr>
                <w:rFonts w:ascii="方正书宋_GBK" w:eastAsia="方正书宋_GBK"/>
              </w:rPr>
            </w:pPr>
            <w:r>
              <w:rPr>
                <w:rFonts w:hint="eastAsia" w:ascii="方正书宋_GBK" w:eastAsia="方正书宋_GBK"/>
              </w:rPr>
              <w:t>不断提高信息公开工作业务水平；协助乡领导组织会议决定事项的落实；督办重大决策落实；做好乡际间政务往来与经济交流工作，负责乡级领导公务活动的接待安排。</w:t>
            </w:r>
          </w:p>
        </w:tc>
        <w:tc>
          <w:tcPr>
            <w:tcW w:w="2976" w:type="dxa"/>
            <w:vAlign w:val="center"/>
          </w:tcPr>
          <w:p>
            <w:pPr>
              <w:spacing w:line="300" w:lineRule="exact"/>
              <w:jc w:val="left"/>
              <w:rPr>
                <w:rFonts w:ascii="方正书宋_GBK" w:eastAsia="方正书宋_GBK"/>
              </w:rPr>
            </w:pPr>
            <w:r>
              <w:rPr>
                <w:rFonts w:hint="eastAsia" w:ascii="方正书宋_GBK" w:eastAsia="方正书宋_GBK"/>
              </w:rPr>
              <w:t>提升政务公开服务水平。承办大型会议，有效推动全乡经济发展，保障重大决策落实，积极贯彻</w:t>
            </w:r>
            <w:r>
              <w:rPr>
                <w:rFonts w:hint="eastAsia" w:ascii="方正书宋_GBK" w:eastAsia="方正书宋_GBK"/>
                <w:lang w:eastAsia="zh-CN"/>
              </w:rPr>
              <w:t>工作部署</w:t>
            </w:r>
            <w:r>
              <w:rPr>
                <w:rFonts w:hint="eastAsia" w:ascii="方正书宋_GBK" w:eastAsia="方正书宋_GBK"/>
              </w:rPr>
              <w:t>，创新工作机制，提升服务水平。围绕我乡中心工作，有效促进对外经贸协作和外地高科技项目合作。</w:t>
            </w:r>
          </w:p>
        </w:tc>
        <w:tc>
          <w:tcPr>
            <w:tcW w:w="1417" w:type="dxa"/>
            <w:vAlign w:val="center"/>
          </w:tcPr>
          <w:p>
            <w:pPr>
              <w:spacing w:line="300" w:lineRule="exact"/>
              <w:jc w:val="left"/>
              <w:rPr>
                <w:rFonts w:ascii="方正书宋_GBK" w:eastAsia="方正书宋_GBK"/>
              </w:rPr>
            </w:pPr>
            <w:r>
              <w:rPr>
                <w:rFonts w:hint="eastAsia" w:ascii="方正书宋_GBK" w:eastAsia="方正书宋_GBK"/>
              </w:rPr>
              <w:t>政务信息公开培训任务完成率</w:t>
            </w:r>
          </w:p>
        </w:tc>
        <w:tc>
          <w:tcPr>
            <w:tcW w:w="737" w:type="dxa"/>
            <w:vAlign w:val="center"/>
          </w:tcPr>
          <w:p>
            <w:pPr>
              <w:spacing w:line="300" w:lineRule="exact"/>
              <w:jc w:val="center"/>
              <w:rPr>
                <w:rFonts w:ascii="方正书宋_GBK" w:eastAsia="方正书宋_GBK"/>
              </w:rPr>
            </w:pPr>
            <w:r>
              <w:rPr>
                <w:rFonts w:ascii="方正书宋_GBK" w:eastAsia="方正书宋_GBK"/>
              </w:rPr>
              <w:t>100%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Align w:val="center"/>
          </w:tcPr>
          <w:p>
            <w:pPr>
              <w:spacing w:line="300" w:lineRule="exact"/>
              <w:jc w:val="left"/>
              <w:rPr>
                <w:rFonts w:ascii="方正书宋_GBK" w:eastAsia="方正书宋_GBK"/>
                <w:b/>
              </w:rPr>
            </w:pPr>
            <w:r>
              <w:rPr>
                <w:rFonts w:hint="eastAsia" w:ascii="方正书宋_GBK" w:eastAsia="方正书宋_GBK"/>
                <w:b/>
              </w:rPr>
              <w:t>六、应急管理</w:t>
            </w:r>
          </w:p>
        </w:tc>
        <w:tc>
          <w:tcPr>
            <w:tcW w:w="1276" w:type="dxa"/>
            <w:vAlign w:val="center"/>
          </w:tcPr>
          <w:p>
            <w:pPr>
              <w:spacing w:line="300" w:lineRule="exact"/>
              <w:jc w:val="left"/>
              <w:rPr>
                <w:rFonts w:ascii="方正书宋_GBK" w:eastAsia="方正书宋_GBK"/>
              </w:rPr>
            </w:pPr>
          </w:p>
        </w:tc>
        <w:tc>
          <w:tcPr>
            <w:tcW w:w="2976" w:type="dxa"/>
            <w:vAlign w:val="center"/>
          </w:tcPr>
          <w:p>
            <w:pPr>
              <w:spacing w:line="300" w:lineRule="exact"/>
              <w:jc w:val="left"/>
              <w:rPr>
                <w:rFonts w:ascii="方正书宋_GBK" w:eastAsia="方正书宋_GBK"/>
              </w:rPr>
            </w:pPr>
            <w:r>
              <w:rPr>
                <w:rFonts w:hint="eastAsia" w:ascii="方正书宋_GBK" w:eastAsia="方正书宋_GBK"/>
              </w:rPr>
              <w:t>负责乡政府值班工作，及时报告重大情况，协助乡领导组织处理突发事件。</w:t>
            </w:r>
          </w:p>
        </w:tc>
        <w:tc>
          <w:tcPr>
            <w:tcW w:w="2976" w:type="dxa"/>
            <w:vAlign w:val="center"/>
          </w:tcPr>
          <w:p>
            <w:pPr>
              <w:spacing w:line="300" w:lineRule="exact"/>
              <w:jc w:val="left"/>
              <w:rPr>
                <w:rFonts w:ascii="方正书宋_GBK" w:eastAsia="方正书宋_GBK"/>
              </w:rPr>
            </w:pPr>
            <w:r>
              <w:rPr>
                <w:rFonts w:hint="eastAsia" w:ascii="方正书宋_GBK" w:eastAsia="方正书宋_GBK"/>
              </w:rPr>
              <w:t>保障应急平台安全运行，有效保证应急突发事件应对处置，完善应急体系，有效组织应急演练，进一步提升应急工作水平。</w:t>
            </w:r>
          </w:p>
        </w:tc>
        <w:tc>
          <w:tcPr>
            <w:tcW w:w="1417" w:type="dxa"/>
            <w:vAlign w:val="center"/>
          </w:tcPr>
          <w:p>
            <w:pPr>
              <w:spacing w:line="300" w:lineRule="exact"/>
              <w:jc w:val="left"/>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Align w:val="center"/>
          </w:tcPr>
          <w:p>
            <w:pPr>
              <w:spacing w:line="300" w:lineRule="exact"/>
              <w:jc w:val="left"/>
              <w:rPr>
                <w:rFonts w:ascii="方正书宋_GBK" w:eastAsia="方正书宋_GBK"/>
                <w:b/>
              </w:rPr>
            </w:pPr>
            <w:r>
              <w:rPr>
                <w:rFonts w:hint="eastAsia" w:ascii="方正书宋_GBK" w:eastAsia="方正书宋_GBK"/>
                <w:b/>
              </w:rPr>
              <w:t>　　</w:t>
            </w:r>
            <w:r>
              <w:rPr>
                <w:rFonts w:ascii="方正书宋_GBK" w:eastAsia="方正书宋_GBK"/>
                <w:b/>
              </w:rPr>
              <w:t>1</w:t>
            </w:r>
            <w:r>
              <w:rPr>
                <w:rFonts w:hint="eastAsia" w:ascii="方正书宋_GBK" w:eastAsia="方正书宋_GBK"/>
                <w:b/>
              </w:rPr>
              <w:t>、应急管理</w:t>
            </w:r>
          </w:p>
        </w:tc>
        <w:tc>
          <w:tcPr>
            <w:tcW w:w="1276" w:type="dxa"/>
            <w:vAlign w:val="center"/>
          </w:tcPr>
          <w:p>
            <w:pPr>
              <w:spacing w:line="300" w:lineRule="exact"/>
              <w:jc w:val="left"/>
              <w:rPr>
                <w:rFonts w:ascii="方正书宋_GBK" w:eastAsia="方正书宋_GBK"/>
              </w:rPr>
            </w:pPr>
          </w:p>
        </w:tc>
        <w:tc>
          <w:tcPr>
            <w:tcW w:w="2976" w:type="dxa"/>
            <w:vAlign w:val="center"/>
          </w:tcPr>
          <w:p>
            <w:pPr>
              <w:spacing w:line="300" w:lineRule="exact"/>
              <w:jc w:val="left"/>
              <w:rPr>
                <w:rFonts w:ascii="方正书宋_GBK" w:eastAsia="方正书宋_GBK"/>
              </w:rPr>
            </w:pPr>
            <w:r>
              <w:rPr>
                <w:rFonts w:hint="eastAsia" w:ascii="方正书宋_GBK" w:eastAsia="方正书宋_GBK"/>
              </w:rPr>
              <w:t>乡政府值班工作，及时报告重要情况，传达和落实乡领导重要指示，协助乡领导完成组织处理突发事件应急处置工作。</w:t>
            </w:r>
          </w:p>
        </w:tc>
        <w:tc>
          <w:tcPr>
            <w:tcW w:w="2976" w:type="dxa"/>
            <w:vAlign w:val="center"/>
          </w:tcPr>
          <w:p>
            <w:pPr>
              <w:spacing w:line="300" w:lineRule="exact"/>
              <w:jc w:val="left"/>
              <w:rPr>
                <w:rFonts w:ascii="方正书宋_GBK" w:eastAsia="方正书宋_GBK"/>
              </w:rPr>
            </w:pPr>
            <w:r>
              <w:rPr>
                <w:rFonts w:hint="eastAsia" w:ascii="方正书宋_GBK" w:eastAsia="方正书宋_GBK"/>
              </w:rPr>
              <w:t>建设运行维护平台数据，为有效保障全乡突发事件提供技术保障，确保快速、有效处置突发事件，提高事件应对实效。</w:t>
            </w:r>
          </w:p>
        </w:tc>
        <w:tc>
          <w:tcPr>
            <w:tcW w:w="1417" w:type="dxa"/>
            <w:vAlign w:val="center"/>
          </w:tcPr>
          <w:p>
            <w:pPr>
              <w:spacing w:line="300" w:lineRule="exact"/>
              <w:jc w:val="left"/>
              <w:rPr>
                <w:rFonts w:ascii="方正书宋_GBK" w:eastAsia="方正书宋_GBK"/>
              </w:rPr>
            </w:pPr>
            <w:r>
              <w:rPr>
                <w:rFonts w:hint="eastAsia" w:ascii="方正书宋_GBK" w:eastAsia="方正书宋_GBK"/>
              </w:rPr>
              <w:t>系统全年累计故障时长（小时）</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48</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96</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192</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192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Align w:val="center"/>
          </w:tcPr>
          <w:p>
            <w:pPr>
              <w:spacing w:line="300" w:lineRule="exact"/>
              <w:jc w:val="left"/>
              <w:rPr>
                <w:rFonts w:ascii="方正书宋_GBK" w:eastAsia="方正书宋_GBK"/>
                <w:b/>
              </w:rPr>
            </w:pPr>
            <w:r>
              <w:rPr>
                <w:rFonts w:hint="eastAsia" w:ascii="方正书宋_GBK" w:eastAsia="方正书宋_GBK"/>
                <w:b/>
              </w:rPr>
              <w:t>　　</w:t>
            </w:r>
            <w:r>
              <w:rPr>
                <w:rFonts w:ascii="方正书宋_GBK" w:eastAsia="方正书宋_GBK"/>
                <w:b/>
              </w:rPr>
              <w:t>2</w:t>
            </w:r>
            <w:r>
              <w:rPr>
                <w:rFonts w:hint="eastAsia" w:ascii="方正书宋_GBK" w:eastAsia="方正书宋_GBK"/>
                <w:b/>
              </w:rPr>
              <w:t>、应急管理</w:t>
            </w:r>
          </w:p>
        </w:tc>
        <w:tc>
          <w:tcPr>
            <w:tcW w:w="1276" w:type="dxa"/>
            <w:vAlign w:val="center"/>
          </w:tcPr>
          <w:p>
            <w:pPr>
              <w:spacing w:line="300" w:lineRule="exact"/>
              <w:jc w:val="left"/>
              <w:rPr>
                <w:rFonts w:ascii="方正书宋_GBK" w:eastAsia="方正书宋_GBK"/>
              </w:rPr>
            </w:pPr>
          </w:p>
        </w:tc>
        <w:tc>
          <w:tcPr>
            <w:tcW w:w="2976" w:type="dxa"/>
            <w:vAlign w:val="center"/>
          </w:tcPr>
          <w:p>
            <w:pPr>
              <w:spacing w:line="300" w:lineRule="exact"/>
              <w:jc w:val="left"/>
              <w:rPr>
                <w:rFonts w:ascii="方正书宋_GBK" w:eastAsia="方正书宋_GBK"/>
              </w:rPr>
            </w:pPr>
            <w:r>
              <w:rPr>
                <w:rFonts w:hint="eastAsia" w:ascii="方正书宋_GBK" w:eastAsia="方正书宋_GBK"/>
              </w:rPr>
              <w:t>乡政府值班工作，及时报告重要情况，传达和落实乡领导重要指示，协助乡领导完成组织处理突发事件应急处置工作。</w:t>
            </w:r>
          </w:p>
        </w:tc>
        <w:tc>
          <w:tcPr>
            <w:tcW w:w="2976" w:type="dxa"/>
            <w:vAlign w:val="center"/>
          </w:tcPr>
          <w:p>
            <w:pPr>
              <w:spacing w:line="300" w:lineRule="exact"/>
              <w:jc w:val="left"/>
              <w:rPr>
                <w:rFonts w:ascii="方正书宋_GBK" w:eastAsia="方正书宋_GBK"/>
              </w:rPr>
            </w:pPr>
            <w:r>
              <w:rPr>
                <w:rFonts w:hint="eastAsia" w:ascii="方正书宋_GBK" w:eastAsia="方正书宋_GBK"/>
              </w:rPr>
              <w:t>建设运行维护平台数据，为有效保障全乡突发事件提供技术保障，确保快速、有效处置突发事件，提高事件应对实效。</w:t>
            </w:r>
          </w:p>
        </w:tc>
        <w:tc>
          <w:tcPr>
            <w:tcW w:w="1417" w:type="dxa"/>
            <w:vAlign w:val="center"/>
          </w:tcPr>
          <w:p>
            <w:pPr>
              <w:spacing w:line="300" w:lineRule="exact"/>
              <w:jc w:val="left"/>
              <w:rPr>
                <w:rFonts w:ascii="方正书宋_GBK" w:eastAsia="方正书宋_GBK"/>
              </w:rPr>
            </w:pPr>
            <w:r>
              <w:rPr>
                <w:rFonts w:hint="eastAsia" w:ascii="方正书宋_GBK" w:eastAsia="方正书宋_GBK"/>
              </w:rPr>
              <w:t>应急事件处置情况</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98%</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Align w:val="center"/>
          </w:tcPr>
          <w:p>
            <w:pPr>
              <w:spacing w:line="300" w:lineRule="exact"/>
              <w:jc w:val="left"/>
              <w:rPr>
                <w:rFonts w:ascii="方正书宋_GBK" w:eastAsia="方正书宋_GBK"/>
                <w:b/>
              </w:rPr>
            </w:pPr>
            <w:r>
              <w:rPr>
                <w:rFonts w:hint="eastAsia" w:ascii="方正书宋_GBK" w:eastAsia="方正书宋_GBK"/>
                <w:b/>
              </w:rPr>
              <w:t>七、综合业务、事务管理</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662.45</w:t>
            </w:r>
          </w:p>
        </w:tc>
        <w:tc>
          <w:tcPr>
            <w:tcW w:w="2976" w:type="dxa"/>
            <w:vAlign w:val="center"/>
          </w:tcPr>
          <w:p>
            <w:pPr>
              <w:spacing w:line="300" w:lineRule="exact"/>
              <w:jc w:val="left"/>
              <w:rPr>
                <w:rFonts w:ascii="方正书宋_GBK" w:eastAsia="方正书宋_GBK"/>
              </w:rPr>
            </w:pPr>
            <w:r>
              <w:rPr>
                <w:rFonts w:hint="eastAsia" w:ascii="方正书宋_GBK" w:eastAsia="方正书宋_GBK"/>
              </w:rPr>
              <w:t>紧紧围绕乡政府中心工作，积极协调乡领导谋大事，解难事，不断提高参政水平，努力为领导提供服务层次和优质服务。</w:t>
            </w:r>
          </w:p>
        </w:tc>
        <w:tc>
          <w:tcPr>
            <w:tcW w:w="2976" w:type="dxa"/>
            <w:vAlign w:val="center"/>
          </w:tcPr>
          <w:p>
            <w:pPr>
              <w:spacing w:line="300" w:lineRule="exact"/>
              <w:jc w:val="left"/>
              <w:rPr>
                <w:rFonts w:ascii="方正书宋_GBK" w:eastAsia="方正书宋_GBK"/>
              </w:rPr>
            </w:pPr>
            <w:r>
              <w:rPr>
                <w:rFonts w:hint="eastAsia" w:ascii="方正书宋_GBK" w:eastAsia="方正书宋_GBK"/>
              </w:rPr>
              <w:t>以服务领导和机关保障有力为目标，增强优质后勤管理水平，通过加强公车管理，降低运行成本，为创建节约型机关打下了良好的基础。采取保障乡政府领导和机关工作办公环境的措施，提升服务管理水平，保障乡领导和机关工作的正常运转。及时了解国内外形势、党和国家的方针政策以及上级重要部署和要求，及时为老干部提供优质高效服务。</w:t>
            </w:r>
          </w:p>
        </w:tc>
        <w:tc>
          <w:tcPr>
            <w:tcW w:w="1417" w:type="dxa"/>
            <w:vAlign w:val="center"/>
          </w:tcPr>
          <w:p>
            <w:pPr>
              <w:spacing w:line="300" w:lineRule="exact"/>
              <w:jc w:val="left"/>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Align w:val="center"/>
          </w:tcPr>
          <w:p>
            <w:pPr>
              <w:spacing w:line="300" w:lineRule="exact"/>
              <w:jc w:val="left"/>
              <w:rPr>
                <w:rFonts w:ascii="方正书宋_GBK" w:eastAsia="方正书宋_GBK"/>
                <w:b/>
              </w:rPr>
            </w:pPr>
            <w:r>
              <w:rPr>
                <w:rFonts w:hint="eastAsia" w:ascii="方正书宋_GBK" w:eastAsia="方正书宋_GBK"/>
                <w:b/>
              </w:rPr>
              <w:t>　　</w:t>
            </w:r>
            <w:r>
              <w:rPr>
                <w:rFonts w:ascii="方正书宋_GBK" w:eastAsia="方正书宋_GBK"/>
                <w:b/>
              </w:rPr>
              <w:t>1</w:t>
            </w:r>
            <w:r>
              <w:rPr>
                <w:rFonts w:hint="eastAsia" w:ascii="方正书宋_GBK" w:eastAsia="方正书宋_GBK"/>
                <w:b/>
              </w:rPr>
              <w:t>、综合业务、事务管理</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662.45</w:t>
            </w:r>
          </w:p>
        </w:tc>
        <w:tc>
          <w:tcPr>
            <w:tcW w:w="2976" w:type="dxa"/>
            <w:vAlign w:val="center"/>
          </w:tcPr>
          <w:p>
            <w:pPr>
              <w:spacing w:line="300" w:lineRule="exact"/>
              <w:jc w:val="left"/>
              <w:rPr>
                <w:rFonts w:ascii="方正书宋_GBK" w:eastAsia="方正书宋_GBK"/>
              </w:rPr>
            </w:pPr>
            <w:r>
              <w:rPr>
                <w:rFonts w:hint="eastAsia" w:ascii="方正书宋_GBK" w:eastAsia="方正书宋_GBK"/>
              </w:rPr>
              <w:t>协助乡政府领导组织起草或审核以乡政府、乡政府办公室名义发布的公文；办理乡政府各部门和乡镇报送的文电；对乡政府部门间出现的争议问题提出处理意见；组织起草乡政府领导重要讲话及其他重要文稿；组织专题调研；承办乡政府领导交办的其他事项。</w:t>
            </w:r>
          </w:p>
        </w:tc>
        <w:tc>
          <w:tcPr>
            <w:tcW w:w="2976" w:type="dxa"/>
            <w:vAlign w:val="center"/>
          </w:tcPr>
          <w:p>
            <w:pPr>
              <w:spacing w:line="300" w:lineRule="exact"/>
              <w:jc w:val="left"/>
              <w:rPr>
                <w:rFonts w:ascii="方正书宋_GBK" w:eastAsia="方正书宋_GBK"/>
              </w:rPr>
            </w:pPr>
            <w:r>
              <w:rPr>
                <w:rFonts w:hint="eastAsia" w:ascii="方正书宋_GBK" w:eastAsia="方正书宋_GBK"/>
              </w:rPr>
              <w:t>采取保障乡政府领导和机关工作办公环境的措施，提升了服务管理水平，保障了乡领导和机关工作的正常运转。</w:t>
            </w:r>
          </w:p>
        </w:tc>
        <w:tc>
          <w:tcPr>
            <w:tcW w:w="1417" w:type="dxa"/>
            <w:vAlign w:val="center"/>
          </w:tcPr>
          <w:p>
            <w:pPr>
              <w:spacing w:line="300" w:lineRule="exact"/>
              <w:jc w:val="left"/>
              <w:rPr>
                <w:rFonts w:ascii="方正书宋_GBK" w:eastAsia="方正书宋_GBK"/>
              </w:rPr>
            </w:pPr>
            <w:r>
              <w:rPr>
                <w:rFonts w:hint="eastAsia" w:ascii="方正书宋_GBK" w:eastAsia="方正书宋_GBK"/>
              </w:rPr>
              <w:t>各项综合业务管理工作完成率</w:t>
            </w:r>
          </w:p>
        </w:tc>
        <w:tc>
          <w:tcPr>
            <w:tcW w:w="737" w:type="dxa"/>
            <w:vAlign w:val="center"/>
          </w:tcPr>
          <w:p>
            <w:pPr>
              <w:spacing w:line="300" w:lineRule="exact"/>
              <w:jc w:val="center"/>
              <w:rPr>
                <w:rFonts w:ascii="方正书宋_GBK" w:eastAsia="方正书宋_GBK"/>
              </w:rPr>
            </w:pPr>
            <w:r>
              <w:rPr>
                <w:rFonts w:ascii="方正书宋_GBK" w:eastAsia="方正书宋_GBK"/>
              </w:rPr>
              <w:t>100%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Align w:val="center"/>
          </w:tcPr>
          <w:p>
            <w:pPr>
              <w:spacing w:line="300" w:lineRule="exact"/>
              <w:jc w:val="left"/>
              <w:rPr>
                <w:rFonts w:ascii="方正书宋_GBK" w:eastAsia="方正书宋_GBK"/>
                <w:b/>
              </w:rPr>
            </w:pPr>
            <w:r>
              <w:rPr>
                <w:rFonts w:hint="eastAsia" w:ascii="方正书宋_GBK" w:eastAsia="方正书宋_GBK"/>
                <w:b/>
              </w:rPr>
              <w:t>　　</w:t>
            </w:r>
            <w:r>
              <w:rPr>
                <w:rFonts w:ascii="方正书宋_GBK" w:eastAsia="方正书宋_GBK"/>
                <w:b/>
              </w:rPr>
              <w:t>2</w:t>
            </w:r>
            <w:r>
              <w:rPr>
                <w:rFonts w:hint="eastAsia" w:ascii="方正书宋_GBK" w:eastAsia="方正书宋_GBK"/>
                <w:b/>
              </w:rPr>
              <w:t>、综合业务、事务管理</w:t>
            </w:r>
          </w:p>
        </w:tc>
        <w:tc>
          <w:tcPr>
            <w:tcW w:w="1276" w:type="dxa"/>
            <w:vAlign w:val="center"/>
          </w:tcPr>
          <w:p>
            <w:pPr>
              <w:spacing w:line="300" w:lineRule="exact"/>
              <w:jc w:val="left"/>
              <w:rPr>
                <w:rFonts w:ascii="方正书宋_GBK" w:eastAsia="方正书宋_GBK"/>
              </w:rPr>
            </w:pPr>
          </w:p>
        </w:tc>
        <w:tc>
          <w:tcPr>
            <w:tcW w:w="2976" w:type="dxa"/>
            <w:vAlign w:val="center"/>
          </w:tcPr>
          <w:p>
            <w:pPr>
              <w:spacing w:line="300" w:lineRule="exact"/>
              <w:jc w:val="left"/>
              <w:rPr>
                <w:rFonts w:ascii="方正书宋_GBK" w:eastAsia="方正书宋_GBK"/>
              </w:rPr>
            </w:pPr>
            <w:r>
              <w:rPr>
                <w:rFonts w:hint="eastAsia" w:ascii="方正书宋_GBK" w:eastAsia="方正书宋_GBK"/>
              </w:rPr>
              <w:t>协助乡政府领导组织起草或审核以乡政府、乡政府办公室名义发布的公文；办理乡政府各部门和乡镇报送的文电；对乡政府部门间出现的争议问题提出处理意见；组织起草乡政府领导重要讲话及其他重要文稿；组织专题调研；承办乡政府领导交办的其他事项。</w:t>
            </w:r>
          </w:p>
        </w:tc>
        <w:tc>
          <w:tcPr>
            <w:tcW w:w="2976" w:type="dxa"/>
            <w:vAlign w:val="center"/>
          </w:tcPr>
          <w:p>
            <w:pPr>
              <w:spacing w:line="300" w:lineRule="exact"/>
              <w:jc w:val="left"/>
              <w:rPr>
                <w:rFonts w:ascii="方正书宋_GBK" w:eastAsia="方正书宋_GBK"/>
              </w:rPr>
            </w:pPr>
            <w:r>
              <w:rPr>
                <w:rFonts w:hint="eastAsia" w:ascii="方正书宋_GBK" w:eastAsia="方正书宋_GBK"/>
              </w:rPr>
              <w:t>采取保障乡政府领导和机关工作办公环境的措施，提升了服务管理水平，保障了乡领导和机关工作的正常运转。</w:t>
            </w:r>
          </w:p>
        </w:tc>
        <w:tc>
          <w:tcPr>
            <w:tcW w:w="1417" w:type="dxa"/>
            <w:vAlign w:val="center"/>
          </w:tcPr>
          <w:p>
            <w:pPr>
              <w:spacing w:line="300" w:lineRule="exact"/>
              <w:jc w:val="left"/>
              <w:rPr>
                <w:rFonts w:ascii="方正书宋_GBK" w:eastAsia="方正书宋_GBK"/>
              </w:rPr>
            </w:pPr>
            <w:r>
              <w:rPr>
                <w:rFonts w:hint="eastAsia" w:ascii="方正书宋_GBK" w:eastAsia="方正书宋_GBK"/>
              </w:rPr>
              <w:t>各项综合事务管理工作完成率</w:t>
            </w:r>
          </w:p>
        </w:tc>
        <w:tc>
          <w:tcPr>
            <w:tcW w:w="737" w:type="dxa"/>
            <w:vAlign w:val="center"/>
          </w:tcPr>
          <w:p>
            <w:pPr>
              <w:spacing w:line="300" w:lineRule="exact"/>
              <w:jc w:val="center"/>
              <w:rPr>
                <w:rFonts w:ascii="方正书宋_GBK" w:eastAsia="方正书宋_GBK"/>
              </w:rPr>
            </w:pPr>
            <w:r>
              <w:rPr>
                <w:rFonts w:ascii="方正书宋_GBK" w:eastAsia="方正书宋_GBK"/>
              </w:rPr>
              <w:t>100%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Align w:val="center"/>
          </w:tcPr>
          <w:p>
            <w:pPr>
              <w:spacing w:line="300" w:lineRule="exact"/>
              <w:jc w:val="left"/>
              <w:rPr>
                <w:rFonts w:ascii="方正书宋_GBK" w:eastAsia="方正书宋_GBK"/>
                <w:b/>
              </w:rPr>
            </w:pPr>
            <w:r>
              <w:rPr>
                <w:rFonts w:hint="eastAsia" w:ascii="方正书宋_GBK" w:eastAsia="方正书宋_GBK"/>
                <w:b/>
              </w:rPr>
              <w:t>八、政务管理</w:t>
            </w:r>
          </w:p>
        </w:tc>
        <w:tc>
          <w:tcPr>
            <w:tcW w:w="1276" w:type="dxa"/>
            <w:vAlign w:val="center"/>
          </w:tcPr>
          <w:p>
            <w:pPr>
              <w:spacing w:line="300" w:lineRule="exact"/>
              <w:jc w:val="left"/>
              <w:rPr>
                <w:rFonts w:ascii="方正书宋_GBK" w:eastAsia="方正书宋_GBK"/>
              </w:rPr>
            </w:pPr>
          </w:p>
        </w:tc>
        <w:tc>
          <w:tcPr>
            <w:tcW w:w="2976" w:type="dxa"/>
            <w:vAlign w:val="center"/>
          </w:tcPr>
          <w:p>
            <w:pPr>
              <w:spacing w:line="300" w:lineRule="exact"/>
              <w:jc w:val="left"/>
              <w:rPr>
                <w:rFonts w:ascii="方正书宋_GBK" w:eastAsia="方正书宋_GBK"/>
              </w:rPr>
            </w:pPr>
            <w:r>
              <w:rPr>
                <w:rFonts w:hint="eastAsia" w:ascii="方正书宋_GBK" w:eastAsia="方正书宋_GBK"/>
              </w:rPr>
              <w:t>负责部门综合业务管理和综合事务管理。</w:t>
            </w:r>
          </w:p>
        </w:tc>
        <w:tc>
          <w:tcPr>
            <w:tcW w:w="2976" w:type="dxa"/>
            <w:vAlign w:val="center"/>
          </w:tcPr>
          <w:p>
            <w:pPr>
              <w:spacing w:line="300" w:lineRule="exact"/>
              <w:jc w:val="left"/>
              <w:rPr>
                <w:rFonts w:ascii="方正书宋_GBK" w:eastAsia="方正书宋_GBK"/>
              </w:rPr>
            </w:pPr>
            <w:r>
              <w:rPr>
                <w:rFonts w:hint="eastAsia" w:ascii="方正书宋_GBK" w:eastAsia="方正书宋_GBK"/>
              </w:rPr>
              <w:t>保障我乡农业综合开发工作正常运转</w:t>
            </w:r>
          </w:p>
        </w:tc>
        <w:tc>
          <w:tcPr>
            <w:tcW w:w="1417" w:type="dxa"/>
            <w:vAlign w:val="center"/>
          </w:tcPr>
          <w:p>
            <w:pPr>
              <w:spacing w:line="300" w:lineRule="exact"/>
              <w:jc w:val="left"/>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Align w:val="center"/>
          </w:tcPr>
          <w:p>
            <w:pPr>
              <w:spacing w:line="300" w:lineRule="exact"/>
              <w:jc w:val="left"/>
              <w:rPr>
                <w:rFonts w:ascii="方正书宋_GBK" w:eastAsia="方正书宋_GBK"/>
                <w:b/>
              </w:rPr>
            </w:pPr>
            <w:r>
              <w:rPr>
                <w:rFonts w:hint="eastAsia" w:ascii="方正书宋_GBK" w:eastAsia="方正书宋_GBK"/>
                <w:b/>
              </w:rPr>
              <w:t>　　</w:t>
            </w:r>
            <w:r>
              <w:rPr>
                <w:rFonts w:ascii="方正书宋_GBK" w:eastAsia="方正书宋_GBK"/>
                <w:b/>
              </w:rPr>
              <w:t>1</w:t>
            </w:r>
            <w:r>
              <w:rPr>
                <w:rFonts w:hint="eastAsia" w:ascii="方正书宋_GBK" w:eastAsia="方正书宋_GBK"/>
                <w:b/>
              </w:rPr>
              <w:t>、综合业务管理</w:t>
            </w:r>
          </w:p>
        </w:tc>
        <w:tc>
          <w:tcPr>
            <w:tcW w:w="1276" w:type="dxa"/>
            <w:vAlign w:val="center"/>
          </w:tcPr>
          <w:p>
            <w:pPr>
              <w:spacing w:line="300" w:lineRule="exact"/>
              <w:jc w:val="left"/>
              <w:rPr>
                <w:rFonts w:ascii="方正书宋_GBK" w:eastAsia="方正书宋_GBK"/>
              </w:rPr>
            </w:pPr>
          </w:p>
        </w:tc>
        <w:tc>
          <w:tcPr>
            <w:tcW w:w="2976" w:type="dxa"/>
            <w:vAlign w:val="center"/>
          </w:tcPr>
          <w:p>
            <w:pPr>
              <w:spacing w:line="300" w:lineRule="exact"/>
              <w:jc w:val="left"/>
              <w:rPr>
                <w:rFonts w:ascii="方正书宋_GBK" w:eastAsia="方正书宋_GBK"/>
              </w:rPr>
            </w:pPr>
            <w:r>
              <w:rPr>
                <w:rFonts w:hint="eastAsia" w:ascii="方正书宋_GBK" w:eastAsia="方正书宋_GBK"/>
              </w:rPr>
              <w:t>按时完成项目申报、评审、批复、检查验收等工作。</w:t>
            </w:r>
          </w:p>
        </w:tc>
        <w:tc>
          <w:tcPr>
            <w:tcW w:w="2976" w:type="dxa"/>
            <w:vAlign w:val="center"/>
          </w:tcPr>
          <w:p>
            <w:pPr>
              <w:spacing w:line="300" w:lineRule="exact"/>
              <w:jc w:val="left"/>
              <w:rPr>
                <w:rFonts w:ascii="方正书宋_GBK" w:eastAsia="方正书宋_GBK"/>
              </w:rPr>
            </w:pPr>
            <w:r>
              <w:rPr>
                <w:rFonts w:hint="eastAsia" w:ascii="方正书宋_GBK" w:eastAsia="方正书宋_GBK"/>
              </w:rPr>
              <w:t>保障项目计划执行，不断提高项目质量和资金管理水平，提高开发效益</w:t>
            </w:r>
          </w:p>
        </w:tc>
        <w:tc>
          <w:tcPr>
            <w:tcW w:w="1417" w:type="dxa"/>
            <w:vAlign w:val="center"/>
          </w:tcPr>
          <w:p>
            <w:pPr>
              <w:spacing w:line="300" w:lineRule="exact"/>
              <w:jc w:val="left"/>
              <w:rPr>
                <w:rFonts w:ascii="方正书宋_GBK" w:eastAsia="方正书宋_GBK"/>
              </w:rPr>
            </w:pPr>
            <w:r>
              <w:rPr>
                <w:rFonts w:hint="eastAsia" w:ascii="方正书宋_GBK" w:eastAsia="方正书宋_GBK"/>
              </w:rPr>
              <w:t>综合业务管理工作完成率</w:t>
            </w:r>
          </w:p>
        </w:tc>
        <w:tc>
          <w:tcPr>
            <w:tcW w:w="737" w:type="dxa"/>
            <w:vAlign w:val="center"/>
          </w:tcPr>
          <w:p>
            <w:pPr>
              <w:spacing w:line="300" w:lineRule="exact"/>
              <w:jc w:val="center"/>
              <w:rPr>
                <w:rFonts w:ascii="方正书宋_GBK" w:eastAsia="方正书宋_GBK"/>
              </w:rPr>
            </w:pPr>
            <w:r>
              <w:rPr>
                <w:rFonts w:ascii="方正书宋_GBK" w:eastAsia="方正书宋_GBK"/>
              </w:rPr>
              <w:t>100%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Align w:val="center"/>
          </w:tcPr>
          <w:p>
            <w:pPr>
              <w:spacing w:line="300" w:lineRule="exact"/>
              <w:jc w:val="left"/>
              <w:rPr>
                <w:rFonts w:ascii="方正书宋_GBK" w:eastAsia="方正书宋_GBK"/>
                <w:b/>
              </w:rPr>
            </w:pPr>
            <w:r>
              <w:rPr>
                <w:rFonts w:hint="eastAsia" w:ascii="方正书宋_GBK" w:eastAsia="方正书宋_GBK"/>
                <w:b/>
              </w:rPr>
              <w:t>　　</w:t>
            </w:r>
            <w:r>
              <w:rPr>
                <w:rFonts w:ascii="方正书宋_GBK" w:eastAsia="方正书宋_GBK"/>
                <w:b/>
              </w:rPr>
              <w:t>2</w:t>
            </w:r>
            <w:r>
              <w:rPr>
                <w:rFonts w:hint="eastAsia" w:ascii="方正书宋_GBK" w:eastAsia="方正书宋_GBK"/>
                <w:b/>
              </w:rPr>
              <w:t>、综合事务管理</w:t>
            </w:r>
          </w:p>
        </w:tc>
        <w:tc>
          <w:tcPr>
            <w:tcW w:w="1276" w:type="dxa"/>
            <w:vAlign w:val="center"/>
          </w:tcPr>
          <w:p>
            <w:pPr>
              <w:spacing w:line="300" w:lineRule="exact"/>
              <w:jc w:val="left"/>
              <w:rPr>
                <w:rFonts w:ascii="方正书宋_GBK" w:eastAsia="方正书宋_GBK"/>
              </w:rPr>
            </w:pPr>
          </w:p>
        </w:tc>
        <w:tc>
          <w:tcPr>
            <w:tcW w:w="2976" w:type="dxa"/>
            <w:vAlign w:val="center"/>
          </w:tcPr>
          <w:p>
            <w:pPr>
              <w:spacing w:line="300" w:lineRule="exact"/>
              <w:jc w:val="left"/>
              <w:rPr>
                <w:rFonts w:ascii="方正书宋_GBK" w:eastAsia="方正书宋_GBK"/>
              </w:rPr>
            </w:pPr>
            <w:r>
              <w:rPr>
                <w:rFonts w:hint="eastAsia" w:ascii="方正书宋_GBK" w:eastAsia="方正书宋_GBK"/>
              </w:rPr>
              <w:t>会议组织管理、信息化建设与维护、财务和资产管理、标准化建设。</w:t>
            </w:r>
          </w:p>
        </w:tc>
        <w:tc>
          <w:tcPr>
            <w:tcW w:w="2976" w:type="dxa"/>
            <w:vAlign w:val="center"/>
          </w:tcPr>
          <w:p>
            <w:pPr>
              <w:spacing w:line="300" w:lineRule="exact"/>
              <w:jc w:val="left"/>
              <w:rPr>
                <w:rFonts w:ascii="方正书宋_GBK" w:eastAsia="方正书宋_GBK"/>
              </w:rPr>
            </w:pPr>
            <w:r>
              <w:rPr>
                <w:rFonts w:hint="eastAsia" w:ascii="方正书宋_GBK" w:eastAsia="方正书宋_GBK"/>
              </w:rPr>
              <w:t>保障办机关正常运转</w:t>
            </w:r>
          </w:p>
        </w:tc>
        <w:tc>
          <w:tcPr>
            <w:tcW w:w="1417" w:type="dxa"/>
            <w:vAlign w:val="center"/>
          </w:tcPr>
          <w:p>
            <w:pPr>
              <w:spacing w:line="300" w:lineRule="exact"/>
              <w:jc w:val="left"/>
              <w:rPr>
                <w:rFonts w:ascii="方正书宋_GBK" w:eastAsia="方正书宋_GBK"/>
              </w:rPr>
            </w:pPr>
            <w:r>
              <w:rPr>
                <w:rFonts w:hint="eastAsia" w:ascii="方正书宋_GBK" w:eastAsia="方正书宋_GBK"/>
              </w:rPr>
              <w:t>综合事务管理工作完成率</w:t>
            </w:r>
          </w:p>
        </w:tc>
        <w:tc>
          <w:tcPr>
            <w:tcW w:w="737" w:type="dxa"/>
            <w:vAlign w:val="center"/>
          </w:tcPr>
          <w:p>
            <w:pPr>
              <w:spacing w:line="300" w:lineRule="exact"/>
              <w:jc w:val="center"/>
              <w:rPr>
                <w:rFonts w:ascii="方正书宋_GBK" w:eastAsia="方正书宋_GBK"/>
              </w:rPr>
            </w:pPr>
            <w:r>
              <w:rPr>
                <w:rFonts w:ascii="方正书宋_GBK" w:eastAsia="方正书宋_GBK"/>
              </w:rPr>
              <w:t>100%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Align w:val="center"/>
          </w:tcPr>
          <w:p>
            <w:pPr>
              <w:spacing w:line="300" w:lineRule="exact"/>
              <w:jc w:val="left"/>
              <w:rPr>
                <w:rFonts w:ascii="方正书宋_GBK" w:eastAsia="方正书宋_GBK"/>
                <w:b/>
              </w:rPr>
            </w:pPr>
            <w:r>
              <w:rPr>
                <w:rFonts w:hint="eastAsia" w:ascii="方正书宋_GBK" w:eastAsia="方正书宋_GBK"/>
                <w:b/>
              </w:rPr>
              <w:t>九、自然生态保护</w:t>
            </w:r>
          </w:p>
        </w:tc>
        <w:tc>
          <w:tcPr>
            <w:tcW w:w="1276" w:type="dxa"/>
            <w:vAlign w:val="center"/>
          </w:tcPr>
          <w:p>
            <w:pPr>
              <w:spacing w:line="300" w:lineRule="exact"/>
              <w:jc w:val="left"/>
              <w:rPr>
                <w:rFonts w:ascii="方正书宋_GBK" w:eastAsia="方正书宋_GBK"/>
              </w:rPr>
            </w:pPr>
          </w:p>
        </w:tc>
        <w:tc>
          <w:tcPr>
            <w:tcW w:w="2976" w:type="dxa"/>
            <w:vAlign w:val="center"/>
          </w:tcPr>
          <w:p>
            <w:pPr>
              <w:spacing w:line="300" w:lineRule="exact"/>
              <w:jc w:val="left"/>
              <w:rPr>
                <w:rFonts w:ascii="方正书宋_GBK" w:eastAsia="方正书宋_GBK"/>
              </w:rPr>
            </w:pPr>
            <w:r>
              <w:rPr>
                <w:rFonts w:hint="eastAsia" w:ascii="方正书宋_GBK" w:eastAsia="方正书宋_GBK"/>
              </w:rPr>
              <w:t>强化生态保护和监察监管，提高自然保护区建设水平，加强生物多样性保护力度，提升农村生态环境质量</w:t>
            </w:r>
          </w:p>
        </w:tc>
        <w:tc>
          <w:tcPr>
            <w:tcW w:w="2976" w:type="dxa"/>
            <w:vAlign w:val="center"/>
          </w:tcPr>
          <w:p>
            <w:pPr>
              <w:spacing w:line="300" w:lineRule="exact"/>
              <w:jc w:val="left"/>
              <w:rPr>
                <w:rFonts w:ascii="方正书宋_GBK" w:eastAsia="方正书宋_GBK"/>
              </w:rPr>
            </w:pPr>
            <w:r>
              <w:rPr>
                <w:rFonts w:hint="eastAsia" w:ascii="方正书宋_GBK" w:eastAsia="方正书宋_GBK"/>
              </w:rPr>
              <w:t>加强自然生态保护</w:t>
            </w:r>
          </w:p>
        </w:tc>
        <w:tc>
          <w:tcPr>
            <w:tcW w:w="1417" w:type="dxa"/>
            <w:vAlign w:val="center"/>
          </w:tcPr>
          <w:p>
            <w:pPr>
              <w:spacing w:line="300" w:lineRule="exact"/>
              <w:jc w:val="left"/>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vAlign w:val="center"/>
          </w:tcPr>
          <w:p>
            <w:pPr>
              <w:spacing w:line="300" w:lineRule="exact"/>
              <w:jc w:val="left"/>
              <w:rPr>
                <w:rFonts w:ascii="方正书宋_GBK" w:eastAsia="方正书宋_GBK"/>
                <w:b/>
              </w:rPr>
            </w:pPr>
            <w:r>
              <w:rPr>
                <w:rFonts w:hint="eastAsia" w:ascii="方正书宋_GBK" w:eastAsia="方正书宋_GBK"/>
                <w:b/>
              </w:rPr>
              <w:t>　　</w:t>
            </w:r>
            <w:r>
              <w:rPr>
                <w:rFonts w:ascii="方正书宋_GBK" w:eastAsia="方正书宋_GBK"/>
                <w:b/>
              </w:rPr>
              <w:t>1</w:t>
            </w:r>
            <w:r>
              <w:rPr>
                <w:rFonts w:hint="eastAsia" w:ascii="方正书宋_GBK" w:eastAsia="方正书宋_GBK"/>
                <w:b/>
              </w:rPr>
              <w:t>、农村环境综合整治</w:t>
            </w:r>
          </w:p>
        </w:tc>
        <w:tc>
          <w:tcPr>
            <w:tcW w:w="1276" w:type="dxa"/>
            <w:vMerge w:val="restart"/>
            <w:vAlign w:val="center"/>
          </w:tcPr>
          <w:p>
            <w:pPr>
              <w:spacing w:line="300" w:lineRule="exact"/>
              <w:jc w:val="left"/>
              <w:rPr>
                <w:rFonts w:ascii="方正书宋_GBK" w:eastAsia="方正书宋_GBK"/>
              </w:rPr>
            </w:pPr>
          </w:p>
        </w:tc>
        <w:tc>
          <w:tcPr>
            <w:tcW w:w="2976" w:type="dxa"/>
            <w:vMerge w:val="restart"/>
            <w:vAlign w:val="center"/>
          </w:tcPr>
          <w:p>
            <w:pPr>
              <w:spacing w:line="300" w:lineRule="exact"/>
              <w:jc w:val="left"/>
              <w:rPr>
                <w:rFonts w:ascii="方正书宋_GBK" w:eastAsia="方正书宋_GBK"/>
              </w:rPr>
            </w:pPr>
            <w:r>
              <w:rPr>
                <w:rFonts w:hint="eastAsia" w:ascii="方正书宋_GBK" w:eastAsia="方正书宋_GBK"/>
              </w:rPr>
              <w:t>解决影响群众生活和健康较为直接的饮用水安全保障、生活垃圾和污水治理、畜禽养殖污染治理防治等突出环境问题，改善环境重点、敏感区域的农村人居和生态环境质量。</w:t>
            </w:r>
          </w:p>
        </w:tc>
        <w:tc>
          <w:tcPr>
            <w:tcW w:w="2976" w:type="dxa"/>
            <w:vMerge w:val="restart"/>
            <w:vAlign w:val="center"/>
          </w:tcPr>
          <w:p>
            <w:pPr>
              <w:spacing w:line="300" w:lineRule="exact"/>
              <w:jc w:val="left"/>
              <w:rPr>
                <w:rFonts w:ascii="方正书宋_GBK" w:eastAsia="方正书宋_GBK"/>
              </w:rPr>
            </w:pPr>
            <w:r>
              <w:rPr>
                <w:rFonts w:hint="eastAsia" w:ascii="方正书宋_GBK" w:eastAsia="方正书宋_GBK"/>
              </w:rPr>
              <w:t>保护水体环境</w:t>
            </w:r>
          </w:p>
        </w:tc>
        <w:tc>
          <w:tcPr>
            <w:tcW w:w="1417" w:type="dxa"/>
            <w:vAlign w:val="center"/>
          </w:tcPr>
          <w:p>
            <w:pPr>
              <w:spacing w:line="300" w:lineRule="exact"/>
              <w:jc w:val="left"/>
              <w:rPr>
                <w:rFonts w:ascii="方正书宋_GBK" w:eastAsia="方正书宋_GBK"/>
              </w:rPr>
            </w:pPr>
            <w:r>
              <w:rPr>
                <w:rFonts w:hint="eastAsia" w:ascii="方正书宋_GBK" w:eastAsia="方正书宋_GBK"/>
              </w:rPr>
              <w:t>村庄污水处理率、垃圾收集、处理率</w:t>
            </w:r>
          </w:p>
        </w:tc>
        <w:tc>
          <w:tcPr>
            <w:tcW w:w="737" w:type="dxa"/>
            <w:vAlign w:val="center"/>
          </w:tcPr>
          <w:p>
            <w:pPr>
              <w:spacing w:line="300" w:lineRule="exact"/>
              <w:jc w:val="center"/>
              <w:rPr>
                <w:rFonts w:ascii="方正书宋_GBK" w:eastAsia="方正书宋_GBK"/>
              </w:rPr>
            </w:pPr>
            <w:r>
              <w:rPr>
                <w:rFonts w:ascii="方正书宋_GBK" w:eastAsia="方正书宋_GBK"/>
              </w:rPr>
              <w:t>100%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pPr>
              <w:spacing w:line="300" w:lineRule="exact"/>
              <w:jc w:val="left"/>
              <w:rPr>
                <w:rFonts w:ascii="方正书宋_GBK" w:eastAsia="方正书宋_GBK"/>
                <w:b/>
              </w:rPr>
            </w:pPr>
          </w:p>
        </w:tc>
        <w:tc>
          <w:tcPr>
            <w:tcW w:w="12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r>
              <w:rPr>
                <w:rFonts w:hint="eastAsia" w:ascii="方正书宋_GBK" w:eastAsia="方正书宋_GBK"/>
              </w:rPr>
              <w:t>重点防治水域水质达标率</w:t>
            </w:r>
          </w:p>
        </w:tc>
        <w:tc>
          <w:tcPr>
            <w:tcW w:w="737" w:type="dxa"/>
            <w:vAlign w:val="center"/>
          </w:tcPr>
          <w:p>
            <w:pPr>
              <w:spacing w:line="300" w:lineRule="exact"/>
              <w:jc w:val="center"/>
              <w:rPr>
                <w:rFonts w:ascii="方正书宋_GBK" w:eastAsia="方正书宋_GBK"/>
              </w:rPr>
            </w:pPr>
            <w:r>
              <w:rPr>
                <w:rFonts w:ascii="方正书宋_GBK" w:eastAsia="方正书宋_GBK"/>
              </w:rPr>
              <w:t>100%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Align w:val="center"/>
          </w:tcPr>
          <w:p>
            <w:pPr>
              <w:spacing w:line="300" w:lineRule="exact"/>
              <w:jc w:val="left"/>
              <w:rPr>
                <w:rFonts w:ascii="方正书宋_GBK" w:eastAsia="方正书宋_GBK"/>
                <w:b/>
              </w:rPr>
            </w:pPr>
            <w:r>
              <w:rPr>
                <w:rFonts w:hint="eastAsia" w:ascii="方正书宋_GBK" w:eastAsia="方正书宋_GBK"/>
                <w:b/>
              </w:rPr>
              <w:t>十、推进新农村建设，加快农村基础设施建设。</w:t>
            </w:r>
          </w:p>
        </w:tc>
        <w:tc>
          <w:tcPr>
            <w:tcW w:w="1276" w:type="dxa"/>
            <w:vAlign w:val="center"/>
          </w:tcPr>
          <w:p>
            <w:pPr>
              <w:spacing w:line="300" w:lineRule="exact"/>
              <w:jc w:val="left"/>
              <w:rPr>
                <w:rFonts w:ascii="方正书宋_GBK" w:eastAsia="方正书宋_GBK"/>
              </w:rPr>
            </w:pPr>
          </w:p>
        </w:tc>
        <w:tc>
          <w:tcPr>
            <w:tcW w:w="2976" w:type="dxa"/>
            <w:vAlign w:val="center"/>
          </w:tcPr>
          <w:p>
            <w:pPr>
              <w:spacing w:line="300" w:lineRule="exact"/>
              <w:jc w:val="left"/>
              <w:rPr>
                <w:rFonts w:ascii="方正书宋_GBK" w:eastAsia="方正书宋_GBK"/>
              </w:rPr>
            </w:pPr>
            <w:r>
              <w:rPr>
                <w:rFonts w:hint="eastAsia" w:ascii="方正书宋_GBK" w:eastAsia="方正书宋_GBK"/>
              </w:rPr>
              <w:t>通过实施农村面貌改造提升行动，加快建设社会主义新农村。</w:t>
            </w:r>
          </w:p>
        </w:tc>
        <w:tc>
          <w:tcPr>
            <w:tcW w:w="2976" w:type="dxa"/>
            <w:vAlign w:val="center"/>
          </w:tcPr>
          <w:p>
            <w:pPr>
              <w:spacing w:line="300" w:lineRule="exact"/>
              <w:jc w:val="left"/>
              <w:rPr>
                <w:rFonts w:ascii="方正书宋_GBK" w:eastAsia="方正书宋_GBK"/>
              </w:rPr>
            </w:pPr>
            <w:r>
              <w:rPr>
                <w:rFonts w:hint="eastAsia" w:ascii="方正书宋_GBK" w:eastAsia="方正书宋_GBK"/>
              </w:rPr>
              <w:t>通过实施农村面貌改造提升行动和开展新民居中心村示范点建设，加快建设社会主义新农村。改善农村环境面貌，提升农民生产生活条件。</w:t>
            </w:r>
          </w:p>
        </w:tc>
        <w:tc>
          <w:tcPr>
            <w:tcW w:w="1417" w:type="dxa"/>
            <w:vAlign w:val="center"/>
          </w:tcPr>
          <w:p>
            <w:pPr>
              <w:spacing w:line="300" w:lineRule="exact"/>
              <w:jc w:val="left"/>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Align w:val="center"/>
          </w:tcPr>
          <w:p>
            <w:pPr>
              <w:spacing w:line="300" w:lineRule="exact"/>
              <w:jc w:val="left"/>
              <w:rPr>
                <w:rFonts w:ascii="方正书宋_GBK" w:eastAsia="方正书宋_GBK"/>
                <w:b/>
              </w:rPr>
            </w:pPr>
            <w:r>
              <w:rPr>
                <w:rFonts w:hint="eastAsia" w:ascii="方正书宋_GBK" w:eastAsia="方正书宋_GBK"/>
                <w:b/>
              </w:rPr>
              <w:t>　　</w:t>
            </w:r>
            <w:r>
              <w:rPr>
                <w:rFonts w:ascii="方正书宋_GBK" w:eastAsia="方正书宋_GBK"/>
                <w:b/>
              </w:rPr>
              <w:t>1</w:t>
            </w:r>
            <w:r>
              <w:rPr>
                <w:rFonts w:hint="eastAsia" w:ascii="方正书宋_GBK" w:eastAsia="方正书宋_GBK"/>
                <w:b/>
              </w:rPr>
              <w:t>、农村面貌改造提升，农村基础设施建设。</w:t>
            </w:r>
          </w:p>
        </w:tc>
        <w:tc>
          <w:tcPr>
            <w:tcW w:w="1276" w:type="dxa"/>
            <w:vAlign w:val="center"/>
          </w:tcPr>
          <w:p>
            <w:pPr>
              <w:spacing w:line="300" w:lineRule="exact"/>
              <w:jc w:val="left"/>
              <w:rPr>
                <w:rFonts w:ascii="方正书宋_GBK" w:eastAsia="方正书宋_GBK"/>
              </w:rPr>
            </w:pPr>
          </w:p>
        </w:tc>
        <w:tc>
          <w:tcPr>
            <w:tcW w:w="2976" w:type="dxa"/>
            <w:vAlign w:val="center"/>
          </w:tcPr>
          <w:p>
            <w:pPr>
              <w:spacing w:line="300" w:lineRule="exact"/>
              <w:jc w:val="left"/>
              <w:rPr>
                <w:rFonts w:ascii="方正书宋_GBK" w:eastAsia="方正书宋_GBK"/>
              </w:rPr>
            </w:pPr>
            <w:r>
              <w:rPr>
                <w:rFonts w:hint="eastAsia" w:ascii="方正书宋_GBK" w:eastAsia="方正书宋_GBK"/>
              </w:rPr>
              <w:t>按照统筹城乡发展要求，组织实施农村面貌改造提升行动。</w:t>
            </w:r>
          </w:p>
        </w:tc>
        <w:tc>
          <w:tcPr>
            <w:tcW w:w="2976" w:type="dxa"/>
            <w:vAlign w:val="center"/>
          </w:tcPr>
          <w:p>
            <w:pPr>
              <w:spacing w:line="300" w:lineRule="exact"/>
              <w:jc w:val="left"/>
              <w:rPr>
                <w:rFonts w:ascii="方正书宋_GBK" w:eastAsia="方正书宋_GBK"/>
              </w:rPr>
            </w:pPr>
            <w:r>
              <w:rPr>
                <w:rFonts w:hint="eastAsia" w:ascii="方正书宋_GBK" w:eastAsia="方正书宋_GBK"/>
              </w:rPr>
              <w:t>围绕农村改造</w:t>
            </w:r>
            <w:r>
              <w:rPr>
                <w:rFonts w:ascii="方正书宋_GBK" w:eastAsia="方正书宋_GBK"/>
              </w:rPr>
              <w:t>15</w:t>
            </w:r>
            <w:r>
              <w:rPr>
                <w:rFonts w:hint="eastAsia" w:ascii="方正书宋_GBK" w:eastAsia="方正书宋_GBK"/>
              </w:rPr>
              <w:t>件实事，突出重点，因地制宜，开展农村面貌改造提升。按照分期分批推进的要求，每年选定一批重点村实施改造提升。</w:t>
            </w:r>
          </w:p>
        </w:tc>
        <w:tc>
          <w:tcPr>
            <w:tcW w:w="1417" w:type="dxa"/>
            <w:vAlign w:val="center"/>
          </w:tcPr>
          <w:p>
            <w:pPr>
              <w:spacing w:line="300" w:lineRule="exact"/>
              <w:jc w:val="left"/>
              <w:rPr>
                <w:rFonts w:ascii="方正书宋_GBK" w:eastAsia="方正书宋_GBK"/>
              </w:rPr>
            </w:pPr>
            <w:r>
              <w:rPr>
                <w:rFonts w:hint="eastAsia" w:ascii="方正书宋_GBK" w:eastAsia="方正书宋_GBK"/>
              </w:rPr>
              <w:t>重点村改造提升完成率</w:t>
            </w:r>
          </w:p>
        </w:tc>
        <w:tc>
          <w:tcPr>
            <w:tcW w:w="737" w:type="dxa"/>
            <w:vAlign w:val="center"/>
          </w:tcPr>
          <w:p>
            <w:pPr>
              <w:spacing w:line="300" w:lineRule="exact"/>
              <w:jc w:val="center"/>
              <w:rPr>
                <w:rFonts w:ascii="方正书宋_GBK" w:eastAsia="方正书宋_GBK"/>
              </w:rPr>
            </w:pPr>
            <w:r>
              <w:rPr>
                <w:rFonts w:ascii="方正书宋_GBK" w:eastAsia="方正书宋_GBK"/>
              </w:rPr>
              <w:t>100%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Align w:val="center"/>
          </w:tcPr>
          <w:p>
            <w:pPr>
              <w:spacing w:line="300" w:lineRule="exact"/>
              <w:jc w:val="left"/>
              <w:rPr>
                <w:rFonts w:ascii="方正书宋_GBK" w:eastAsia="方正书宋_GBK"/>
                <w:b/>
              </w:rPr>
            </w:pPr>
            <w:r>
              <w:rPr>
                <w:rFonts w:hint="eastAsia" w:ascii="方正书宋_GBK" w:eastAsia="方正书宋_GBK"/>
                <w:b/>
              </w:rPr>
              <w:t>十一、维护社会稳定和安全</w:t>
            </w:r>
          </w:p>
        </w:tc>
        <w:tc>
          <w:tcPr>
            <w:tcW w:w="1276" w:type="dxa"/>
            <w:vAlign w:val="center"/>
          </w:tcPr>
          <w:p>
            <w:pPr>
              <w:spacing w:line="300" w:lineRule="exact"/>
              <w:jc w:val="left"/>
              <w:rPr>
                <w:rFonts w:ascii="方正书宋_GBK" w:eastAsia="方正书宋_GBK"/>
              </w:rPr>
            </w:pPr>
          </w:p>
        </w:tc>
        <w:tc>
          <w:tcPr>
            <w:tcW w:w="2976" w:type="dxa"/>
            <w:vAlign w:val="center"/>
          </w:tcPr>
          <w:p>
            <w:pPr>
              <w:spacing w:line="300" w:lineRule="exact"/>
              <w:jc w:val="left"/>
              <w:rPr>
                <w:rFonts w:ascii="方正书宋_GBK" w:eastAsia="方正书宋_GBK"/>
              </w:rPr>
            </w:pPr>
            <w:r>
              <w:rPr>
                <w:rFonts w:hint="eastAsia" w:ascii="方正书宋_GBK" w:eastAsia="方正书宋_GBK"/>
              </w:rPr>
              <w:t>指导、协调和督导各部门排查、化解影响社会稳定的重大不稳定隐患、群体性事件和突发事件。贯彻实施安全战略，推进安全法制建设，贯彻落实安全工作方针，研究解决涉及安全工作的重大问题</w:t>
            </w:r>
          </w:p>
        </w:tc>
        <w:tc>
          <w:tcPr>
            <w:tcW w:w="2976" w:type="dxa"/>
            <w:vAlign w:val="center"/>
          </w:tcPr>
          <w:p>
            <w:pPr>
              <w:spacing w:line="300" w:lineRule="exact"/>
              <w:jc w:val="left"/>
              <w:rPr>
                <w:rFonts w:ascii="方正书宋_GBK" w:eastAsia="方正书宋_GBK"/>
              </w:rPr>
            </w:pPr>
            <w:r>
              <w:rPr>
                <w:rFonts w:hint="eastAsia" w:ascii="方正书宋_GBK" w:eastAsia="方正书宋_GBK"/>
              </w:rPr>
              <w:t>预防减少不稳定因素的发生，有效化解不稳定隐患、群体性事件和突发事件，维护安全工作。</w:t>
            </w:r>
          </w:p>
        </w:tc>
        <w:tc>
          <w:tcPr>
            <w:tcW w:w="1417" w:type="dxa"/>
            <w:vAlign w:val="center"/>
          </w:tcPr>
          <w:p>
            <w:pPr>
              <w:spacing w:line="300" w:lineRule="exact"/>
              <w:jc w:val="left"/>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Align w:val="center"/>
          </w:tcPr>
          <w:p>
            <w:pPr>
              <w:spacing w:line="300" w:lineRule="exact"/>
              <w:jc w:val="left"/>
              <w:rPr>
                <w:rFonts w:ascii="方正书宋_GBK" w:eastAsia="方正书宋_GBK"/>
                <w:b/>
              </w:rPr>
            </w:pPr>
            <w:r>
              <w:rPr>
                <w:rFonts w:hint="eastAsia" w:ascii="方正书宋_GBK" w:eastAsia="方正书宋_GBK"/>
                <w:b/>
              </w:rPr>
              <w:t>　　</w:t>
            </w:r>
            <w:r>
              <w:rPr>
                <w:rFonts w:ascii="方正书宋_GBK" w:eastAsia="方正书宋_GBK"/>
                <w:b/>
              </w:rPr>
              <w:t>1</w:t>
            </w:r>
            <w:r>
              <w:rPr>
                <w:rFonts w:hint="eastAsia" w:ascii="方正书宋_GBK" w:eastAsia="方正书宋_GBK"/>
                <w:b/>
              </w:rPr>
              <w:t>、协调维护社会稳定和安全</w:t>
            </w:r>
          </w:p>
        </w:tc>
        <w:tc>
          <w:tcPr>
            <w:tcW w:w="1276" w:type="dxa"/>
            <w:vAlign w:val="center"/>
          </w:tcPr>
          <w:p>
            <w:pPr>
              <w:spacing w:line="300" w:lineRule="exact"/>
              <w:jc w:val="left"/>
              <w:rPr>
                <w:rFonts w:ascii="方正书宋_GBK" w:eastAsia="方正书宋_GBK"/>
              </w:rPr>
            </w:pPr>
          </w:p>
        </w:tc>
        <w:tc>
          <w:tcPr>
            <w:tcW w:w="2976" w:type="dxa"/>
            <w:vAlign w:val="center"/>
          </w:tcPr>
          <w:p>
            <w:pPr>
              <w:spacing w:line="300" w:lineRule="exact"/>
              <w:jc w:val="left"/>
              <w:rPr>
                <w:rFonts w:ascii="方正书宋_GBK" w:eastAsia="方正书宋_GBK"/>
              </w:rPr>
            </w:pPr>
            <w:r>
              <w:rPr>
                <w:rFonts w:hint="eastAsia" w:ascii="方正书宋_GBK" w:eastAsia="方正书宋_GBK"/>
              </w:rPr>
              <w:t>指导、协调和督导各级各部门排查、化解影响社会稳定的重大不稳定隐患、群体性事件和突发事件及影响安全的事件。</w:t>
            </w:r>
          </w:p>
        </w:tc>
        <w:tc>
          <w:tcPr>
            <w:tcW w:w="2976" w:type="dxa"/>
            <w:vAlign w:val="center"/>
          </w:tcPr>
          <w:p>
            <w:pPr>
              <w:spacing w:line="300" w:lineRule="exact"/>
              <w:jc w:val="left"/>
              <w:rPr>
                <w:rFonts w:ascii="方正书宋_GBK" w:eastAsia="方正书宋_GBK"/>
              </w:rPr>
            </w:pPr>
            <w:r>
              <w:rPr>
                <w:rFonts w:hint="eastAsia" w:ascii="方正书宋_GBK" w:eastAsia="方正书宋_GBK"/>
              </w:rPr>
              <w:t>突发事件处置率</w:t>
            </w:r>
          </w:p>
        </w:tc>
        <w:tc>
          <w:tcPr>
            <w:tcW w:w="1417" w:type="dxa"/>
            <w:vAlign w:val="center"/>
          </w:tcPr>
          <w:p>
            <w:pPr>
              <w:spacing w:line="300" w:lineRule="exact"/>
              <w:jc w:val="left"/>
              <w:rPr>
                <w:rFonts w:ascii="方正书宋_GBK" w:eastAsia="方正书宋_GBK"/>
              </w:rPr>
            </w:pPr>
            <w:r>
              <w:rPr>
                <w:rFonts w:hint="eastAsia" w:ascii="方正书宋_GBK" w:eastAsia="方正书宋_GBK"/>
              </w:rPr>
              <w:t>妥善处置突发事件（件）占发生突发环境事件（件）的比例</w:t>
            </w:r>
          </w:p>
        </w:tc>
        <w:tc>
          <w:tcPr>
            <w:tcW w:w="737" w:type="dxa"/>
            <w:vAlign w:val="center"/>
          </w:tcPr>
          <w:p>
            <w:pPr>
              <w:spacing w:line="300" w:lineRule="exact"/>
              <w:jc w:val="center"/>
              <w:rPr>
                <w:rFonts w:ascii="方正书宋_GBK" w:eastAsia="方正书宋_GBK"/>
              </w:rPr>
            </w:pPr>
            <w:r>
              <w:rPr>
                <w:rFonts w:ascii="方正书宋_GBK" w:eastAsia="方正书宋_GBK"/>
              </w:rPr>
              <w:t>100%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Align w:val="center"/>
          </w:tcPr>
          <w:p>
            <w:pPr>
              <w:spacing w:line="300" w:lineRule="exact"/>
              <w:jc w:val="left"/>
              <w:rPr>
                <w:rFonts w:ascii="方正书宋_GBK" w:eastAsia="方正书宋_GBK"/>
                <w:b/>
              </w:rPr>
            </w:pPr>
            <w:r>
              <w:rPr>
                <w:rFonts w:hint="eastAsia" w:ascii="方正书宋_GBK" w:eastAsia="方正书宋_GBK"/>
                <w:b/>
              </w:rPr>
              <w:t>十二、招商引资，扶持企业发展。</w:t>
            </w:r>
          </w:p>
        </w:tc>
        <w:tc>
          <w:tcPr>
            <w:tcW w:w="1276" w:type="dxa"/>
            <w:vAlign w:val="center"/>
          </w:tcPr>
          <w:p>
            <w:pPr>
              <w:spacing w:line="300" w:lineRule="exact"/>
              <w:jc w:val="left"/>
              <w:rPr>
                <w:rFonts w:ascii="方正书宋_GBK" w:eastAsia="方正书宋_GBK"/>
              </w:rPr>
            </w:pPr>
          </w:p>
        </w:tc>
        <w:tc>
          <w:tcPr>
            <w:tcW w:w="2976" w:type="dxa"/>
            <w:vAlign w:val="center"/>
          </w:tcPr>
          <w:p>
            <w:pPr>
              <w:spacing w:line="300" w:lineRule="exact"/>
              <w:jc w:val="left"/>
              <w:rPr>
                <w:rFonts w:ascii="方正书宋_GBK" w:eastAsia="方正书宋_GBK"/>
              </w:rPr>
            </w:pPr>
            <w:r>
              <w:rPr>
                <w:rFonts w:hint="eastAsia" w:ascii="方正书宋_GBK" w:eastAsia="方正书宋_GBK"/>
              </w:rPr>
              <w:t>扶持企业发展，技术引进、拟订易发展规划并组织实施；负责对外贸易相关行政审批。</w:t>
            </w:r>
          </w:p>
        </w:tc>
        <w:tc>
          <w:tcPr>
            <w:tcW w:w="2976" w:type="dxa"/>
            <w:vAlign w:val="center"/>
          </w:tcPr>
          <w:p>
            <w:pPr>
              <w:spacing w:line="300" w:lineRule="exact"/>
              <w:jc w:val="left"/>
              <w:rPr>
                <w:rFonts w:ascii="方正书宋_GBK" w:eastAsia="方正书宋_GBK"/>
              </w:rPr>
            </w:pPr>
            <w:r>
              <w:rPr>
                <w:rFonts w:hint="eastAsia" w:ascii="方正书宋_GBK" w:eastAsia="方正书宋_GBK"/>
              </w:rPr>
              <w:t>促进对外贸易稳定增长，优化产品结构。</w:t>
            </w:r>
          </w:p>
        </w:tc>
        <w:tc>
          <w:tcPr>
            <w:tcW w:w="1417" w:type="dxa"/>
            <w:vAlign w:val="center"/>
          </w:tcPr>
          <w:p>
            <w:pPr>
              <w:spacing w:line="300" w:lineRule="exact"/>
              <w:jc w:val="left"/>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Align w:val="center"/>
          </w:tcPr>
          <w:p>
            <w:pPr>
              <w:spacing w:line="300" w:lineRule="exact"/>
              <w:jc w:val="left"/>
              <w:rPr>
                <w:rFonts w:ascii="方正书宋_GBK" w:eastAsia="方正书宋_GBK"/>
                <w:b/>
              </w:rPr>
            </w:pPr>
            <w:r>
              <w:rPr>
                <w:rFonts w:hint="eastAsia" w:ascii="方正书宋_GBK" w:eastAsia="方正书宋_GBK"/>
                <w:b/>
              </w:rPr>
              <w:t>　　</w:t>
            </w:r>
            <w:r>
              <w:rPr>
                <w:rFonts w:ascii="方正书宋_GBK" w:eastAsia="方正书宋_GBK"/>
                <w:b/>
              </w:rPr>
              <w:t>1</w:t>
            </w:r>
            <w:r>
              <w:rPr>
                <w:rFonts w:hint="eastAsia" w:ascii="方正书宋_GBK" w:eastAsia="方正书宋_GBK"/>
                <w:b/>
              </w:rPr>
              <w:t>、招商引资，扶持企业发展。</w:t>
            </w:r>
          </w:p>
        </w:tc>
        <w:tc>
          <w:tcPr>
            <w:tcW w:w="1276" w:type="dxa"/>
            <w:vAlign w:val="center"/>
          </w:tcPr>
          <w:p>
            <w:pPr>
              <w:spacing w:line="300" w:lineRule="exact"/>
              <w:jc w:val="left"/>
              <w:rPr>
                <w:rFonts w:ascii="方正书宋_GBK" w:eastAsia="方正书宋_GBK"/>
              </w:rPr>
            </w:pPr>
          </w:p>
        </w:tc>
        <w:tc>
          <w:tcPr>
            <w:tcW w:w="2976" w:type="dxa"/>
            <w:vAlign w:val="center"/>
          </w:tcPr>
          <w:p>
            <w:pPr>
              <w:spacing w:line="300" w:lineRule="exact"/>
              <w:jc w:val="left"/>
              <w:rPr>
                <w:rFonts w:ascii="方正书宋_GBK" w:eastAsia="方正书宋_GBK"/>
              </w:rPr>
            </w:pPr>
            <w:r>
              <w:rPr>
                <w:rFonts w:hint="eastAsia" w:ascii="方正书宋_GBK" w:eastAsia="方正书宋_GBK"/>
              </w:rPr>
              <w:t>组织实施投资贸易洽谈会等活动。组织企业走出去，开展贸易洽谈、招商合作等活动，促进贸易往来，扶持企业发展。</w:t>
            </w:r>
          </w:p>
        </w:tc>
        <w:tc>
          <w:tcPr>
            <w:tcW w:w="2976" w:type="dxa"/>
            <w:vAlign w:val="center"/>
          </w:tcPr>
          <w:p>
            <w:pPr>
              <w:spacing w:line="300" w:lineRule="exact"/>
              <w:jc w:val="left"/>
              <w:rPr>
                <w:rFonts w:ascii="方正书宋_GBK" w:eastAsia="方正书宋_GBK"/>
              </w:rPr>
            </w:pPr>
            <w:r>
              <w:rPr>
                <w:rFonts w:hint="eastAsia" w:ascii="方正书宋_GBK" w:eastAsia="方正书宋_GBK"/>
              </w:rPr>
              <w:t>瞄准重点区域、重点客商和商务机构，加强企业对接、园区对接，项目对接，宣传本县投资环境，力争在重点产业引进一批战略支撑项目、龙头企业和协力配套企业。</w:t>
            </w:r>
          </w:p>
        </w:tc>
        <w:tc>
          <w:tcPr>
            <w:tcW w:w="1417" w:type="dxa"/>
            <w:vAlign w:val="center"/>
          </w:tcPr>
          <w:p>
            <w:pPr>
              <w:spacing w:line="300" w:lineRule="exact"/>
              <w:jc w:val="left"/>
              <w:rPr>
                <w:rFonts w:ascii="方正书宋_GBK" w:eastAsia="方正书宋_GBK"/>
              </w:rPr>
            </w:pPr>
            <w:r>
              <w:rPr>
                <w:rFonts w:hint="eastAsia" w:ascii="方正书宋_GBK" w:eastAsia="方正书宋_GBK"/>
              </w:rPr>
              <w:t>招商引资规模增长率</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4%</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2%</w:t>
            </w:r>
          </w:p>
        </w:tc>
        <w:tc>
          <w:tcPr>
            <w:tcW w:w="737" w:type="dxa"/>
            <w:vAlign w:val="center"/>
          </w:tcPr>
          <w:p>
            <w:pPr>
              <w:spacing w:line="300" w:lineRule="exact"/>
              <w:jc w:val="center"/>
              <w:rPr>
                <w:rFonts w:ascii="方正书宋_GBK" w:eastAsia="方正书宋_GBK"/>
              </w:rPr>
            </w:pPr>
            <w:r>
              <w:rPr>
                <w:rFonts w:ascii="方正书宋_GBK" w:eastAsia="方正书宋_GBK"/>
              </w:rPr>
              <w:t>&lt;2%</w:t>
            </w:r>
          </w:p>
        </w:tc>
        <w:tc>
          <w:tcPr>
            <w:tcW w:w="737" w:type="dxa"/>
            <w:vAlign w:val="center"/>
          </w:tcPr>
          <w:p>
            <w:pPr>
              <w:spacing w:line="300" w:lineRule="exact"/>
              <w:jc w:val="center"/>
              <w:rPr>
                <w:rFonts w:ascii="方正书宋_GBK" w:eastAsia="方正书宋_GBK"/>
              </w:rPr>
            </w:pPr>
            <w:r>
              <w:rPr>
                <w:rFonts w:ascii="方正书宋_GBK" w:eastAsia="方正书宋_GBK"/>
              </w:rPr>
              <w:t>0</w:t>
            </w:r>
          </w:p>
        </w:tc>
      </w:tr>
    </w:tbl>
    <w:p>
      <w:pPr>
        <w:spacing w:line="300" w:lineRule="exact"/>
        <w:jc w:val="left"/>
        <w:outlineLvl w:val="0"/>
        <w:sectPr>
          <w:headerReference r:id="rId5" w:type="default"/>
          <w:pgSz w:w="16839" w:h="11907" w:orient="landscape"/>
          <w:pgMar w:top="1361" w:right="1020" w:bottom="1361" w:left="1020" w:header="851" w:footer="992" w:gutter="0"/>
          <w:cols w:space="720" w:num="1"/>
          <w:docGrid w:type="lines" w:linePitch="312" w:charSpace="0"/>
        </w:sectPr>
      </w:pPr>
    </w:p>
    <w:p>
      <w:pPr>
        <w:widowControl/>
        <w:spacing w:line="560" w:lineRule="exact"/>
        <w:ind w:firstLine="627" w:firstLineChars="196"/>
        <w:jc w:val="left"/>
        <w:rPr>
          <w:rFonts w:hint="eastAsia" w:ascii="仿宋_GB2312" w:hAnsi="仿宋_GB2312" w:eastAsia="仿宋_GB2312" w:cs="仿宋"/>
          <w:b/>
          <w:bCs/>
          <w:sz w:val="32"/>
          <w:szCs w:val="32"/>
          <w:lang w:val="en-US" w:eastAsia="zh-CN"/>
        </w:rPr>
      </w:pPr>
      <w:r>
        <w:rPr>
          <w:rFonts w:hint="eastAsia" w:ascii="仿宋_GB2312" w:hAnsi="仿宋_GB2312" w:eastAsia="仿宋_GB2312" w:cs="仿宋"/>
          <w:b/>
          <w:bCs/>
          <w:sz w:val="32"/>
          <w:szCs w:val="32"/>
          <w:lang w:val="en-US" w:eastAsia="zh-CN"/>
        </w:rPr>
        <w:t>（三）工作保障措施</w:t>
      </w:r>
    </w:p>
    <w:p>
      <w:pPr>
        <w:autoSpaceDE w:val="0"/>
        <w:autoSpaceDN w:val="0"/>
        <w:adjustRightInd w:val="0"/>
        <w:ind w:firstLine="640" w:firstLineChars="200"/>
        <w:jc w:val="left"/>
        <w:rPr>
          <w:rFonts w:hint="eastAsia" w:ascii="仿宋_GB2312" w:hAnsi="宋体" w:eastAsia="仿宋_GB2312" w:cs="Times New Roman"/>
          <w:sz w:val="32"/>
          <w:szCs w:val="32"/>
          <w:lang w:val="en-US"/>
        </w:rPr>
      </w:pPr>
      <w:r>
        <w:rPr>
          <w:rFonts w:hint="eastAsia" w:ascii="仿宋_GB2312" w:hAnsi="宋体" w:eastAsia="仿宋_GB2312" w:cs="Times New Roman"/>
          <w:sz w:val="32"/>
          <w:szCs w:val="32"/>
          <w:lang w:val="en-US" w:eastAsia="zh-CN"/>
        </w:rPr>
        <w:t>实现本年度发展目标的保障措施</w:t>
      </w:r>
      <w:r>
        <w:rPr>
          <w:rFonts w:hint="eastAsia" w:ascii="仿宋_GB2312" w:hAnsi="宋体" w:eastAsia="仿宋_GB2312" w:cs="Times New Roman"/>
          <w:sz w:val="32"/>
          <w:szCs w:val="32"/>
          <w:lang w:val="en-US"/>
        </w:rPr>
        <w:t>，</w:t>
      </w:r>
      <w:r>
        <w:rPr>
          <w:rFonts w:hint="eastAsia" w:ascii="仿宋_GB2312" w:hAnsi="宋体" w:eastAsia="仿宋_GB2312" w:cs="Times New Roman"/>
          <w:sz w:val="32"/>
          <w:szCs w:val="32"/>
          <w:lang w:val="en-US" w:eastAsia="zh-CN"/>
        </w:rPr>
        <w:t>强化三大保障措施，确保年度目标任务圆满完成。一是重民生。突出重点强班子，带头干事谋发展。继续落实“村务公开、民主管理”、“村财乡代管”“村民代表大会制度”等行之有效的措施，加大教育、计生、卫生、扶贫、社保等工作力度，将各项惠民政策落到实处。二是保稳定。持之以恒固基础，团结稳定促和谐，创建一个良好的发展环境和人居环境</w:t>
      </w:r>
      <w:r>
        <w:rPr>
          <w:rFonts w:hint="eastAsia" w:ascii="仿宋_GB2312" w:hAnsi="宋体" w:eastAsia="仿宋_GB2312" w:cs="Times New Roman"/>
          <w:sz w:val="32"/>
          <w:szCs w:val="32"/>
          <w:lang w:val="en-US"/>
        </w:rPr>
        <w:t>。</w:t>
      </w:r>
      <w:r>
        <w:rPr>
          <w:rFonts w:hint="eastAsia" w:ascii="仿宋_GB2312" w:hAnsi="宋体" w:eastAsia="仿宋_GB2312" w:cs="Times New Roman"/>
          <w:sz w:val="32"/>
          <w:szCs w:val="32"/>
          <w:lang w:val="en-US" w:eastAsia="zh-CN"/>
        </w:rPr>
        <w:t>三是强组织。阵地建设规范化，服务方式多样化。加强村级组织和干部作风建设，为实现全年工作目标增强凝聚力、战斗力和竞争力。</w:t>
      </w:r>
    </w:p>
    <w:p>
      <w:p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Times New Roman"/>
          <w:sz w:val="32"/>
          <w:szCs w:val="32"/>
        </w:rPr>
        <w:t>六、政府采购预算情况</w:t>
      </w:r>
    </w:p>
    <w:p>
      <w:pPr>
        <w:autoSpaceDE w:val="0"/>
        <w:autoSpaceDN w:val="0"/>
        <w:adjustRightInd w:val="0"/>
        <w:ind w:firstLine="640" w:firstLineChars="200"/>
        <w:jc w:val="left"/>
        <w:rPr>
          <w:rFonts w:hint="eastAsia" w:ascii="仿宋_GB2312" w:hAnsi="宋体" w:eastAsia="仿宋_GB2312"/>
          <w:sz w:val="32"/>
          <w:szCs w:val="32"/>
          <w:lang w:val="en-US"/>
        </w:rPr>
      </w:pPr>
      <w:r>
        <w:rPr>
          <w:rFonts w:hint="eastAsia" w:ascii="Times New Roman" w:hAnsi="Times New Roman" w:eastAsia="仿宋" w:cs="Times New Roman"/>
          <w:sz w:val="32"/>
          <w:szCs w:val="24"/>
        </w:rPr>
        <w:t>2020年我单位没有安排政府采购预算，政府采购预算金额为0万元。</w:t>
      </w:r>
      <w:r>
        <w:rPr>
          <w:rFonts w:hint="eastAsia" w:ascii="仿宋_GB2312" w:hAnsi="宋体" w:eastAsia="仿宋_GB2312"/>
          <w:sz w:val="32"/>
          <w:szCs w:val="32"/>
          <w:lang w:val="en-US"/>
        </w:rPr>
        <w:t>具体内容见下表：</w:t>
      </w:r>
      <w:bookmarkStart w:id="4" w:name="_Toc507676773"/>
    </w:p>
    <w:p>
      <w:pPr>
        <w:autoSpaceDE w:val="0"/>
        <w:autoSpaceDN w:val="0"/>
        <w:adjustRightInd w:val="0"/>
        <w:ind w:firstLine="640" w:firstLineChars="200"/>
        <w:jc w:val="left"/>
        <w:rPr>
          <w:rFonts w:hint="eastAsia" w:ascii="仿宋_GB2312" w:hAnsi="宋体" w:eastAsia="仿宋_GB2312"/>
          <w:sz w:val="32"/>
          <w:szCs w:val="32"/>
          <w:lang w:val="en-US"/>
        </w:rPr>
      </w:pPr>
    </w:p>
    <w:p>
      <w:pPr>
        <w:autoSpaceDE w:val="0"/>
        <w:autoSpaceDN w:val="0"/>
        <w:adjustRightInd w:val="0"/>
        <w:ind w:firstLine="640" w:firstLineChars="200"/>
        <w:jc w:val="left"/>
        <w:rPr>
          <w:rFonts w:hint="eastAsia" w:ascii="仿宋_GB2312" w:hAnsi="宋体" w:eastAsia="仿宋_GB2312"/>
          <w:sz w:val="32"/>
          <w:szCs w:val="32"/>
          <w:lang w:val="en-US"/>
        </w:rPr>
      </w:pPr>
    </w:p>
    <w:p>
      <w:pPr>
        <w:autoSpaceDE w:val="0"/>
        <w:autoSpaceDN w:val="0"/>
        <w:adjustRightInd w:val="0"/>
        <w:ind w:firstLine="640" w:firstLineChars="200"/>
        <w:jc w:val="left"/>
        <w:rPr>
          <w:rFonts w:ascii="仿宋_GB2312" w:hAnsi="宋体" w:eastAsia="仿宋_GB2312"/>
          <w:sz w:val="32"/>
          <w:szCs w:val="32"/>
          <w:lang w:val="en-US"/>
        </w:rPr>
        <w:sectPr>
          <w:headerReference r:id="rId6" w:type="default"/>
          <w:pgSz w:w="11907" w:h="16839"/>
          <w:pgMar w:top="1021" w:right="1361" w:bottom="1021" w:left="1361" w:header="851" w:footer="992" w:gutter="0"/>
          <w:cols w:space="720" w:num="1"/>
          <w:docGrid w:type="linesAndChars" w:linePitch="312" w:charSpace="0"/>
        </w:sectPr>
      </w:pPr>
    </w:p>
    <w:p>
      <w:pPr>
        <w:autoSpaceDE w:val="0"/>
        <w:autoSpaceDN w:val="0"/>
        <w:adjustRightInd w:val="0"/>
        <w:ind w:firstLine="640" w:firstLineChars="200"/>
        <w:jc w:val="left"/>
        <w:rPr>
          <w:rFonts w:hint="eastAsia" w:ascii="仿宋_GB2312" w:hAnsi="宋体" w:eastAsia="仿宋_GB2312"/>
          <w:sz w:val="32"/>
          <w:szCs w:val="32"/>
          <w:lang w:val="en-US"/>
        </w:rPr>
      </w:pPr>
    </w:p>
    <w:p>
      <w:pPr>
        <w:autoSpaceDE w:val="0"/>
        <w:autoSpaceDN w:val="0"/>
        <w:adjustRightInd w:val="0"/>
        <w:ind w:firstLine="640" w:firstLineChars="200"/>
        <w:jc w:val="left"/>
        <w:rPr>
          <w:rFonts w:hint="eastAsia" w:ascii="仿宋_GB2312" w:hAnsi="宋体" w:eastAsia="仿宋_GB2312"/>
          <w:sz w:val="32"/>
          <w:szCs w:val="32"/>
          <w:lang w:val="en-US"/>
        </w:rPr>
      </w:pPr>
    </w:p>
    <w:p>
      <w:pPr>
        <w:autoSpaceDE w:val="0"/>
        <w:autoSpaceDN w:val="0"/>
        <w:adjustRightInd w:val="0"/>
        <w:ind w:firstLine="640" w:firstLineChars="200"/>
        <w:jc w:val="left"/>
        <w:rPr>
          <w:rFonts w:hint="eastAsia" w:ascii="Times New Roman" w:hAnsi="Times New Roman" w:eastAsia="仿宋" w:cs="Times New Roman"/>
          <w:sz w:val="32"/>
          <w:szCs w:val="24"/>
        </w:rPr>
      </w:pPr>
    </w:p>
    <w:p>
      <w:pPr>
        <w:jc w:val="center"/>
        <w:outlineLvl w:val="0"/>
        <w:rPr>
          <w:rFonts w:hint="eastAsia" w:ascii="方正小标宋_GBK" w:eastAsia="方正小标宋_GBK"/>
          <w:sz w:val="32"/>
        </w:rPr>
      </w:pPr>
      <w:r>
        <w:rPr>
          <w:rFonts w:hint="eastAsia" w:ascii="方正小标宋_GBK" w:eastAsia="方正小标宋_GBK"/>
          <w:sz w:val="32"/>
        </w:rPr>
        <w:t>部门政府采购预算</w:t>
      </w:r>
      <w:bookmarkEnd w:id="4"/>
    </w:p>
    <w:tbl>
      <w:tblPr>
        <w:tblStyle w:val="7"/>
        <w:tblW w:w="4947"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408"/>
        <w:gridCol w:w="1071"/>
        <w:gridCol w:w="909"/>
        <w:gridCol w:w="962"/>
        <w:gridCol w:w="749"/>
        <w:gridCol w:w="749"/>
        <w:gridCol w:w="802"/>
        <w:gridCol w:w="909"/>
        <w:gridCol w:w="909"/>
        <w:gridCol w:w="909"/>
        <w:gridCol w:w="909"/>
        <w:gridCol w:w="909"/>
        <w:gridCol w:w="923"/>
        <w:gridCol w:w="90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727" w:type="pct"/>
            <w:gridSpan w:val="7"/>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小标宋_GBK" w:eastAsia="方正小标宋_GBK"/>
                <w:sz w:val="24"/>
              </w:rPr>
            </w:pPr>
            <w:r>
              <w:rPr>
                <w:rFonts w:ascii="方正小标宋_GBK" w:eastAsia="方正小标宋_GBK"/>
                <w:sz w:val="24"/>
              </w:rPr>
              <w:t>981</w:t>
            </w:r>
            <w:r>
              <w:rPr>
                <w:rFonts w:hint="eastAsia" w:ascii="方正小标宋_GBK" w:eastAsia="方正小标宋_GBK"/>
                <w:sz w:val="24"/>
              </w:rPr>
              <w:t>无极县里城道乡人民政府</w:t>
            </w:r>
          </w:p>
        </w:tc>
        <w:tc>
          <w:tcPr>
            <w:tcW w:w="2273" w:type="pct"/>
            <w:gridSpan w:val="7"/>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sz w:val="24"/>
              </w:rPr>
            </w:pPr>
            <w:r>
              <w:rPr>
                <w:rFonts w:hint="eastAsia" w:ascii="方正书宋_GBK" w:eastAsia="方正书宋_GBK"/>
                <w:sz w:val="24"/>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240" w:type="pct"/>
            <w:gridSpan w:val="2"/>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政府采购项目来源</w:t>
            </w:r>
          </w:p>
        </w:tc>
        <w:tc>
          <w:tcPr>
            <w:tcW w:w="324" w:type="pct"/>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采购物品名称</w:t>
            </w:r>
          </w:p>
        </w:tc>
        <w:tc>
          <w:tcPr>
            <w:tcW w:w="343" w:type="pct"/>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政府采购目录序号</w:t>
            </w:r>
          </w:p>
        </w:tc>
        <w:tc>
          <w:tcPr>
            <w:tcW w:w="267" w:type="pct"/>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数量</w:t>
            </w:r>
            <w:r>
              <w:rPr>
                <w:rFonts w:ascii="方正书宋_GBK" w:eastAsia="方正书宋_GBK"/>
                <w:b/>
              </w:rPr>
              <w:t xml:space="preserve">  </w:t>
            </w:r>
            <w:r>
              <w:rPr>
                <w:rFonts w:hint="eastAsia" w:ascii="方正书宋_GBK" w:eastAsia="方正书宋_GBK"/>
                <w:b/>
              </w:rPr>
              <w:t>单位</w:t>
            </w:r>
          </w:p>
        </w:tc>
        <w:tc>
          <w:tcPr>
            <w:tcW w:w="267" w:type="pct"/>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数量</w:t>
            </w:r>
          </w:p>
        </w:tc>
        <w:tc>
          <w:tcPr>
            <w:tcW w:w="286" w:type="pct"/>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单价</w:t>
            </w:r>
          </w:p>
        </w:tc>
        <w:tc>
          <w:tcPr>
            <w:tcW w:w="2273" w:type="pct"/>
            <w:gridSpan w:val="7"/>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政府采购金额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859" w:type="pct"/>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382" w:type="pct"/>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预算资金</w:t>
            </w:r>
          </w:p>
        </w:tc>
        <w:tc>
          <w:tcPr>
            <w:tcW w:w="324" w:type="pct"/>
            <w:vMerge w:val="continue"/>
            <w:shd w:val="clear" w:color="auto" w:fill="auto"/>
            <w:vAlign w:val="center"/>
          </w:tcPr>
          <w:p>
            <w:pPr>
              <w:spacing w:line="300" w:lineRule="exact"/>
              <w:jc w:val="left"/>
              <w:outlineLvl w:val="0"/>
            </w:pPr>
          </w:p>
        </w:tc>
        <w:tc>
          <w:tcPr>
            <w:tcW w:w="343" w:type="pct"/>
            <w:vMerge w:val="continue"/>
            <w:shd w:val="clear" w:color="auto" w:fill="auto"/>
            <w:vAlign w:val="center"/>
          </w:tcPr>
          <w:p>
            <w:pPr>
              <w:spacing w:line="300" w:lineRule="exact"/>
              <w:jc w:val="left"/>
              <w:outlineLvl w:val="0"/>
            </w:pPr>
          </w:p>
        </w:tc>
        <w:tc>
          <w:tcPr>
            <w:tcW w:w="267" w:type="pct"/>
            <w:vMerge w:val="continue"/>
            <w:shd w:val="clear" w:color="auto" w:fill="auto"/>
            <w:vAlign w:val="center"/>
          </w:tcPr>
          <w:p>
            <w:pPr>
              <w:spacing w:line="300" w:lineRule="exact"/>
              <w:jc w:val="left"/>
              <w:outlineLvl w:val="0"/>
            </w:pPr>
          </w:p>
        </w:tc>
        <w:tc>
          <w:tcPr>
            <w:tcW w:w="267" w:type="pct"/>
            <w:vMerge w:val="continue"/>
            <w:shd w:val="clear" w:color="auto" w:fill="auto"/>
            <w:vAlign w:val="center"/>
          </w:tcPr>
          <w:p>
            <w:pPr>
              <w:spacing w:line="300" w:lineRule="exact"/>
              <w:jc w:val="left"/>
              <w:outlineLvl w:val="0"/>
            </w:pPr>
          </w:p>
        </w:tc>
        <w:tc>
          <w:tcPr>
            <w:tcW w:w="286" w:type="pct"/>
            <w:vMerge w:val="continue"/>
            <w:shd w:val="clear" w:color="auto" w:fill="auto"/>
            <w:vAlign w:val="center"/>
          </w:tcPr>
          <w:p>
            <w:pPr>
              <w:spacing w:line="300" w:lineRule="exact"/>
              <w:jc w:val="left"/>
              <w:outlineLvl w:val="0"/>
            </w:pPr>
          </w:p>
        </w:tc>
        <w:tc>
          <w:tcPr>
            <w:tcW w:w="324" w:type="pct"/>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总计</w:t>
            </w:r>
          </w:p>
        </w:tc>
        <w:tc>
          <w:tcPr>
            <w:tcW w:w="1625" w:type="pct"/>
            <w:gridSpan w:val="5"/>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当年部门预算安排资金</w:t>
            </w:r>
          </w:p>
        </w:tc>
        <w:tc>
          <w:tcPr>
            <w:tcW w:w="324" w:type="pct"/>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其他渠道资金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859" w:type="pct"/>
            <w:vMerge w:val="continue"/>
            <w:shd w:val="clear" w:color="auto" w:fill="auto"/>
            <w:vAlign w:val="center"/>
          </w:tcPr>
          <w:p>
            <w:pPr>
              <w:spacing w:line="300" w:lineRule="exact"/>
              <w:jc w:val="left"/>
              <w:outlineLvl w:val="0"/>
            </w:pPr>
          </w:p>
        </w:tc>
        <w:tc>
          <w:tcPr>
            <w:tcW w:w="382" w:type="pct"/>
            <w:vMerge w:val="continue"/>
            <w:shd w:val="clear" w:color="auto" w:fill="auto"/>
            <w:vAlign w:val="center"/>
          </w:tcPr>
          <w:p>
            <w:pPr>
              <w:spacing w:line="300" w:lineRule="exact"/>
              <w:jc w:val="left"/>
              <w:outlineLvl w:val="0"/>
            </w:pPr>
          </w:p>
        </w:tc>
        <w:tc>
          <w:tcPr>
            <w:tcW w:w="324" w:type="pct"/>
            <w:vMerge w:val="continue"/>
            <w:shd w:val="clear" w:color="auto" w:fill="auto"/>
            <w:vAlign w:val="center"/>
          </w:tcPr>
          <w:p>
            <w:pPr>
              <w:spacing w:line="300" w:lineRule="exact"/>
              <w:jc w:val="left"/>
              <w:outlineLvl w:val="0"/>
            </w:pPr>
          </w:p>
        </w:tc>
        <w:tc>
          <w:tcPr>
            <w:tcW w:w="343" w:type="pct"/>
            <w:vMerge w:val="continue"/>
            <w:shd w:val="clear" w:color="auto" w:fill="auto"/>
            <w:vAlign w:val="center"/>
          </w:tcPr>
          <w:p>
            <w:pPr>
              <w:spacing w:line="300" w:lineRule="exact"/>
              <w:jc w:val="left"/>
              <w:outlineLvl w:val="0"/>
            </w:pPr>
          </w:p>
        </w:tc>
        <w:tc>
          <w:tcPr>
            <w:tcW w:w="267" w:type="pct"/>
            <w:vMerge w:val="continue"/>
            <w:shd w:val="clear" w:color="auto" w:fill="auto"/>
            <w:vAlign w:val="center"/>
          </w:tcPr>
          <w:p>
            <w:pPr>
              <w:spacing w:line="300" w:lineRule="exact"/>
              <w:jc w:val="left"/>
              <w:outlineLvl w:val="0"/>
            </w:pPr>
          </w:p>
        </w:tc>
        <w:tc>
          <w:tcPr>
            <w:tcW w:w="267" w:type="pct"/>
            <w:vMerge w:val="continue"/>
            <w:shd w:val="clear" w:color="auto" w:fill="auto"/>
            <w:vAlign w:val="center"/>
          </w:tcPr>
          <w:p>
            <w:pPr>
              <w:spacing w:line="300" w:lineRule="exact"/>
              <w:jc w:val="left"/>
              <w:outlineLvl w:val="0"/>
            </w:pPr>
          </w:p>
        </w:tc>
        <w:tc>
          <w:tcPr>
            <w:tcW w:w="286" w:type="pct"/>
            <w:vMerge w:val="continue"/>
            <w:shd w:val="clear" w:color="auto" w:fill="auto"/>
            <w:vAlign w:val="center"/>
          </w:tcPr>
          <w:p>
            <w:pPr>
              <w:spacing w:line="300" w:lineRule="exact"/>
              <w:jc w:val="left"/>
              <w:outlineLvl w:val="0"/>
            </w:pPr>
          </w:p>
        </w:tc>
        <w:tc>
          <w:tcPr>
            <w:tcW w:w="324" w:type="pct"/>
            <w:vMerge w:val="continue"/>
            <w:shd w:val="clear" w:color="auto" w:fill="auto"/>
            <w:vAlign w:val="center"/>
          </w:tcPr>
          <w:p>
            <w:pPr>
              <w:spacing w:line="300" w:lineRule="exact"/>
              <w:jc w:val="left"/>
              <w:outlineLvl w:val="0"/>
            </w:pPr>
          </w:p>
        </w:tc>
        <w:tc>
          <w:tcPr>
            <w:tcW w:w="324" w:type="pc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合计</w:t>
            </w:r>
          </w:p>
        </w:tc>
        <w:tc>
          <w:tcPr>
            <w:tcW w:w="324" w:type="pc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一般公共预算拨款</w:t>
            </w:r>
          </w:p>
        </w:tc>
        <w:tc>
          <w:tcPr>
            <w:tcW w:w="324" w:type="pc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基金预算拨款</w:t>
            </w:r>
          </w:p>
        </w:tc>
        <w:tc>
          <w:tcPr>
            <w:tcW w:w="324" w:type="pc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财政专户核拨</w:t>
            </w:r>
          </w:p>
        </w:tc>
        <w:tc>
          <w:tcPr>
            <w:tcW w:w="328" w:type="pc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其他来源收入</w:t>
            </w:r>
          </w:p>
        </w:tc>
        <w:tc>
          <w:tcPr>
            <w:tcW w:w="324" w:type="pct"/>
            <w:vMerge w:val="continue"/>
            <w:shd w:val="clear" w:color="auto" w:fill="auto"/>
            <w:vAlign w:val="center"/>
          </w:tcPr>
          <w:p>
            <w:pPr>
              <w:spacing w:line="300" w:lineRule="exact"/>
              <w:jc w:val="left"/>
              <w:outlineLvl w:val="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859" w:type="pc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合　计</w:t>
            </w:r>
          </w:p>
        </w:tc>
        <w:tc>
          <w:tcPr>
            <w:tcW w:w="382" w:type="pct"/>
            <w:shd w:val="clear" w:color="auto" w:fill="auto"/>
            <w:vAlign w:val="center"/>
          </w:tcPr>
          <w:p>
            <w:pPr>
              <w:spacing w:line="300" w:lineRule="exact"/>
              <w:jc w:val="right"/>
              <w:rPr>
                <w:rFonts w:ascii="方正书宋_GBK" w:eastAsia="方正书宋_GBK"/>
                <w:b/>
              </w:rPr>
            </w:pPr>
          </w:p>
        </w:tc>
        <w:tc>
          <w:tcPr>
            <w:tcW w:w="324" w:type="pct"/>
            <w:shd w:val="clear" w:color="auto" w:fill="auto"/>
            <w:vAlign w:val="center"/>
          </w:tcPr>
          <w:p>
            <w:pPr>
              <w:spacing w:line="300" w:lineRule="exact"/>
              <w:jc w:val="left"/>
              <w:rPr>
                <w:rFonts w:ascii="方正书宋_GBK" w:eastAsia="方正书宋_GBK"/>
                <w:b/>
              </w:rPr>
            </w:pPr>
          </w:p>
        </w:tc>
        <w:tc>
          <w:tcPr>
            <w:tcW w:w="343" w:type="pct"/>
            <w:shd w:val="clear" w:color="auto" w:fill="auto"/>
            <w:vAlign w:val="center"/>
          </w:tcPr>
          <w:p>
            <w:pPr>
              <w:spacing w:line="300" w:lineRule="exact"/>
              <w:jc w:val="left"/>
              <w:rPr>
                <w:rFonts w:ascii="方正书宋_GBK" w:eastAsia="方正书宋_GBK"/>
                <w:b/>
              </w:rPr>
            </w:pPr>
          </w:p>
        </w:tc>
        <w:tc>
          <w:tcPr>
            <w:tcW w:w="267" w:type="pct"/>
            <w:shd w:val="clear" w:color="auto" w:fill="auto"/>
            <w:vAlign w:val="center"/>
          </w:tcPr>
          <w:p>
            <w:pPr>
              <w:spacing w:line="300" w:lineRule="exact"/>
              <w:jc w:val="left"/>
              <w:rPr>
                <w:rFonts w:ascii="方正书宋_GBK" w:eastAsia="方正书宋_GBK"/>
                <w:b/>
              </w:rPr>
            </w:pPr>
          </w:p>
        </w:tc>
        <w:tc>
          <w:tcPr>
            <w:tcW w:w="267" w:type="pct"/>
            <w:shd w:val="clear" w:color="auto" w:fill="auto"/>
            <w:vAlign w:val="center"/>
          </w:tcPr>
          <w:p>
            <w:pPr>
              <w:spacing w:line="300" w:lineRule="exact"/>
              <w:jc w:val="right"/>
              <w:rPr>
                <w:rFonts w:ascii="方正书宋_GBK" w:eastAsia="方正书宋_GBK"/>
                <w:b/>
              </w:rPr>
            </w:pPr>
          </w:p>
        </w:tc>
        <w:tc>
          <w:tcPr>
            <w:tcW w:w="286" w:type="pct"/>
            <w:shd w:val="clear" w:color="auto" w:fill="auto"/>
            <w:vAlign w:val="center"/>
          </w:tcPr>
          <w:p>
            <w:pPr>
              <w:spacing w:line="300" w:lineRule="exact"/>
              <w:jc w:val="right"/>
              <w:rPr>
                <w:rFonts w:ascii="方正书宋_GBK" w:eastAsia="方正书宋_GBK"/>
                <w:b/>
              </w:rPr>
            </w:pPr>
          </w:p>
        </w:tc>
        <w:tc>
          <w:tcPr>
            <w:tcW w:w="324" w:type="pct"/>
            <w:shd w:val="clear" w:color="auto" w:fill="auto"/>
            <w:vAlign w:val="center"/>
          </w:tcPr>
          <w:p>
            <w:pPr>
              <w:spacing w:line="300" w:lineRule="exact"/>
              <w:jc w:val="right"/>
              <w:rPr>
                <w:rFonts w:ascii="方正书宋_GBK" w:eastAsia="方正书宋_GBK"/>
                <w:b/>
              </w:rPr>
            </w:pPr>
          </w:p>
        </w:tc>
        <w:tc>
          <w:tcPr>
            <w:tcW w:w="324" w:type="pct"/>
            <w:shd w:val="clear" w:color="auto" w:fill="auto"/>
            <w:vAlign w:val="center"/>
          </w:tcPr>
          <w:p>
            <w:pPr>
              <w:spacing w:line="300" w:lineRule="exact"/>
              <w:jc w:val="right"/>
              <w:rPr>
                <w:rFonts w:ascii="方正书宋_GBK" w:eastAsia="方正书宋_GBK"/>
                <w:b/>
              </w:rPr>
            </w:pPr>
          </w:p>
        </w:tc>
        <w:tc>
          <w:tcPr>
            <w:tcW w:w="324" w:type="pct"/>
            <w:shd w:val="clear" w:color="auto" w:fill="auto"/>
            <w:vAlign w:val="center"/>
          </w:tcPr>
          <w:p>
            <w:pPr>
              <w:spacing w:line="300" w:lineRule="exact"/>
              <w:ind w:right="105"/>
              <w:jc w:val="right"/>
              <w:rPr>
                <w:rFonts w:hint="eastAsia" w:ascii="方正书宋_GBK"/>
                <w:b/>
              </w:rPr>
            </w:pPr>
          </w:p>
        </w:tc>
        <w:tc>
          <w:tcPr>
            <w:tcW w:w="324" w:type="pct"/>
            <w:shd w:val="clear" w:color="auto" w:fill="auto"/>
            <w:vAlign w:val="center"/>
          </w:tcPr>
          <w:p>
            <w:pPr>
              <w:spacing w:line="300" w:lineRule="exact"/>
              <w:jc w:val="right"/>
              <w:rPr>
                <w:rFonts w:ascii="方正书宋_GBK" w:eastAsia="方正书宋_GBK"/>
                <w:b/>
              </w:rPr>
            </w:pPr>
          </w:p>
        </w:tc>
        <w:tc>
          <w:tcPr>
            <w:tcW w:w="324" w:type="pct"/>
            <w:shd w:val="clear" w:color="auto" w:fill="auto"/>
            <w:vAlign w:val="center"/>
          </w:tcPr>
          <w:p>
            <w:pPr>
              <w:spacing w:line="300" w:lineRule="exact"/>
              <w:jc w:val="right"/>
              <w:rPr>
                <w:rFonts w:ascii="方正书宋_GBK" w:eastAsia="方正书宋_GBK"/>
                <w:b/>
              </w:rPr>
            </w:pPr>
          </w:p>
        </w:tc>
        <w:tc>
          <w:tcPr>
            <w:tcW w:w="328" w:type="pct"/>
            <w:shd w:val="clear" w:color="auto" w:fill="auto"/>
            <w:vAlign w:val="center"/>
          </w:tcPr>
          <w:p>
            <w:pPr>
              <w:spacing w:line="300" w:lineRule="exact"/>
              <w:jc w:val="right"/>
              <w:rPr>
                <w:rFonts w:ascii="方正书宋_GBK" w:eastAsia="方正书宋_GBK"/>
                <w:b/>
              </w:rPr>
            </w:pPr>
          </w:p>
        </w:tc>
        <w:tc>
          <w:tcPr>
            <w:tcW w:w="324" w:type="pct"/>
            <w:shd w:val="clear" w:color="auto" w:fill="auto"/>
            <w:vAlign w:val="center"/>
          </w:tcPr>
          <w:p>
            <w:pPr>
              <w:spacing w:line="300" w:lineRule="exact"/>
              <w:jc w:val="right"/>
              <w:rPr>
                <w:rFonts w:ascii="方正书宋_GBK" w:eastAsia="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859" w:type="pct"/>
            <w:shd w:val="clear" w:color="auto" w:fill="auto"/>
            <w:vAlign w:val="center"/>
          </w:tcPr>
          <w:p>
            <w:pPr>
              <w:spacing w:line="300" w:lineRule="exact"/>
              <w:jc w:val="center"/>
              <w:rPr>
                <w:rFonts w:hint="eastAsia" w:ascii="方正书宋_GBK" w:eastAsia="方正书宋_GBK"/>
              </w:rPr>
            </w:pPr>
          </w:p>
        </w:tc>
        <w:tc>
          <w:tcPr>
            <w:tcW w:w="382" w:type="pct"/>
            <w:shd w:val="clear" w:color="auto" w:fill="auto"/>
            <w:vAlign w:val="center"/>
          </w:tcPr>
          <w:p>
            <w:pPr>
              <w:spacing w:line="300" w:lineRule="exact"/>
              <w:jc w:val="right"/>
              <w:rPr>
                <w:rFonts w:ascii="方正书宋_GBK" w:eastAsia="方正书宋_GBK"/>
                <w:b/>
              </w:rPr>
            </w:pPr>
          </w:p>
        </w:tc>
        <w:tc>
          <w:tcPr>
            <w:tcW w:w="324" w:type="pct"/>
            <w:shd w:val="clear" w:color="auto" w:fill="auto"/>
            <w:vAlign w:val="center"/>
          </w:tcPr>
          <w:p>
            <w:pPr>
              <w:spacing w:line="300" w:lineRule="exact"/>
              <w:jc w:val="left"/>
              <w:rPr>
                <w:rFonts w:ascii="方正书宋_GBK" w:eastAsia="方正书宋_GBK"/>
                <w:b/>
              </w:rPr>
            </w:pPr>
          </w:p>
        </w:tc>
        <w:tc>
          <w:tcPr>
            <w:tcW w:w="343" w:type="pct"/>
            <w:shd w:val="clear" w:color="auto" w:fill="auto"/>
            <w:vAlign w:val="center"/>
          </w:tcPr>
          <w:p>
            <w:pPr>
              <w:spacing w:line="300" w:lineRule="exact"/>
              <w:jc w:val="left"/>
              <w:rPr>
                <w:rFonts w:ascii="方正书宋_GBK" w:eastAsia="方正书宋_GBK"/>
                <w:b/>
              </w:rPr>
            </w:pPr>
          </w:p>
        </w:tc>
        <w:tc>
          <w:tcPr>
            <w:tcW w:w="267" w:type="pct"/>
            <w:shd w:val="clear" w:color="auto" w:fill="auto"/>
            <w:vAlign w:val="center"/>
          </w:tcPr>
          <w:p>
            <w:pPr>
              <w:spacing w:line="300" w:lineRule="exact"/>
              <w:jc w:val="left"/>
              <w:rPr>
                <w:rFonts w:ascii="方正书宋_GBK" w:eastAsia="方正书宋_GBK"/>
                <w:b/>
              </w:rPr>
            </w:pPr>
          </w:p>
        </w:tc>
        <w:tc>
          <w:tcPr>
            <w:tcW w:w="267" w:type="pct"/>
            <w:shd w:val="clear" w:color="auto" w:fill="auto"/>
            <w:vAlign w:val="center"/>
          </w:tcPr>
          <w:p>
            <w:pPr>
              <w:spacing w:line="300" w:lineRule="exact"/>
              <w:jc w:val="right"/>
              <w:rPr>
                <w:rFonts w:ascii="方正书宋_GBK" w:eastAsia="方正书宋_GBK"/>
                <w:b/>
              </w:rPr>
            </w:pPr>
          </w:p>
        </w:tc>
        <w:tc>
          <w:tcPr>
            <w:tcW w:w="286" w:type="pct"/>
            <w:shd w:val="clear" w:color="auto" w:fill="auto"/>
            <w:vAlign w:val="center"/>
          </w:tcPr>
          <w:p>
            <w:pPr>
              <w:spacing w:line="300" w:lineRule="exact"/>
              <w:jc w:val="right"/>
              <w:rPr>
                <w:rFonts w:ascii="方正书宋_GBK" w:eastAsia="方正书宋_GBK"/>
                <w:b/>
              </w:rPr>
            </w:pPr>
          </w:p>
        </w:tc>
        <w:tc>
          <w:tcPr>
            <w:tcW w:w="324" w:type="pct"/>
            <w:shd w:val="clear" w:color="auto" w:fill="auto"/>
            <w:vAlign w:val="center"/>
          </w:tcPr>
          <w:p>
            <w:pPr>
              <w:spacing w:line="300" w:lineRule="exact"/>
              <w:jc w:val="right"/>
              <w:rPr>
                <w:rFonts w:hint="eastAsia" w:ascii="方正书宋_GBK"/>
                <w:b/>
              </w:rPr>
            </w:pPr>
          </w:p>
        </w:tc>
        <w:tc>
          <w:tcPr>
            <w:tcW w:w="324" w:type="pct"/>
            <w:shd w:val="clear" w:color="auto" w:fill="auto"/>
            <w:vAlign w:val="center"/>
          </w:tcPr>
          <w:p>
            <w:pPr>
              <w:spacing w:line="300" w:lineRule="exact"/>
              <w:jc w:val="right"/>
              <w:rPr>
                <w:rFonts w:ascii="方正书宋_GBK" w:eastAsia="方正书宋_GBK"/>
                <w:b/>
              </w:rPr>
            </w:pPr>
          </w:p>
        </w:tc>
        <w:tc>
          <w:tcPr>
            <w:tcW w:w="324" w:type="pct"/>
            <w:shd w:val="clear" w:color="auto" w:fill="auto"/>
            <w:vAlign w:val="center"/>
          </w:tcPr>
          <w:p>
            <w:pPr>
              <w:spacing w:line="300" w:lineRule="exact"/>
              <w:jc w:val="right"/>
              <w:rPr>
                <w:rFonts w:ascii="方正书宋_GBK" w:eastAsia="方正书宋_GBK"/>
                <w:b/>
              </w:rPr>
            </w:pPr>
          </w:p>
        </w:tc>
        <w:tc>
          <w:tcPr>
            <w:tcW w:w="324" w:type="pct"/>
            <w:shd w:val="clear" w:color="auto" w:fill="auto"/>
            <w:vAlign w:val="center"/>
          </w:tcPr>
          <w:p>
            <w:pPr>
              <w:spacing w:line="300" w:lineRule="exact"/>
              <w:jc w:val="right"/>
              <w:rPr>
                <w:rFonts w:ascii="方正书宋_GBK" w:eastAsia="方正书宋_GBK"/>
                <w:b/>
              </w:rPr>
            </w:pPr>
          </w:p>
        </w:tc>
        <w:tc>
          <w:tcPr>
            <w:tcW w:w="324" w:type="pct"/>
            <w:shd w:val="clear" w:color="auto" w:fill="auto"/>
            <w:vAlign w:val="center"/>
          </w:tcPr>
          <w:p>
            <w:pPr>
              <w:spacing w:line="300" w:lineRule="exact"/>
              <w:jc w:val="right"/>
              <w:rPr>
                <w:rFonts w:ascii="方正书宋_GBK" w:eastAsia="方正书宋_GBK"/>
                <w:b/>
              </w:rPr>
            </w:pPr>
          </w:p>
        </w:tc>
        <w:tc>
          <w:tcPr>
            <w:tcW w:w="328" w:type="pct"/>
            <w:shd w:val="clear" w:color="auto" w:fill="auto"/>
            <w:vAlign w:val="center"/>
          </w:tcPr>
          <w:p>
            <w:pPr>
              <w:spacing w:line="300" w:lineRule="exact"/>
              <w:jc w:val="right"/>
              <w:rPr>
                <w:rFonts w:ascii="方正书宋_GBK" w:eastAsia="方正书宋_GBK"/>
                <w:b/>
              </w:rPr>
            </w:pPr>
          </w:p>
        </w:tc>
        <w:tc>
          <w:tcPr>
            <w:tcW w:w="324" w:type="pct"/>
            <w:shd w:val="clear" w:color="auto" w:fill="auto"/>
            <w:vAlign w:val="center"/>
          </w:tcPr>
          <w:p>
            <w:pPr>
              <w:spacing w:line="300" w:lineRule="exact"/>
              <w:jc w:val="right"/>
              <w:rPr>
                <w:rFonts w:ascii="方正书宋_GBK" w:eastAsia="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859" w:type="pct"/>
            <w:shd w:val="clear" w:color="auto" w:fill="auto"/>
            <w:vAlign w:val="center"/>
          </w:tcPr>
          <w:p>
            <w:pPr>
              <w:spacing w:line="300" w:lineRule="exact"/>
              <w:jc w:val="left"/>
              <w:rPr>
                <w:rFonts w:hint="eastAsia" w:ascii="方正书宋_GBK" w:eastAsia="方正书宋_GBK"/>
              </w:rPr>
            </w:pPr>
          </w:p>
        </w:tc>
        <w:tc>
          <w:tcPr>
            <w:tcW w:w="382" w:type="pct"/>
            <w:shd w:val="clear" w:color="auto" w:fill="auto"/>
            <w:vAlign w:val="center"/>
          </w:tcPr>
          <w:p>
            <w:pPr>
              <w:spacing w:line="300" w:lineRule="exact"/>
              <w:jc w:val="right"/>
              <w:rPr>
                <w:rFonts w:ascii="方正书宋_GBK" w:eastAsia="方正书宋_GBK"/>
              </w:rPr>
            </w:pPr>
          </w:p>
        </w:tc>
        <w:tc>
          <w:tcPr>
            <w:tcW w:w="324" w:type="pct"/>
            <w:shd w:val="clear" w:color="auto" w:fill="auto"/>
            <w:vAlign w:val="center"/>
          </w:tcPr>
          <w:p>
            <w:pPr>
              <w:spacing w:line="300" w:lineRule="exact"/>
              <w:jc w:val="left"/>
              <w:rPr>
                <w:rFonts w:ascii="方正书宋_GBK" w:eastAsia="方正书宋_GBK"/>
              </w:rPr>
            </w:pPr>
          </w:p>
        </w:tc>
        <w:tc>
          <w:tcPr>
            <w:tcW w:w="343" w:type="pct"/>
            <w:shd w:val="clear" w:color="auto" w:fill="auto"/>
            <w:vAlign w:val="center"/>
          </w:tcPr>
          <w:p>
            <w:pPr>
              <w:spacing w:line="300" w:lineRule="exact"/>
              <w:jc w:val="left"/>
              <w:rPr>
                <w:rFonts w:ascii="方正书宋_GBK" w:eastAsia="方正书宋_GBK"/>
              </w:rPr>
            </w:pPr>
          </w:p>
        </w:tc>
        <w:tc>
          <w:tcPr>
            <w:tcW w:w="267" w:type="pct"/>
            <w:shd w:val="clear" w:color="auto" w:fill="auto"/>
            <w:vAlign w:val="center"/>
          </w:tcPr>
          <w:p>
            <w:pPr>
              <w:spacing w:line="300" w:lineRule="exact"/>
              <w:jc w:val="left"/>
              <w:rPr>
                <w:rFonts w:ascii="方正书宋_GBK" w:eastAsia="方正书宋_GBK"/>
              </w:rPr>
            </w:pPr>
          </w:p>
        </w:tc>
        <w:tc>
          <w:tcPr>
            <w:tcW w:w="267" w:type="pct"/>
            <w:shd w:val="clear" w:color="auto" w:fill="auto"/>
            <w:vAlign w:val="center"/>
          </w:tcPr>
          <w:p>
            <w:pPr>
              <w:spacing w:line="300" w:lineRule="exact"/>
              <w:jc w:val="right"/>
              <w:rPr>
                <w:rFonts w:ascii="方正书宋_GBK" w:eastAsia="方正书宋_GBK"/>
              </w:rPr>
            </w:pPr>
          </w:p>
        </w:tc>
        <w:tc>
          <w:tcPr>
            <w:tcW w:w="286" w:type="pct"/>
            <w:shd w:val="clear" w:color="auto" w:fill="auto"/>
            <w:vAlign w:val="center"/>
          </w:tcPr>
          <w:p>
            <w:pPr>
              <w:spacing w:line="300" w:lineRule="exact"/>
              <w:jc w:val="right"/>
              <w:rPr>
                <w:rFonts w:ascii="方正书宋_GBK" w:eastAsia="方正书宋_GBK"/>
              </w:rPr>
            </w:pPr>
          </w:p>
        </w:tc>
        <w:tc>
          <w:tcPr>
            <w:tcW w:w="324" w:type="pct"/>
            <w:shd w:val="clear" w:color="auto" w:fill="auto"/>
            <w:vAlign w:val="center"/>
          </w:tcPr>
          <w:p>
            <w:pPr>
              <w:spacing w:line="300" w:lineRule="exact"/>
              <w:jc w:val="right"/>
              <w:rPr>
                <w:rFonts w:ascii="方正书宋_GBK" w:eastAsia="方正书宋_GBK"/>
              </w:rPr>
            </w:pPr>
          </w:p>
        </w:tc>
        <w:tc>
          <w:tcPr>
            <w:tcW w:w="324" w:type="pct"/>
            <w:shd w:val="clear" w:color="auto" w:fill="auto"/>
            <w:vAlign w:val="center"/>
          </w:tcPr>
          <w:p>
            <w:pPr>
              <w:spacing w:line="300" w:lineRule="exact"/>
              <w:jc w:val="right"/>
              <w:rPr>
                <w:rFonts w:ascii="方正书宋_GBK" w:eastAsia="方正书宋_GBK"/>
              </w:rPr>
            </w:pPr>
          </w:p>
        </w:tc>
        <w:tc>
          <w:tcPr>
            <w:tcW w:w="324" w:type="pct"/>
            <w:shd w:val="clear" w:color="auto" w:fill="auto"/>
            <w:vAlign w:val="center"/>
          </w:tcPr>
          <w:p>
            <w:pPr>
              <w:spacing w:line="300" w:lineRule="exact"/>
              <w:jc w:val="right"/>
              <w:rPr>
                <w:rFonts w:ascii="方正书宋_GBK" w:eastAsia="方正书宋_GBK"/>
              </w:rPr>
            </w:pPr>
          </w:p>
        </w:tc>
        <w:tc>
          <w:tcPr>
            <w:tcW w:w="324" w:type="pct"/>
            <w:shd w:val="clear" w:color="auto" w:fill="auto"/>
            <w:vAlign w:val="center"/>
          </w:tcPr>
          <w:p>
            <w:pPr>
              <w:spacing w:line="300" w:lineRule="exact"/>
              <w:jc w:val="right"/>
              <w:rPr>
                <w:rFonts w:ascii="方正书宋_GBK" w:eastAsia="方正书宋_GBK"/>
              </w:rPr>
            </w:pPr>
          </w:p>
        </w:tc>
        <w:tc>
          <w:tcPr>
            <w:tcW w:w="324" w:type="pct"/>
            <w:shd w:val="clear" w:color="auto" w:fill="auto"/>
            <w:vAlign w:val="center"/>
          </w:tcPr>
          <w:p>
            <w:pPr>
              <w:spacing w:line="300" w:lineRule="exact"/>
              <w:jc w:val="right"/>
              <w:rPr>
                <w:rFonts w:ascii="方正书宋_GBK" w:eastAsia="方正书宋_GBK"/>
              </w:rPr>
            </w:pPr>
          </w:p>
        </w:tc>
        <w:tc>
          <w:tcPr>
            <w:tcW w:w="328" w:type="pct"/>
            <w:shd w:val="clear" w:color="auto" w:fill="auto"/>
            <w:vAlign w:val="center"/>
          </w:tcPr>
          <w:p>
            <w:pPr>
              <w:spacing w:line="300" w:lineRule="exact"/>
              <w:jc w:val="right"/>
              <w:rPr>
                <w:rFonts w:ascii="方正书宋_GBK" w:eastAsia="方正书宋_GBK"/>
              </w:rPr>
            </w:pPr>
          </w:p>
        </w:tc>
        <w:tc>
          <w:tcPr>
            <w:tcW w:w="324" w:type="pct"/>
            <w:shd w:val="clear" w:color="auto" w:fill="auto"/>
            <w:vAlign w:val="center"/>
          </w:tcPr>
          <w:p>
            <w:pPr>
              <w:spacing w:line="300" w:lineRule="exact"/>
              <w:jc w:val="right"/>
              <w:rPr>
                <w:rFonts w:ascii="方正书宋_GBK" w:eastAsia="方正书宋_GBK"/>
              </w:rPr>
            </w:pPr>
          </w:p>
        </w:tc>
      </w:tr>
    </w:tbl>
    <w:p>
      <w:pPr>
        <w:spacing w:line="300" w:lineRule="exact"/>
        <w:jc w:val="left"/>
        <w:outlineLvl w:val="0"/>
        <w:rPr>
          <w:rFonts w:hint="eastAsia"/>
        </w:rPr>
      </w:pPr>
      <w:r>
        <w:rPr>
          <w:rFonts w:hint="eastAsia"/>
        </w:rPr>
        <w:t>注：我单位无政府采购，空表列示。</w:t>
      </w:r>
    </w:p>
    <w:p>
      <w:pPr>
        <w:spacing w:line="300" w:lineRule="exact"/>
        <w:jc w:val="left"/>
        <w:outlineLvl w:val="0"/>
        <w:rPr>
          <w:rFonts w:hint="eastAsia"/>
        </w:rPr>
      </w:pPr>
    </w:p>
    <w:p>
      <w:pPr>
        <w:autoSpaceDE w:val="0"/>
        <w:autoSpaceDN w:val="0"/>
        <w:adjustRightInd w:val="0"/>
        <w:jc w:val="left"/>
        <w:rPr>
          <w:rFonts w:hint="eastAsia" w:ascii="黑体" w:hAnsi="黑体" w:eastAsia="黑体" w:cs="Times New Roman"/>
          <w:sz w:val="32"/>
          <w:szCs w:val="32"/>
        </w:rPr>
      </w:pPr>
    </w:p>
    <w:p>
      <w:pPr>
        <w:autoSpaceDE w:val="0"/>
        <w:autoSpaceDN w:val="0"/>
        <w:adjustRightInd w:val="0"/>
        <w:jc w:val="left"/>
        <w:rPr>
          <w:rFonts w:hint="eastAsia" w:ascii="黑体" w:hAnsi="黑体" w:eastAsia="黑体" w:cs="Times New Roman"/>
          <w:sz w:val="32"/>
          <w:szCs w:val="32"/>
        </w:rPr>
      </w:pPr>
    </w:p>
    <w:p>
      <w:pPr>
        <w:autoSpaceDE w:val="0"/>
        <w:autoSpaceDN w:val="0"/>
        <w:adjustRightInd w:val="0"/>
        <w:jc w:val="left"/>
        <w:rPr>
          <w:rFonts w:hint="eastAsia" w:ascii="黑体" w:hAnsi="黑体" w:eastAsia="黑体" w:cs="Times New Roman"/>
          <w:sz w:val="32"/>
          <w:szCs w:val="32"/>
        </w:rPr>
      </w:pPr>
    </w:p>
    <w:p>
      <w:pPr>
        <w:autoSpaceDE w:val="0"/>
        <w:autoSpaceDN w:val="0"/>
        <w:adjustRightInd w:val="0"/>
        <w:jc w:val="left"/>
        <w:rPr>
          <w:rFonts w:ascii="黑体" w:hAnsi="黑体" w:eastAsia="黑体" w:cs="Times New Roman"/>
          <w:sz w:val="32"/>
          <w:szCs w:val="32"/>
        </w:rPr>
        <w:sectPr>
          <w:footerReference r:id="rId7" w:type="default"/>
          <w:pgSz w:w="16838" w:h="11906" w:orient="landscape"/>
          <w:pgMar w:top="1800" w:right="1440" w:bottom="1800" w:left="1440" w:header="851" w:footer="992" w:gutter="0"/>
          <w:cols w:space="720" w:num="1"/>
          <w:docGrid w:type="lines" w:linePitch="312" w:charSpace="0"/>
        </w:sectPr>
      </w:pPr>
    </w:p>
    <w:p>
      <w:pPr>
        <w:autoSpaceDE w:val="0"/>
        <w:autoSpaceDN w:val="0"/>
        <w:adjustRightInd w:val="0"/>
        <w:jc w:val="left"/>
        <w:rPr>
          <w:rFonts w:ascii="黑体" w:hAnsi="黑体" w:eastAsia="黑体" w:cs="Times New Roman"/>
          <w:sz w:val="32"/>
          <w:szCs w:val="32"/>
        </w:rPr>
      </w:pPr>
      <w:r>
        <w:rPr>
          <w:rFonts w:hint="eastAsia" w:ascii="黑体" w:hAnsi="黑体" w:eastAsia="黑体" w:cs="Times New Roman"/>
          <w:sz w:val="32"/>
          <w:szCs w:val="32"/>
        </w:rPr>
        <w:t>七、国有资产信息</w:t>
      </w:r>
    </w:p>
    <w:p>
      <w:pPr>
        <w:ind w:firstLine="640"/>
        <w:rPr>
          <w:rFonts w:ascii="Times New Roman" w:hAnsi="Times New Roman" w:eastAsia="仿宋" w:cs="Times New Roman"/>
          <w:color w:val="000000"/>
          <w:sz w:val="32"/>
          <w:szCs w:val="32"/>
        </w:rPr>
      </w:pPr>
      <w:r>
        <w:rPr>
          <w:rFonts w:hint="eastAsia" w:ascii="Times New Roman" w:hAnsi="Times New Roman" w:eastAsia="仿宋" w:cs="Times New Roman"/>
          <w:color w:val="000000"/>
          <w:sz w:val="32"/>
          <w:szCs w:val="32"/>
        </w:rPr>
        <w:t>里城道乡人民政府2019</w:t>
      </w:r>
      <w:r>
        <w:rPr>
          <w:rFonts w:ascii="Times New Roman" w:hAnsi="Times New Roman" w:eastAsia="仿宋" w:cs="Times New Roman"/>
          <w:color w:val="000000"/>
          <w:sz w:val="32"/>
          <w:szCs w:val="32"/>
        </w:rPr>
        <w:t>年末固定资产金额为</w:t>
      </w:r>
      <w:r>
        <w:rPr>
          <w:rFonts w:hint="eastAsia" w:ascii="Times New Roman" w:hAnsi="Times New Roman" w:eastAsia="仿宋" w:cs="Times New Roman"/>
          <w:color w:val="000000"/>
          <w:sz w:val="32"/>
          <w:szCs w:val="32"/>
        </w:rPr>
        <w:t>62.16701</w:t>
      </w:r>
      <w:r>
        <w:rPr>
          <w:rFonts w:ascii="Times New Roman" w:hAnsi="Times New Roman" w:eastAsia="仿宋" w:cs="Times New Roman"/>
          <w:color w:val="000000"/>
          <w:sz w:val="32"/>
          <w:szCs w:val="32"/>
        </w:rPr>
        <w:t>万元（详见下表），本年度拟购置固定资产</w:t>
      </w:r>
      <w:r>
        <w:rPr>
          <w:rFonts w:hint="eastAsia" w:ascii="Times New Roman" w:hAnsi="Times New Roman" w:eastAsia="仿宋" w:cs="Times New Roman"/>
          <w:color w:val="000000"/>
          <w:sz w:val="32"/>
          <w:szCs w:val="32"/>
        </w:rPr>
        <w:t>总额为1</w:t>
      </w:r>
      <w:r>
        <w:rPr>
          <w:rFonts w:ascii="Times New Roman" w:hAnsi="Times New Roman" w:eastAsia="仿宋" w:cs="Times New Roman"/>
          <w:color w:val="000000"/>
          <w:sz w:val="32"/>
          <w:szCs w:val="32"/>
        </w:rPr>
        <w:t>万元</w:t>
      </w:r>
      <w:r>
        <w:rPr>
          <w:rFonts w:hint="eastAsia" w:ascii="Times New Roman" w:hAnsi="Times New Roman" w:eastAsia="仿宋" w:cs="Times New Roman"/>
          <w:color w:val="000000"/>
          <w:sz w:val="32"/>
          <w:szCs w:val="32"/>
        </w:rPr>
        <w:t>。</w:t>
      </w:r>
    </w:p>
    <w:tbl>
      <w:tblPr>
        <w:tblStyle w:val="7"/>
        <w:tblW w:w="13482" w:type="dxa"/>
        <w:tblInd w:w="93" w:type="dxa"/>
        <w:tblLayout w:type="fixed"/>
        <w:tblCellMar>
          <w:top w:w="0" w:type="dxa"/>
          <w:left w:w="108" w:type="dxa"/>
          <w:bottom w:w="0" w:type="dxa"/>
          <w:right w:w="108" w:type="dxa"/>
        </w:tblCellMar>
      </w:tblPr>
      <w:tblGrid>
        <w:gridCol w:w="5224"/>
        <w:gridCol w:w="3155"/>
        <w:gridCol w:w="5103"/>
      </w:tblGrid>
      <w:tr>
        <w:tblPrEx>
          <w:tblCellMar>
            <w:top w:w="0" w:type="dxa"/>
            <w:left w:w="108" w:type="dxa"/>
            <w:bottom w:w="0" w:type="dxa"/>
            <w:right w:w="108" w:type="dxa"/>
          </w:tblCellMar>
        </w:tblPrEx>
        <w:trPr>
          <w:trHeight w:val="705" w:hRule="atLeast"/>
        </w:trPr>
        <w:tc>
          <w:tcPr>
            <w:tcW w:w="13482" w:type="dxa"/>
            <w:gridSpan w:val="3"/>
            <w:tcBorders>
              <w:top w:val="nil"/>
              <w:left w:val="nil"/>
              <w:bottom w:val="nil"/>
              <w:right w:val="nil"/>
            </w:tcBorders>
            <w:vAlign w:val="center"/>
          </w:tcPr>
          <w:p>
            <w:pPr>
              <w:widowControl/>
              <w:jc w:val="center"/>
              <w:rPr>
                <w:rFonts w:ascii="宋体" w:hAnsi="宋体" w:cs="宋体"/>
                <w:b/>
                <w:bCs/>
                <w:kern w:val="0"/>
                <w:sz w:val="32"/>
                <w:szCs w:val="32"/>
              </w:rPr>
            </w:pPr>
            <w:r>
              <w:rPr>
                <w:rFonts w:hint="eastAsia" w:ascii="宋体" w:hAnsi="宋体" w:cs="宋体"/>
                <w:b/>
                <w:bCs/>
                <w:kern w:val="0"/>
                <w:sz w:val="32"/>
                <w:szCs w:val="32"/>
              </w:rPr>
              <w:t>无极县里城道乡人民政府固定资产占用情况表</w:t>
            </w:r>
          </w:p>
        </w:tc>
      </w:tr>
      <w:tr>
        <w:tblPrEx>
          <w:tblCellMar>
            <w:top w:w="0" w:type="dxa"/>
            <w:left w:w="108" w:type="dxa"/>
            <w:bottom w:w="0" w:type="dxa"/>
            <w:right w:w="108" w:type="dxa"/>
          </w:tblCellMar>
        </w:tblPrEx>
        <w:trPr>
          <w:trHeight w:val="510" w:hRule="atLeast"/>
        </w:trPr>
        <w:tc>
          <w:tcPr>
            <w:tcW w:w="8379" w:type="dxa"/>
            <w:gridSpan w:val="2"/>
            <w:tcBorders>
              <w:top w:val="nil"/>
              <w:left w:val="nil"/>
              <w:bottom w:val="nil"/>
              <w:right w:val="nil"/>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编制部门：</w:t>
            </w:r>
            <w:r>
              <w:rPr>
                <w:rFonts w:hint="eastAsia" w:ascii="Times New Roman" w:hAnsi="Times New Roman" w:eastAsia="仿宋" w:cs="Times New Roman"/>
                <w:kern w:val="0"/>
                <w:sz w:val="22"/>
              </w:rPr>
              <w:t>北苏镇人民政府</w:t>
            </w:r>
          </w:p>
        </w:tc>
        <w:tc>
          <w:tcPr>
            <w:tcW w:w="5103" w:type="dxa"/>
            <w:tcBorders>
              <w:top w:val="nil"/>
              <w:left w:val="nil"/>
              <w:bottom w:val="nil"/>
              <w:right w:val="nil"/>
            </w:tcBorders>
            <w:vAlign w:val="center"/>
          </w:tcPr>
          <w:p>
            <w:pPr>
              <w:widowControl/>
              <w:ind w:firstLine="1320" w:firstLineChars="600"/>
              <w:jc w:val="left"/>
              <w:rPr>
                <w:rFonts w:ascii="Times New Roman" w:hAnsi="Times New Roman" w:eastAsia="仿宋" w:cs="Times New Roman"/>
                <w:kern w:val="0"/>
                <w:sz w:val="22"/>
              </w:rPr>
            </w:pPr>
            <w:r>
              <w:rPr>
                <w:rFonts w:ascii="Times New Roman" w:hAnsi="Times New Roman" w:eastAsia="仿宋" w:cs="Times New Roman"/>
                <w:kern w:val="0"/>
                <w:sz w:val="22"/>
              </w:rPr>
              <w:t>截止时间：201</w:t>
            </w:r>
            <w:r>
              <w:rPr>
                <w:rFonts w:hint="eastAsia" w:ascii="Times New Roman" w:hAnsi="Times New Roman" w:eastAsia="仿宋" w:cs="Times New Roman"/>
                <w:kern w:val="0"/>
                <w:sz w:val="22"/>
              </w:rPr>
              <w:t>9</w:t>
            </w:r>
            <w:r>
              <w:rPr>
                <w:rFonts w:ascii="Times New Roman" w:hAnsi="Times New Roman" w:eastAsia="仿宋" w:cs="Times New Roman"/>
                <w:kern w:val="0"/>
                <w:sz w:val="22"/>
              </w:rPr>
              <w:t>年12月31日</w:t>
            </w:r>
          </w:p>
        </w:tc>
      </w:tr>
      <w:tr>
        <w:tblPrEx>
          <w:tblCellMar>
            <w:top w:w="0" w:type="dxa"/>
            <w:left w:w="108" w:type="dxa"/>
            <w:bottom w:w="0" w:type="dxa"/>
            <w:right w:w="108" w:type="dxa"/>
          </w:tblCellMar>
        </w:tblPrEx>
        <w:trPr>
          <w:trHeight w:val="645" w:hRule="atLeast"/>
        </w:trPr>
        <w:tc>
          <w:tcPr>
            <w:tcW w:w="5224" w:type="dxa"/>
            <w:tcBorders>
              <w:top w:val="single" w:color="auto" w:sz="4" w:space="0"/>
              <w:left w:val="single" w:color="auto" w:sz="4" w:space="0"/>
              <w:bottom w:val="single" w:color="auto" w:sz="4" w:space="0"/>
              <w:right w:val="single" w:color="auto" w:sz="4" w:space="0"/>
            </w:tcBorders>
            <w:vAlign w:val="center"/>
          </w:tcPr>
          <w:p>
            <w:pPr>
              <w:widowControl/>
              <w:jc w:val="center"/>
              <w:rPr>
                <w:rFonts w:ascii="宋体" w:hAnsi="宋体" w:cs="宋体"/>
                <w:b/>
                <w:bCs/>
                <w:kern w:val="0"/>
                <w:sz w:val="22"/>
              </w:rPr>
            </w:pPr>
            <w:r>
              <w:rPr>
                <w:rFonts w:hint="eastAsia" w:ascii="宋体" w:hAnsi="宋体" w:cs="宋体"/>
                <w:b/>
                <w:bCs/>
                <w:kern w:val="0"/>
                <w:sz w:val="22"/>
              </w:rPr>
              <w:t>项目</w:t>
            </w:r>
          </w:p>
        </w:tc>
        <w:tc>
          <w:tcPr>
            <w:tcW w:w="3155" w:type="dxa"/>
            <w:tcBorders>
              <w:top w:val="single" w:color="auto" w:sz="4" w:space="0"/>
              <w:left w:val="nil"/>
              <w:bottom w:val="single" w:color="auto" w:sz="4" w:space="0"/>
              <w:right w:val="single" w:color="auto" w:sz="4" w:space="0"/>
            </w:tcBorders>
            <w:vAlign w:val="center"/>
          </w:tcPr>
          <w:p>
            <w:pPr>
              <w:widowControl/>
              <w:jc w:val="center"/>
              <w:rPr>
                <w:rFonts w:ascii="宋体" w:hAnsi="宋体" w:cs="宋体"/>
                <w:b/>
                <w:bCs/>
                <w:kern w:val="0"/>
                <w:sz w:val="22"/>
              </w:rPr>
            </w:pPr>
            <w:r>
              <w:rPr>
                <w:rFonts w:hint="eastAsia" w:ascii="宋体" w:hAnsi="宋体" w:cs="宋体"/>
                <w:b/>
                <w:bCs/>
                <w:kern w:val="0"/>
                <w:sz w:val="22"/>
              </w:rPr>
              <w:t>数量</w:t>
            </w:r>
          </w:p>
        </w:tc>
        <w:tc>
          <w:tcPr>
            <w:tcW w:w="5103" w:type="dxa"/>
            <w:tcBorders>
              <w:top w:val="single" w:color="auto" w:sz="4" w:space="0"/>
              <w:left w:val="nil"/>
              <w:bottom w:val="single" w:color="auto" w:sz="4" w:space="0"/>
              <w:right w:val="single" w:color="auto" w:sz="4" w:space="0"/>
            </w:tcBorders>
            <w:vAlign w:val="center"/>
          </w:tcPr>
          <w:p>
            <w:pPr>
              <w:widowControl/>
              <w:jc w:val="center"/>
              <w:rPr>
                <w:rFonts w:ascii="宋体" w:hAnsi="宋体" w:cs="宋体"/>
                <w:b/>
                <w:bCs/>
                <w:kern w:val="0"/>
                <w:sz w:val="22"/>
              </w:rPr>
            </w:pPr>
            <w:r>
              <w:rPr>
                <w:rFonts w:hint="eastAsia" w:ascii="宋体" w:hAnsi="宋体" w:cs="宋体"/>
                <w:b/>
                <w:bCs/>
                <w:kern w:val="0"/>
                <w:sz w:val="22"/>
              </w:rPr>
              <w:t>价值（金额单位：万元）</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资产总额</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w:t>
            </w: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color w:val="FF0000"/>
                <w:kern w:val="0"/>
                <w:sz w:val="22"/>
              </w:rPr>
            </w:pPr>
            <w:r>
              <w:rPr>
                <w:rFonts w:hint="eastAsia" w:ascii="Times New Roman" w:hAnsi="Times New Roman" w:eastAsia="仿宋" w:cs="Times New Roman"/>
                <w:kern w:val="0"/>
                <w:sz w:val="22"/>
              </w:rPr>
              <w:t>62.16701</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1、房屋（平方米）</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hint="eastAsia" w:ascii="Times New Roman" w:hAnsi="Times New Roman" w:eastAsia="仿宋" w:cs="Times New Roman"/>
                <w:kern w:val="0"/>
                <w:sz w:val="22"/>
              </w:rPr>
              <w:t>0</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其中：办公用房（平方米）</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hint="eastAsia" w:ascii="Times New Roman" w:hAnsi="Times New Roman" w:eastAsia="仿宋" w:cs="Times New Roman"/>
                <w:kern w:val="0"/>
                <w:sz w:val="22"/>
              </w:rPr>
              <w:t>0</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2、车辆（台、辆）</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hint="eastAsia" w:ascii="Times New Roman" w:hAnsi="Times New Roman" w:eastAsia="仿宋" w:cs="Times New Roman"/>
                <w:kern w:val="0"/>
                <w:sz w:val="22"/>
              </w:rPr>
              <w:t>4</w:t>
            </w: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hint="eastAsia" w:ascii="Times New Roman" w:hAnsi="Times New Roman" w:eastAsia="仿宋" w:cs="Times New Roman"/>
                <w:kern w:val="0"/>
                <w:sz w:val="22"/>
              </w:rPr>
              <w:t>37.905</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3、单价在20万元以上设备</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w:t>
            </w: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hint="eastAsia" w:ascii="Times New Roman" w:hAnsi="Times New Roman" w:eastAsia="仿宋" w:cs="Times New Roman"/>
                <w:kern w:val="0"/>
                <w:sz w:val="22"/>
              </w:rPr>
              <w:t>0</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4、其他固定资产</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w:t>
            </w: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hint="eastAsia" w:ascii="Times New Roman" w:hAnsi="Times New Roman" w:eastAsia="仿宋" w:cs="Times New Roman"/>
                <w:kern w:val="0"/>
                <w:sz w:val="22"/>
              </w:rPr>
              <w:t>24.26201</w:t>
            </w:r>
          </w:p>
        </w:tc>
      </w:tr>
    </w:tbl>
    <w:p>
      <w:pPr>
        <w:autoSpaceDE w:val="0"/>
        <w:autoSpaceDN w:val="0"/>
        <w:adjustRightInd w:val="0"/>
        <w:ind w:firstLine="640" w:firstLineChars="200"/>
        <w:jc w:val="left"/>
        <w:rPr>
          <w:rFonts w:hint="eastAsia" w:ascii="黑体" w:hAnsi="黑体" w:eastAsia="黑体" w:cs="Times New Roman"/>
          <w:sz w:val="32"/>
          <w:szCs w:val="32"/>
        </w:rPr>
      </w:pPr>
    </w:p>
    <w:p>
      <w:pPr>
        <w:autoSpaceDE w:val="0"/>
        <w:autoSpaceDN w:val="0"/>
        <w:adjustRightInd w:val="0"/>
        <w:ind w:firstLine="640" w:firstLineChars="200"/>
        <w:jc w:val="left"/>
        <w:rPr>
          <w:rFonts w:ascii="黑体" w:hAnsi="黑体" w:eastAsia="黑体" w:cs="Times New Roman"/>
          <w:sz w:val="32"/>
          <w:szCs w:val="32"/>
        </w:rPr>
        <w:sectPr>
          <w:pgSz w:w="16838" w:h="11906" w:orient="landscape"/>
          <w:pgMar w:top="1797" w:right="1440" w:bottom="1797" w:left="1440" w:header="851" w:footer="992" w:gutter="0"/>
          <w:cols w:space="720" w:num="1"/>
          <w:docGrid w:type="linesAndChars" w:linePitch="312" w:charSpace="0"/>
        </w:sectPr>
      </w:pPr>
    </w:p>
    <w:p>
      <w:p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Times New Roman"/>
          <w:sz w:val="32"/>
          <w:szCs w:val="32"/>
        </w:rPr>
        <w:t>八、名词解释</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1、一般公共预算拨款收入：指县级财政当年拨付的资金。</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2、事业收入：指事业单位开展专业业务活动及辅助活动所取得的收入。</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3、其他收入：指除“一般公共预算拨款收入”、“事业收入”等以外的收入。主要是按规定动用的租房收入、存款利息收入等。</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4、基本支出：指为保障机构正常运转、完成日常工作任务而发生的人员支出和公用支出。</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5、项目支出：指在基本支出之外为完成特定行政任务和事业发展目标所发生的支出。</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6、上缴上级支出：指下级单位上缴上级的支出。</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7、“三公”经费：纳入县级财政预算管理的“三公”经费，是指县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8、机关运行费：是指各部门的公用经费，包括办公及印刷费、邮电费、差旅费、会议费、福利费、日常维修费、专用材料及一般设备购置费、办公用房水电费、办公用房取暖费、办公用房物业管理费、公务用车运行维护费以及其他费用。</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9、上年结转：指以前年度尚未完成、结转到本年仍按原规定用途继续使用的资金。</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10、事业单位经营支出：指事业单位在专业业务活动及其辅助活动之外开展非独立核算经营活动发生的支出。</w:t>
      </w:r>
    </w:p>
    <w:p>
      <w:pPr>
        <w:ind w:firstLine="640" w:firstLineChars="200"/>
        <w:rPr>
          <w:rFonts w:ascii="宋体-方正超大字符集" w:hAnsi="宋体-方正超大字符集" w:eastAsia="宋体-方正超大字符集" w:cs="宋体-方正超大字符集"/>
          <w:b/>
          <w:bCs/>
          <w:sz w:val="32"/>
          <w:szCs w:val="32"/>
        </w:rPr>
      </w:pPr>
      <w:r>
        <w:rPr>
          <w:rFonts w:hint="eastAsia" w:ascii="宋体-方正超大字符集" w:hAnsi="宋体-方正超大字符集" w:eastAsia="宋体-方正超大字符集" w:cs="宋体-方正超大字符集"/>
          <w:b/>
          <w:bCs/>
          <w:sz w:val="32"/>
          <w:szCs w:val="32"/>
        </w:rPr>
        <w:t>九、其他需要说明的事项</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我部门无其他需要说明的事项。</w:t>
      </w:r>
    </w:p>
    <w:sectPr>
      <w:pgSz w:w="11906" w:h="16838"/>
      <w:pgMar w:top="1440" w:right="1797" w:bottom="1440" w:left="1797"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panose1 w:val="02000000000000000000"/>
    <w:charset w:val="86"/>
    <w:family w:val="roman"/>
    <w:pitch w:val="default"/>
    <w:sig w:usb0="A00002BF" w:usb1="38CF7CFA" w:usb2="00082016" w:usb3="00000000" w:csb0="00040001" w:csb1="00000000"/>
  </w:font>
  <w:font w:name="仿宋">
    <w:panose1 w:val="02010609060101010101"/>
    <w:charset w:val="86"/>
    <w:family w:val="modern"/>
    <w:pitch w:val="default"/>
    <w:sig w:usb0="800002BF" w:usb1="38CF7CFA" w:usb2="00000016" w:usb3="00000000" w:csb0="00040001" w:csb1="00000000"/>
  </w:font>
  <w:font w:name="仿宋_GB2312">
    <w:altName w:val="仿宋"/>
    <w:panose1 w:val="02010609030101010101"/>
    <w:charset w:val="86"/>
    <w:family w:val="modern"/>
    <w:pitch w:val="default"/>
    <w:sig w:usb0="00000000" w:usb1="00000000" w:usb2="00000000" w:usb3="00000000" w:csb0="00040000" w:csb1="00000000"/>
  </w:font>
  <w:font w:name="方正仿宋_GBK">
    <w:panose1 w:val="02000000000000000000"/>
    <w:charset w:val="86"/>
    <w:family w:val="script"/>
    <w:pitch w:val="default"/>
    <w:sig w:usb0="A00002BF" w:usb1="38CF7CFA" w:usb2="00082016" w:usb3="00000000" w:csb0="00040001" w:csb1="00000000"/>
  </w:font>
  <w:font w:name="方正楷体_GBK">
    <w:panose1 w:val="02000000000000000000"/>
    <w:charset w:val="86"/>
    <w:family w:val="script"/>
    <w:pitch w:val="default"/>
    <w:sig w:usb0="A00002BF" w:usb1="38CF7CFA" w:usb2="00082016" w:usb3="00000000" w:csb0="00040001" w:csb1="00000000"/>
  </w:font>
  <w:font w:name="方正书宋_GBK">
    <w:panose1 w:val="02000000000000000000"/>
    <w:charset w:val="86"/>
    <w:family w:val="roman"/>
    <w:pitch w:val="default"/>
    <w:sig w:usb0="A00002BF" w:usb1="38CF7CFA" w:usb2="00082016" w:usb3="00000000" w:csb0="00040001" w:csb1="00000000"/>
  </w:font>
  <w:font w:name="宋体-方正超大字符集">
    <w:altName w:val="微软雅黑"/>
    <w:panose1 w:val="00000000000000000000"/>
    <w:charset w:val="86"/>
    <w:family w:val="script"/>
    <w:pitch w:val="default"/>
    <w:sig w:usb0="00000000" w:usb1="00000000" w:usb2="00000010" w:usb3="00000000" w:csb0="0004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framePr w:wrap="around" w:vAnchor="text" w:hAnchor="margin" w:xAlign="outside" w:y="1"/>
      <w:rPr>
        <w:rStyle w:val="13"/>
      </w:rPr>
    </w:pPr>
    <w:r>
      <w:fldChar w:fldCharType="begin"/>
    </w:r>
    <w:r>
      <w:rPr>
        <w:rStyle w:val="13"/>
      </w:rPr>
      <w:instrText xml:space="preserve">PAGE  </w:instrText>
    </w:r>
    <w:r>
      <w:fldChar w:fldCharType="separate"/>
    </w:r>
    <w:r>
      <w:rPr>
        <w:rStyle w:val="13"/>
      </w:rPr>
      <w:t>15</w:t>
    </w:r>
    <w:r>
      <w:fldChar w:fldCharType="end"/>
    </w:r>
  </w:p>
  <w:p>
    <w:pPr>
      <w:pStyle w:val="2"/>
      <w:ind w:right="360" w:firstLine="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2">
    <w:p>
      <w:r>
        <w:separator/>
      </w:r>
    </w:p>
  </w:footnote>
  <w:footnote w:type="continuationSeparator" w:id="3">
    <w:p>
      <w:r>
        <w:continuationSeparator/>
      </w:r>
    </w:p>
  </w:footnote>
  <w:footnote w:id="0">
    <w:p>
      <w:pPr>
        <w:pStyle w:val="5"/>
      </w:pPr>
      <w:r>
        <w:rPr>
          <w:rStyle w:val="9"/>
        </w:rPr>
        <w:sym w:font="Symbol" w:char="F020"/>
      </w:r>
      <w:r>
        <w:rPr>
          <w:rFonts w:hint="eastAsia" w:ascii="方正楷体_GBK" w:eastAsia="方正楷体_GBK"/>
          <w:sz w:val="24"/>
        </w:rPr>
        <w:t>备注：表中的年度预算数为项目支出，部门工作活动虽未安排项目支出，但由基本支出保障，由于基本支出无法拆分到相应的工作活动，因此部分工作活动没有列示年度预算数。</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Bdr>
        <w:bottom w:val="none" w:color="auto" w:sz="0" w:space="0"/>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ocumentProtection w:enforcement="0"/>
  <w:defaultTabStop w:val="420"/>
  <w:drawingGridHorizontalSpacing w:val="105"/>
  <w:drawingGridVerticalSpacing w:val="156"/>
  <w:noPunctuationKerning w:val="1"/>
  <w:characterSpacingControl w:val="compressPunctuation"/>
  <w:footnotePr>
    <w:footnote w:id="2"/>
    <w:footnote w:id="3"/>
  </w:foot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C77F3"/>
    <w:rsid w:val="00031E6D"/>
    <w:rsid w:val="00655B51"/>
    <w:rsid w:val="007C77F3"/>
    <w:rsid w:val="00CB42B0"/>
    <w:rsid w:val="00FF310A"/>
    <w:rsid w:val="08FF7621"/>
    <w:rsid w:val="1479727D"/>
    <w:rsid w:val="3D016073"/>
    <w:rsid w:val="5BC54011"/>
    <w:rsid w:val="5E164A0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qFormat="1"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qFormat="1"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uiPriority w:val="0"/>
    <w:pPr>
      <w:widowControl w:val="0"/>
      <w:jc w:val="both"/>
    </w:pPr>
    <w:rPr>
      <w:rFonts w:ascii="Calibri" w:hAnsi="Calibri" w:eastAsia="宋体" w:cs="黑体"/>
      <w:kern w:val="2"/>
      <w:sz w:val="21"/>
      <w:szCs w:val="22"/>
      <w:lang w:val="en-US" w:eastAsia="zh-CN" w:bidi="ar-SA"/>
    </w:rPr>
  </w:style>
  <w:style w:type="character" w:default="1" w:styleId="8">
    <w:name w:val="Default Paragraph Font"/>
    <w:semiHidden/>
    <w:unhideWhenUsed/>
    <w:uiPriority w:val="1"/>
  </w:style>
  <w:style w:type="table" w:default="1" w:styleId="7">
    <w:name w:val="Normal Table"/>
    <w:semiHidden/>
    <w:unhideWhenUsed/>
    <w:uiPriority w:val="99"/>
    <w:tblPr>
      <w:tblCellMar>
        <w:top w:w="0" w:type="dxa"/>
        <w:left w:w="108" w:type="dxa"/>
        <w:bottom w:w="0" w:type="dxa"/>
        <w:right w:w="108" w:type="dxa"/>
      </w:tblCellMar>
    </w:tblPr>
  </w:style>
  <w:style w:type="paragraph" w:styleId="2">
    <w:name w:val="footer"/>
    <w:basedOn w:val="1"/>
    <w:link w:val="10"/>
    <w:uiPriority w:val="0"/>
    <w:pPr>
      <w:tabs>
        <w:tab w:val="center" w:pos="4153"/>
        <w:tab w:val="right" w:pos="8306"/>
      </w:tabs>
      <w:snapToGrid w:val="0"/>
      <w:jc w:val="left"/>
    </w:pPr>
    <w:rPr>
      <w:rFonts w:ascii="Times New Roman" w:hAnsi="Times New Roman" w:cs="Times New Roman"/>
      <w:sz w:val="18"/>
      <w:szCs w:val="18"/>
    </w:rPr>
  </w:style>
  <w:style w:type="paragraph" w:styleId="3">
    <w:name w:val="header"/>
    <w:basedOn w:val="1"/>
    <w:link w:val="11"/>
    <w:qFormat/>
    <w:uiPriority w:val="0"/>
    <w:pPr>
      <w:pBdr>
        <w:bottom w:val="single" w:color="auto" w:sz="6" w:space="1"/>
      </w:pBdr>
      <w:tabs>
        <w:tab w:val="center" w:pos="4153"/>
        <w:tab w:val="right" w:pos="8306"/>
      </w:tabs>
      <w:snapToGrid w:val="0"/>
      <w:jc w:val="center"/>
    </w:pPr>
    <w:rPr>
      <w:rFonts w:ascii="Times New Roman" w:hAnsi="Times New Roman" w:cs="Times New Roman"/>
      <w:sz w:val="18"/>
      <w:szCs w:val="18"/>
    </w:rPr>
  </w:style>
  <w:style w:type="paragraph" w:styleId="4">
    <w:name w:val="toc 1"/>
    <w:basedOn w:val="1"/>
    <w:next w:val="1"/>
    <w:uiPriority w:val="0"/>
    <w:rPr>
      <w:rFonts w:ascii="Times New Roman" w:hAnsi="Times New Roman" w:cs="Times New Roman"/>
      <w:szCs w:val="24"/>
    </w:rPr>
  </w:style>
  <w:style w:type="paragraph" w:styleId="5">
    <w:name w:val="footnote text"/>
    <w:basedOn w:val="1"/>
    <w:uiPriority w:val="0"/>
    <w:pPr>
      <w:snapToGrid w:val="0"/>
      <w:jc w:val="left"/>
    </w:pPr>
    <w:rPr>
      <w:sz w:val="18"/>
      <w:szCs w:val="18"/>
    </w:rPr>
  </w:style>
  <w:style w:type="paragraph" w:styleId="6">
    <w:name w:val="toc 2"/>
    <w:basedOn w:val="1"/>
    <w:next w:val="1"/>
    <w:qFormat/>
    <w:uiPriority w:val="0"/>
    <w:pPr>
      <w:ind w:left="420" w:leftChars="200"/>
    </w:pPr>
    <w:rPr>
      <w:rFonts w:ascii="Times New Roman" w:hAnsi="Times New Roman" w:cs="Times New Roman"/>
      <w:szCs w:val="24"/>
    </w:rPr>
  </w:style>
  <w:style w:type="character" w:styleId="9">
    <w:name w:val="footnote reference"/>
    <w:qFormat/>
    <w:uiPriority w:val="0"/>
    <w:rPr>
      <w:vertAlign w:val="superscript"/>
    </w:rPr>
  </w:style>
  <w:style w:type="character" w:customStyle="1" w:styleId="10">
    <w:name w:val="页脚 Char"/>
    <w:link w:val="2"/>
    <w:semiHidden/>
    <w:qFormat/>
    <w:uiPriority w:val="0"/>
    <w:rPr>
      <w:rFonts w:ascii="Times New Roman" w:hAnsi="Times New Roman" w:eastAsia="宋体" w:cs="Times New Roman"/>
      <w:sz w:val="18"/>
      <w:szCs w:val="18"/>
    </w:rPr>
  </w:style>
  <w:style w:type="character" w:customStyle="1" w:styleId="11">
    <w:name w:val="页眉 Char"/>
    <w:link w:val="3"/>
    <w:semiHidden/>
    <w:qFormat/>
    <w:uiPriority w:val="0"/>
    <w:rPr>
      <w:rFonts w:ascii="Times New Roman" w:hAnsi="Times New Roman" w:eastAsia="宋体" w:cs="Times New Roman"/>
      <w:sz w:val="18"/>
      <w:szCs w:val="18"/>
    </w:rPr>
  </w:style>
  <w:style w:type="paragraph" w:customStyle="1" w:styleId="12">
    <w:name w:val="Char"/>
    <w:basedOn w:val="1"/>
    <w:uiPriority w:val="0"/>
    <w:rPr>
      <w:rFonts w:ascii="Times New Roman" w:hAnsi="Times New Roman" w:cs="Times New Roman"/>
      <w:szCs w:val="24"/>
    </w:rPr>
  </w:style>
  <w:style w:type="character" w:customStyle="1" w:styleId="13">
    <w:name w:val="页码1"/>
    <w:qFormat/>
    <w:uiPriority w:val="0"/>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theme" Target="theme/theme1.xml"/><Relationship Id="rId7" Type="http://schemas.openxmlformats.org/officeDocument/2006/relationships/footer" Target="footer1.xml"/><Relationship Id="rId6" Type="http://schemas.openxmlformats.org/officeDocument/2006/relationships/header" Target="header3.xml"/><Relationship Id="rId5" Type="http://schemas.openxmlformats.org/officeDocument/2006/relationships/header" Target="header2.xml"/><Relationship Id="rId4" Type="http://schemas.openxmlformats.org/officeDocument/2006/relationships/header" Target="header1.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Company>Microsoft</Company>
  <Pages>18</Pages>
  <Words>1279</Words>
  <Characters>7296</Characters>
  <Lines>60</Lines>
  <Paragraphs>17</Paragraphs>
  <TotalTime>31</TotalTime>
  <ScaleCrop>false</ScaleCrop>
  <LinksUpToDate>false</LinksUpToDate>
  <CharactersWithSpaces>8558</CharactersWithSpaces>
  <Application>WPS Office_11.8.2.11813_F1E327BC-269C-435d-A152-05C5408002CA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2017-01-24T01:29:00Z</dcterms:created>
  <dc:creator>guest</dc:creator>
  <cp:lastModifiedBy>Administrator</cp:lastModifiedBy>
  <cp:lastPrinted>2020-01-10T23:53:00Z</cp:lastPrinted>
  <dcterms:modified xsi:type="dcterms:W3CDTF">2024-04-10T05:54:56Z</dcterms:modified>
  <dc:title>Administrator</dc:title>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1977B488ACDF41D483ECA1D1EFAC2E6F</vt:lpwstr>
  </property>
</Properties>
</file>