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2" w:name="_GoBack"/>
      <w:bookmarkEnd w:id="2"/>
    </w:p>
    <w:p>
      <w:pPr>
        <w:jc w:val="center"/>
        <w:rPr>
          <w:rFonts w:ascii="宋体" w:hAnsi="宋体" w:cs="宋体"/>
          <w:b/>
          <w:bCs/>
          <w:sz w:val="44"/>
          <w:szCs w:val="44"/>
        </w:rPr>
      </w:pPr>
      <w:r>
        <w:rPr>
          <w:rFonts w:hint="eastAsia" w:ascii="宋体" w:hAnsi="宋体" w:cs="宋体"/>
          <w:b/>
          <w:bCs/>
          <w:sz w:val="44"/>
          <w:szCs w:val="44"/>
        </w:rPr>
        <w:t>无极县人力资源和社会保障局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、《地方预决算公开操作规程》和《河北省省级预算公开办法》规定，现将无极县人力资源和社会保障局2019年部门预算公开如下：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1、拟订全县人力资源和社会保障事业发展规划、政策，起草人力资源和社会保障地方规章草案。负责全县人力资源和社会保障的宣传和舆情研究。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2、拟订人力资源市场发展规划和人力资源流动政策，建立统一规范的人力资源市场，促进人力资源合理流动、有效配置，拟订机构改革人员定岗和分流政策。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4、贯彻落实机关企事业单位人员工资收入分配政策，建立全县机关企事业单位人员工资正常增长和支付保障机制，负责全县机关、事业单位人员福利和离退休工作，并负责监督检查。</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5、会同有关部门起草公务员分类、录用、考核、奖惩、任用、培训、辞退等方面的地方性法规和规章草案，贯彻事业单位工作人员参照公务员法管理办法并组织实施，负责聘任制公务员管理工作。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6、完善公务员考核制度，拟订全县公务员行为规范、职业道德建设和能力建设政策；负责公务员职位分类标准的贯彻落实及拟定相关管理办法；依法对公务员实施监督；负责公务员信息统计管理工作。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7、负责公务员考试录用计划申报工作，编制全县公务员培训计划。拟订公务员培训和在职教育政策、规划、计划和标准，监督指导机关公务员培训工作。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8、完善公务员申诉控告制度和聘任制公务员人事争议仲裁制度，保障公务员合法权益。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9、负责公务员综合管理，拟订人员调配政策和特殊人员安置政策。　　</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10、会同有关部门拟定军队转业干部安置计划和分配办法；负责军队转业干部培训；负责企业军队转业干部解困和维稳方面的工作，负责自主择业军队转业干部的管理服务。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12、负责就业、失业、社会保险基金预测预警和信息引导，拟订应对预案，实施预防、调节和控制，保持就业形势稳定和社会保险基金总体收支平衡。</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13、会同有关部门拟订农民工工作综合政策和规划，推动农民工相关政策的落实，协调解决重点难点问题，维护农民工合法权益。</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15、负责全县社保基金监督管理工作，完善基金监督管理制度，加强社保基金权力运行监控机制建设，确保基金安全平稳运行；加强财务统筹管理，严格财经制度，确保做到专款专用，收支两条线。</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16、 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17、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18、承办县政府交办的其他事项。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5"/>
        <w:tblW w:w="142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0"/>
        <w:gridCol w:w="1135"/>
        <w:gridCol w:w="1277"/>
        <w:gridCol w:w="2355"/>
        <w:gridCol w:w="710"/>
        <w:gridCol w:w="711"/>
        <w:gridCol w:w="710"/>
        <w:gridCol w:w="710"/>
        <w:gridCol w:w="710"/>
        <w:gridCol w:w="710"/>
        <w:gridCol w:w="710"/>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1001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4260"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383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1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2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20"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30"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tblHeader/>
          <w:jc w:val="center"/>
        </w:trPr>
        <w:tc>
          <w:tcPr>
            <w:tcW w:w="3830" w:type="dxa"/>
            <w:vMerge w:val="continue"/>
            <w:shd w:val="clear" w:color="auto" w:fill="auto"/>
            <w:vAlign w:val="center"/>
          </w:tcPr>
          <w:p>
            <w:pPr>
              <w:spacing w:line="300" w:lineRule="exact"/>
              <w:jc w:val="left"/>
              <w:outlineLvl w:val="0"/>
            </w:pPr>
          </w:p>
        </w:tc>
        <w:tc>
          <w:tcPr>
            <w:tcW w:w="1135" w:type="dxa"/>
            <w:vMerge w:val="continue"/>
            <w:shd w:val="clear" w:color="auto" w:fill="auto"/>
            <w:vAlign w:val="center"/>
          </w:tcPr>
          <w:p>
            <w:pPr>
              <w:spacing w:line="300" w:lineRule="exact"/>
              <w:jc w:val="left"/>
              <w:outlineLvl w:val="0"/>
            </w:pPr>
          </w:p>
        </w:tc>
        <w:tc>
          <w:tcPr>
            <w:tcW w:w="1277" w:type="dxa"/>
            <w:vMerge w:val="continue"/>
            <w:shd w:val="clear" w:color="auto" w:fill="auto"/>
            <w:vAlign w:val="center"/>
          </w:tcPr>
          <w:p>
            <w:pPr>
              <w:spacing w:line="300" w:lineRule="exact"/>
              <w:jc w:val="left"/>
              <w:outlineLvl w:val="0"/>
            </w:pPr>
          </w:p>
        </w:tc>
        <w:tc>
          <w:tcPr>
            <w:tcW w:w="2355" w:type="dxa"/>
            <w:vMerge w:val="continue"/>
            <w:shd w:val="clear" w:color="auto" w:fill="auto"/>
            <w:vAlign w:val="center"/>
          </w:tcPr>
          <w:p>
            <w:pPr>
              <w:spacing w:line="300" w:lineRule="exact"/>
              <w:jc w:val="left"/>
              <w:outlineLvl w:val="0"/>
            </w:pPr>
          </w:p>
        </w:tc>
        <w:tc>
          <w:tcPr>
            <w:tcW w:w="710" w:type="dxa"/>
            <w:vMerge w:val="continue"/>
            <w:shd w:val="clear" w:color="auto" w:fill="auto"/>
            <w:vAlign w:val="center"/>
          </w:tcPr>
          <w:p>
            <w:pPr>
              <w:spacing w:line="300" w:lineRule="exact"/>
              <w:jc w:val="left"/>
              <w:outlineLvl w:val="0"/>
            </w:pPr>
          </w:p>
        </w:tc>
        <w:tc>
          <w:tcPr>
            <w:tcW w:w="7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5" w:type="dxa"/>
            <w:shd w:val="clear" w:color="auto" w:fill="auto"/>
            <w:vAlign w:val="center"/>
          </w:tcPr>
          <w:p>
            <w:pPr>
              <w:spacing w:line="300" w:lineRule="exact"/>
              <w:jc w:val="center"/>
              <w:rPr>
                <w:rFonts w:ascii="方正书宋_GBK" w:eastAsia="方正书宋_GBK"/>
                <w:b/>
              </w:rPr>
            </w:pPr>
          </w:p>
        </w:tc>
        <w:tc>
          <w:tcPr>
            <w:tcW w:w="1277" w:type="dxa"/>
            <w:shd w:val="clear" w:color="auto" w:fill="auto"/>
            <w:vAlign w:val="center"/>
          </w:tcPr>
          <w:p>
            <w:pPr>
              <w:spacing w:line="300" w:lineRule="exact"/>
              <w:jc w:val="center"/>
              <w:rPr>
                <w:rFonts w:ascii="方正书宋_GBK" w:eastAsia="方正书宋_GBK"/>
                <w:b/>
              </w:rPr>
            </w:pPr>
          </w:p>
        </w:tc>
        <w:tc>
          <w:tcPr>
            <w:tcW w:w="2355"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8</w:t>
            </w:r>
          </w:p>
        </w:tc>
        <w:tc>
          <w:tcPr>
            <w:tcW w:w="711"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ascii="方正书宋_GBK" w:eastAsia="方正书宋_GBK"/>
                <w:b/>
              </w:rPr>
              <w:t>63</w:t>
            </w: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40</w:t>
            </w:r>
          </w:p>
        </w:tc>
        <w:tc>
          <w:tcPr>
            <w:tcW w:w="710"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r>
              <w:rPr>
                <w:rFonts w:hint="eastAsia" w:ascii="方正书宋_GBK" w:eastAsia="方正书宋_GBK"/>
                <w:b/>
              </w:rPr>
              <w:t>31</w:t>
            </w:r>
          </w:p>
        </w:tc>
        <w:tc>
          <w:tcPr>
            <w:tcW w:w="710" w:type="dxa"/>
            <w:shd w:val="clear" w:color="auto" w:fill="auto"/>
            <w:vAlign w:val="center"/>
          </w:tcPr>
          <w:p>
            <w:pPr>
              <w:spacing w:line="300" w:lineRule="exact"/>
              <w:jc w:val="center"/>
              <w:rPr>
                <w:rFonts w:ascii="方正书宋_GBK" w:eastAsia="方正书宋_GBK"/>
                <w:b/>
              </w:rPr>
            </w:pPr>
          </w:p>
        </w:tc>
        <w:tc>
          <w:tcPr>
            <w:tcW w:w="7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22</w:t>
            </w:r>
          </w:p>
        </w:tc>
        <w:tc>
          <w:tcPr>
            <w:tcW w:w="710"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无极县人力资源和社会保障局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40</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无极县社会保险局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63</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131</w:t>
            </w: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无极县就业服务局</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副科级</w:t>
            </w:r>
          </w:p>
        </w:tc>
        <w:tc>
          <w:tcPr>
            <w:tcW w:w="23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1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38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河北省无极县劳动技工学校</w:t>
            </w:r>
          </w:p>
        </w:tc>
        <w:tc>
          <w:tcPr>
            <w:tcW w:w="11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5"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1"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c>
          <w:tcPr>
            <w:tcW w:w="710" w:type="dxa"/>
            <w:shd w:val="clear" w:color="auto" w:fill="auto"/>
            <w:vAlign w:val="center"/>
          </w:tcPr>
          <w:p>
            <w:pPr>
              <w:spacing w:line="300" w:lineRule="exact"/>
              <w:jc w:val="center"/>
              <w:rPr>
                <w:rFonts w:ascii="方正书宋_GBK" w:eastAsia="方正书宋_GBK"/>
              </w:rPr>
            </w:pP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10"/>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426"/>
        <w:jc w:val="left"/>
        <w:rPr>
          <w:rFonts w:ascii="仿宋_GB2312" w:eastAsia="仿宋_GB2312" w:cs="仿宋_GB2312"/>
          <w:bCs/>
          <w:sz w:val="32"/>
          <w:szCs w:val="32"/>
        </w:rPr>
      </w:pPr>
      <w:r>
        <w:rPr>
          <w:rFonts w:hint="eastAsia" w:ascii="仿宋_GB2312" w:eastAsia="仿宋_GB2312" w:cs="仿宋_GB2312"/>
          <w:bCs/>
          <w:sz w:val="32"/>
          <w:szCs w:val="32"/>
        </w:rPr>
        <w:t xml:space="preserve">    无极县人力资源和社会保障局2019年预算收入总计37152.32万元。其中，一般公共预算收入37152.32万元、政府性基金收入0万元、财政专户核拨收入0万元，其他来源收入0元。</w:t>
      </w:r>
    </w:p>
    <w:p>
      <w:pPr>
        <w:pStyle w:val="10"/>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284"/>
        <w:jc w:val="left"/>
        <w:rPr>
          <w:rFonts w:ascii="仿宋_GB2312" w:eastAsia="仿宋_GB2312" w:cs="仿宋_GB2312"/>
          <w:bCs/>
          <w:sz w:val="32"/>
          <w:szCs w:val="32"/>
        </w:rPr>
      </w:pPr>
      <w:r>
        <w:rPr>
          <w:rFonts w:hint="eastAsia" w:ascii="仿宋_GB2312" w:eastAsia="仿宋_GB2312" w:cs="仿宋_GB2312"/>
          <w:bCs/>
          <w:sz w:val="32"/>
          <w:szCs w:val="32"/>
        </w:rPr>
        <w:t xml:space="preserve">    2019年预算支出37152.32万万元。其中，人员经费支出1417.54万元，正常公用经费89.74万元，项目支出35645.04万元。</w:t>
      </w:r>
    </w:p>
    <w:p>
      <w:pPr>
        <w:pStyle w:val="10"/>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left="284"/>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2019年部门预算较2018年增加33305.37万元，其中：基本支出增加342.04万元，主要是人员流动和部分基本支出增加；项目支出增加32963.33万元，主要是由于社保基金列入直接列支，未在本部门反应。</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2019年机关运行经费共计安排89.74万元，主要用于我部门日常办公，办公区水电费、日常维修，办公用房取暖费，办公用房物业管理费等日常运行支出。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2019年本部门安排“三公”经费6.08万元，与上年一致，无增减变化。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2、公务用车购置和运行维护费 6万元，与上年相比一致。其中：公务用车购置0万元，与上年一致</w:t>
      </w:r>
      <w:r>
        <w:rPr>
          <w:rFonts w:hint="eastAsia" w:ascii="仿宋" w:hAnsi="仿宋" w:eastAsia="仿宋"/>
          <w:sz w:val="32"/>
          <w:szCs w:val="32"/>
        </w:rPr>
        <w:t>,</w:t>
      </w:r>
      <w:r>
        <w:rPr>
          <w:rFonts w:hint="eastAsia" w:ascii="仿宋_GB2312" w:hAnsi="仿宋" w:eastAsia="仿宋_GB2312"/>
          <w:sz w:val="32"/>
          <w:szCs w:val="32"/>
        </w:rPr>
        <w:t>无增减变化；公务用车运行维护费6万元，与上年相比一致。</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3、公务接待费0.08万元，与上年相比一致。</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eastAsia="仿宋_GB2312"/>
          <w:sz w:val="32"/>
        </w:rPr>
      </w:pPr>
      <w:bookmarkStart w:id="0" w:name="_Toc478550863"/>
      <w:r>
        <w:rPr>
          <w:rFonts w:hint="eastAsia" w:ascii="仿宋_GB2312" w:eastAsia="仿宋_GB2312"/>
          <w:b/>
          <w:sz w:val="32"/>
        </w:rPr>
        <w:t>1、进一步做好创业就业工作。</w:t>
      </w:r>
      <w:r>
        <w:rPr>
          <w:rFonts w:hint="eastAsia" w:ascii="仿宋_GB2312" w:eastAsia="仿宋_GB2312"/>
          <w:sz w:val="32"/>
        </w:rPr>
        <w:t>一是城镇登记失业率控制在2%以内。二是开展“春风行动”、“民营企业招聘周”等公共就业服务专项活动。三是筹备建设县级创业孵化基地，搭建创业平台，对孵化基地内的创业企业按政策落实房租、物业、水电费补贴。四是积极开展农村劳动力创业培训，提高受训人员的创业率，把课堂搬到农村，对有创业愿望的城乡劳动者进行免费培训，力争创业培训达到400人以上。五是抓好以高校毕业生为重点的青年就业，积极推进青年创业引领计划和离校未就业高校毕业生就业促进计划的实施。</w:t>
      </w:r>
    </w:p>
    <w:p>
      <w:pPr>
        <w:ind w:firstLine="560"/>
        <w:rPr>
          <w:rFonts w:ascii="仿宋_GB2312" w:eastAsia="仿宋_GB2312"/>
          <w:sz w:val="32"/>
        </w:rPr>
      </w:pPr>
      <w:r>
        <w:rPr>
          <w:rFonts w:hint="eastAsia" w:ascii="仿宋_GB2312" w:eastAsia="仿宋_GB2312"/>
          <w:b/>
          <w:sz w:val="32"/>
        </w:rPr>
        <w:t>2、进一步扩大社会保险覆盖面。</w:t>
      </w:r>
      <w:r>
        <w:rPr>
          <w:rFonts w:hint="eastAsia" w:ascii="仿宋_GB2312" w:eastAsia="仿宋_GB2312"/>
          <w:sz w:val="32"/>
        </w:rPr>
        <w:t>一是全面启动机关事业单位养老保险制度并正式运行。二是积极做好建筑业工伤保险按项目参保工作，切实保障建筑工人，特别是零、散、短时间在该项目工作的建筑工人合法权益。三是做好工伤保险扩面工作，继续开展工伤保险知识培训，不断强化工伤预防及政策知识宣传，增强企业工伤防范意识以及职工参保维权意识。四是按时足额发放企事业单位离退休人员养老金，及时支付工伤、生育等社会保险待遇。五是形成推进扩面征缴的强大合力，社保征缴与劳动保障监察联合办公，多层次、大范围进行政策宣传、业务稽核，提高企业负责人参保意识，有力推进扩面征缴工作。六是加大社会保障卡的发放和应用。</w:t>
      </w:r>
    </w:p>
    <w:p>
      <w:pPr>
        <w:ind w:firstLine="560"/>
        <w:rPr>
          <w:rFonts w:ascii="仿宋_GB2312" w:eastAsia="仿宋_GB2312"/>
          <w:sz w:val="32"/>
        </w:rPr>
      </w:pPr>
      <w:r>
        <w:rPr>
          <w:rFonts w:hint="eastAsia" w:ascii="仿宋_GB2312" w:eastAsia="仿宋_GB2312"/>
          <w:b/>
          <w:sz w:val="32"/>
        </w:rPr>
        <w:t>3、培育实用型技能人才</w:t>
      </w:r>
      <w:r>
        <w:rPr>
          <w:rFonts w:hint="eastAsia" w:ascii="仿宋_GB2312" w:eastAsia="仿宋_GB2312"/>
          <w:sz w:val="32"/>
        </w:rPr>
        <w:t>。一是针对普遍存在的专业技能人才缺乏，而一般高校毕业生又因无专业技能不能实现就业的现象，以及国家对职业技能教育政策的调整，对专业技能人才培养的重视，特别是国家终身职业技能培训制度的建立和企业新型学徒制培训模式的实施，我们要主动应对，壮大师资力量，灵活办学手段，扩大办学规模，拓展专技种类，为社会培养更多、更全面的有用人才。二是技校与省电建联合办学、面向企业定向培训，实现入学等于就业。三是根据市场需求，采取培训机构与用人单位联合办班，开展订单、定向、定岗培训，有效的提高培训就业率。</w:t>
      </w:r>
    </w:p>
    <w:p>
      <w:pPr>
        <w:ind w:firstLine="560"/>
        <w:rPr>
          <w:rFonts w:ascii="仿宋_GB2312" w:eastAsia="仿宋_GB2312"/>
          <w:sz w:val="32"/>
        </w:rPr>
      </w:pPr>
      <w:r>
        <w:rPr>
          <w:rFonts w:hint="eastAsia" w:ascii="仿宋_GB2312" w:eastAsia="仿宋_GB2312"/>
          <w:b/>
          <w:sz w:val="32"/>
        </w:rPr>
        <w:t>4、维护劳动者权益。</w:t>
      </w:r>
      <w:r>
        <w:rPr>
          <w:rFonts w:hint="eastAsia" w:ascii="仿宋_GB2312" w:eastAsia="仿宋_GB2312"/>
          <w:sz w:val="32"/>
        </w:rPr>
        <w:t>坚持以维护劳动者合法权益为宗旨,以查处各类违反劳动法案件为突破口,努力营造和谐用工环境。一是开展针对拖欠农民工工资的专项监察活动，切实维护农民工的合法利益。二是协助住建部门抓好预储金制度的建立，保障建筑业工人劳动报酬的支付。三是积极开展对用工单位的巡查工作。四是优化劳动人事争议仲裁效率，规范办案手续，提高办案质量，做到快立、快审、快结。五是以劳动用工备案为抓手，进一步落实劳动合同制度，规范企业用工行为，为劳资双方依法维护自身权益打下基础。</w:t>
      </w:r>
    </w:p>
    <w:p>
      <w:pPr>
        <w:ind w:firstLine="560"/>
        <w:rPr>
          <w:rFonts w:ascii="仿宋_GB2312" w:eastAsia="仿宋_GB2312"/>
          <w:sz w:val="32"/>
        </w:rPr>
      </w:pPr>
      <w:r>
        <w:rPr>
          <w:rFonts w:hint="eastAsia" w:ascii="仿宋_GB2312" w:eastAsia="仿宋_GB2312"/>
          <w:b/>
          <w:sz w:val="32"/>
        </w:rPr>
        <w:t>5、提升人事管理质量。</w:t>
      </w:r>
      <w:r>
        <w:rPr>
          <w:rFonts w:hint="eastAsia" w:ascii="仿宋_GB2312" w:eastAsia="仿宋_GB2312"/>
          <w:sz w:val="32"/>
        </w:rPr>
        <w:t xml:space="preserve">一是实现公务员职务职级并行管理日常化，处理好另册管理人员的待遇问题。二是做好毕业生档案接收和人事代理，协助用人单位做好人才引进工作。三是稳妥做好2017年度公务员和事业单位公开招录工作。四是完成全县专业技术人员包括非公企业单位专业技术人员的职称信息系统信息录入、审核工作。      </w:t>
      </w:r>
    </w:p>
    <w:p>
      <w:pPr>
        <w:ind w:firstLine="645"/>
        <w:rPr>
          <w:rFonts w:ascii="楷体" w:hAnsi="楷体" w:eastAsia="楷体"/>
          <w:sz w:val="36"/>
          <w:szCs w:val="32"/>
        </w:rPr>
      </w:pPr>
      <w:r>
        <w:rPr>
          <w:rFonts w:hint="eastAsia" w:ascii="仿宋_GB2312" w:eastAsia="仿宋_GB2312"/>
          <w:b/>
          <w:sz w:val="32"/>
        </w:rPr>
        <w:t>6、加强自身建设</w:t>
      </w:r>
      <w:r>
        <w:rPr>
          <w:rFonts w:hint="eastAsia" w:ascii="仿宋_GB2312" w:eastAsia="仿宋_GB2312"/>
          <w:sz w:val="32"/>
        </w:rPr>
        <w:t>。一是着力推进“五型机关”建设，强化宗旨意识，真抓实干，切实提高机关效能和决策水平。二是加强基层人力资源和社会保障平台建设，细化标准、充实功能，为群众提高更加优质便捷的公共服务。三是强化经办机构建设，抓好经办人员培训，不断提高业务经办人员的能力、水平和素质，促进经办机构服务水平提质升级。</w:t>
      </w:r>
      <w:bookmarkEnd w:id="0"/>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eastAsia="仿宋_GB2312"/>
          <w:sz w:val="32"/>
          <w:szCs w:val="32"/>
        </w:rPr>
      </w:pPr>
      <w:r>
        <w:rPr>
          <w:rFonts w:hint="eastAsia" w:ascii="仿宋_GB2312" w:eastAsia="仿宋_GB2312"/>
          <w:sz w:val="32"/>
          <w:szCs w:val="32"/>
        </w:rPr>
        <w:t>全面贯彻党的十八大和十八届三中、四中、五中全会精神，深入学习贯彻习近平总书记系列</w:t>
      </w:r>
      <w:r>
        <w:rPr>
          <w:rFonts w:hint="eastAsia" w:ascii="仿宋_GB2312" w:eastAsia="仿宋_GB2312"/>
          <w:sz w:val="32"/>
          <w:szCs w:val="32"/>
          <w:lang w:val="en-US" w:eastAsia="zh-CN"/>
        </w:rPr>
        <w:t>重要</w:t>
      </w:r>
      <w:r>
        <w:rPr>
          <w:rFonts w:hint="eastAsia" w:ascii="仿宋_GB2312" w:eastAsia="仿宋_GB2312"/>
          <w:sz w:val="32"/>
          <w:szCs w:val="32"/>
        </w:rPr>
        <w:t xml:space="preserve">讲话精神，紧紧围绕县委县政府和省市人力资源和社会保障工作会议部署，以“五大发展理念”为引领，全面深化人社领域改革，加快体制机制创新，继续实施就业优先战略和人才强县战略，完善城乡统一的社会保障体系，深化人事制度和收入分配制度改革，构建和谐劳动关系，积极服务协同发展，促改革、补短板、兜底线、防风险，实现人力资源和社会保障工作新跨越。 </w:t>
      </w:r>
    </w:p>
    <w:p>
      <w:pPr>
        <w:ind w:firstLine="560"/>
        <w:rPr>
          <w:rFonts w:ascii="仿宋" w:hAnsi="仿宋" w:eastAsia="仿宋"/>
          <w:b/>
          <w:sz w:val="32"/>
          <w:szCs w:val="32"/>
        </w:rPr>
      </w:pPr>
      <w:r>
        <w:rPr>
          <w:rFonts w:hint="eastAsia" w:ascii="仿宋" w:hAnsi="仿宋" w:eastAsia="仿宋"/>
          <w:b/>
          <w:sz w:val="32"/>
          <w:szCs w:val="32"/>
        </w:rPr>
        <w:t>1、进一步完善覆盖城乡的社会保障体系</w:t>
      </w:r>
    </w:p>
    <w:p>
      <w:pPr>
        <w:ind w:firstLine="560"/>
        <w:rPr>
          <w:rFonts w:ascii="仿宋_GB2312" w:eastAsia="仿宋_GB2312"/>
          <w:sz w:val="32"/>
          <w:szCs w:val="32"/>
        </w:rPr>
      </w:pPr>
      <w:r>
        <w:rPr>
          <w:rFonts w:hint="eastAsia" w:ascii="仿宋_GB2312" w:eastAsia="仿宋_GB2312"/>
          <w:sz w:val="32"/>
          <w:szCs w:val="32"/>
        </w:rPr>
        <w:t>(1)养老保险。一是进一步做好城乡居民养老保险和城镇职工基本养老保险工作，进一步扩大养老保险覆盖面；二是完成机关事业单位基本养老保险制度改革，同时建立职业年金制度，逐步实行社会化管理服务。</w:t>
      </w:r>
    </w:p>
    <w:p>
      <w:pPr>
        <w:ind w:firstLine="560"/>
        <w:rPr>
          <w:rFonts w:ascii="仿宋_GB2312" w:eastAsia="仿宋_GB2312"/>
          <w:sz w:val="32"/>
          <w:szCs w:val="32"/>
        </w:rPr>
      </w:pPr>
      <w:r>
        <w:rPr>
          <w:rFonts w:hint="eastAsia" w:ascii="仿宋_GB2312" w:eastAsia="仿宋_GB2312"/>
          <w:sz w:val="32"/>
          <w:szCs w:val="32"/>
        </w:rPr>
        <w:t>(2)医疗保险。全县城镇居民医疗保险参保率逐步达到100%。积极推进农民工、城镇非公有制经济组织从业人员和灵活就业人员参加城镇职工基本医疗保险。</w:t>
      </w:r>
    </w:p>
    <w:p>
      <w:pPr>
        <w:ind w:firstLine="560"/>
        <w:rPr>
          <w:rFonts w:ascii="仿宋_GB2312" w:eastAsia="仿宋_GB2312"/>
          <w:sz w:val="32"/>
          <w:szCs w:val="32"/>
        </w:rPr>
      </w:pPr>
      <w:r>
        <w:rPr>
          <w:rFonts w:hint="eastAsia" w:ascii="仿宋_GB2312" w:eastAsia="仿宋_GB2312"/>
          <w:sz w:val="32"/>
          <w:szCs w:val="32"/>
        </w:rPr>
        <w:t>(3)失业保险。充分发挥失业保险“保障生活，促进就业和预防失业”三位一体功能。认真做好失业保险扩面工作，进一步强化基金征缴，增强基金承受能力。</w:t>
      </w:r>
    </w:p>
    <w:p>
      <w:pPr>
        <w:ind w:firstLine="560"/>
        <w:rPr>
          <w:rFonts w:ascii="仿宋_GB2312" w:eastAsia="仿宋_GB2312"/>
          <w:sz w:val="32"/>
          <w:szCs w:val="32"/>
        </w:rPr>
      </w:pPr>
      <w:r>
        <w:rPr>
          <w:rFonts w:hint="eastAsia" w:ascii="仿宋_GB2312" w:eastAsia="仿宋_GB2312"/>
          <w:sz w:val="32"/>
          <w:szCs w:val="32"/>
        </w:rPr>
        <w:t>(4)工伤保险。扩大工伤保险覆盖范围，实施“同舟计划”专项行动，实现建筑业从业人员参加工伤保险全覆盖，建立按项目参保和优先办理工伤保险的工作机制。机关事业单位人员工伤保险工作取得突破。</w:t>
      </w:r>
    </w:p>
    <w:p>
      <w:pPr>
        <w:ind w:firstLine="560"/>
        <w:rPr>
          <w:rFonts w:ascii="仿宋_GB2312" w:eastAsia="仿宋_GB2312"/>
          <w:sz w:val="32"/>
          <w:szCs w:val="32"/>
        </w:rPr>
      </w:pPr>
      <w:r>
        <w:rPr>
          <w:rFonts w:hint="eastAsia" w:ascii="仿宋_GB2312" w:eastAsia="仿宋_GB2312"/>
          <w:sz w:val="32"/>
          <w:szCs w:val="32"/>
        </w:rPr>
        <w:t>(5)生育保险。加强生育保险政策宣传，促使全县各类用人单位参加生育保险，增加生育保险待遇支出项目，提高生育保险保障水平。</w:t>
      </w:r>
    </w:p>
    <w:p>
      <w:pPr>
        <w:ind w:firstLine="560"/>
        <w:rPr>
          <w:rFonts w:ascii="仿宋_GB2312" w:eastAsia="仿宋_GB2312"/>
          <w:sz w:val="32"/>
          <w:szCs w:val="32"/>
        </w:rPr>
      </w:pPr>
      <w:r>
        <w:rPr>
          <w:rFonts w:hint="eastAsia" w:ascii="仿宋_GB2312" w:eastAsia="仿宋_GB2312"/>
          <w:sz w:val="32"/>
          <w:szCs w:val="32"/>
        </w:rPr>
        <w:t>(6)社保卡。积极推进社会保障卡人社业务应用，实现社会保障卡人手一卡，并逐步实现养老、医疗、工伤、失业、生育等社会保险缴费和待遇领取；就业失业登记、就业补贴资金领取；离校未就业高校毕业生登记、档案管理和人才服务；劳动保障监察投诉举报、劳动人事争议调解仲裁、重点行业农民工工资领取等9大类107项人社业务全覆盖，社会保障“一卡通”。</w:t>
      </w:r>
    </w:p>
    <w:p>
      <w:pPr>
        <w:ind w:firstLine="560"/>
        <w:rPr>
          <w:rFonts w:ascii="仿宋_GB2312" w:eastAsia="仿宋_GB2312"/>
          <w:b/>
          <w:sz w:val="32"/>
          <w:szCs w:val="32"/>
        </w:rPr>
      </w:pPr>
      <w:r>
        <w:rPr>
          <w:rFonts w:hint="eastAsia" w:ascii="仿宋_GB2312" w:eastAsia="仿宋_GB2312"/>
          <w:sz w:val="32"/>
          <w:szCs w:val="32"/>
        </w:rPr>
        <w:t xml:space="preserve"> </w:t>
      </w:r>
      <w:r>
        <w:rPr>
          <w:rFonts w:hint="eastAsia" w:ascii="仿宋_GB2312" w:eastAsia="仿宋_GB2312"/>
          <w:b/>
          <w:sz w:val="32"/>
          <w:szCs w:val="32"/>
        </w:rPr>
        <w:t>2、加强人才体系建设</w:t>
      </w:r>
    </w:p>
    <w:p>
      <w:pPr>
        <w:ind w:firstLine="560"/>
        <w:rPr>
          <w:rFonts w:ascii="仿宋_GB2312" w:eastAsia="仿宋_GB2312"/>
          <w:sz w:val="32"/>
          <w:szCs w:val="32"/>
        </w:rPr>
      </w:pPr>
      <w:r>
        <w:rPr>
          <w:rFonts w:hint="eastAsia" w:ascii="仿宋_GB2312" w:eastAsia="仿宋_GB2312"/>
          <w:sz w:val="32"/>
          <w:szCs w:val="32"/>
        </w:rPr>
        <w:t>(1)大力实施“人才兴县”战略。一是在不增加财政负担的情况下，每年从高校毕业生中新招录招聘公务员和事业单位工作人员150名，吸收高学历人才，促进高校毕业生就业，为政府高效运转提供人才保证。二是紧紧围绕无极县皮革、医药化工、装备制造、装饰板材等主导产业，引进和培养适应产业化经营、企业化运作模式要求的专业人才。三是继续壮大农村实用人才队伍和农村专业技术人才队伍，为农村培养一大批急需的实用人才。</w:t>
      </w:r>
    </w:p>
    <w:p>
      <w:pPr>
        <w:ind w:firstLine="560"/>
        <w:rPr>
          <w:rFonts w:ascii="仿宋_GB2312" w:eastAsia="仿宋_GB2312"/>
          <w:sz w:val="32"/>
          <w:szCs w:val="32"/>
        </w:rPr>
      </w:pPr>
      <w:r>
        <w:rPr>
          <w:rFonts w:hint="eastAsia" w:ascii="仿宋_GB2312" w:eastAsia="仿宋_GB2312"/>
          <w:sz w:val="32"/>
          <w:szCs w:val="32"/>
        </w:rPr>
        <w:t>(2)加强职业技能培训工作。整合培训资源，大力开展订单式培训，加大农村劳动力就业创业培训力度，实现农村富余劳动力转移向复合型、技能型转变。充分发挥企业的主体作用，指导企业开展新型学徒制培训，结合生产实践实施多层次的岗位培训，开展技能竞赛、岗位练兵和技术创新活动，促进岗位成才。</w:t>
      </w:r>
    </w:p>
    <w:p>
      <w:pPr>
        <w:ind w:firstLine="560"/>
        <w:rPr>
          <w:rFonts w:ascii="仿宋_GB2312" w:eastAsia="仿宋_GB2312"/>
          <w:sz w:val="32"/>
          <w:szCs w:val="32"/>
        </w:rPr>
      </w:pPr>
      <w:r>
        <w:rPr>
          <w:rFonts w:hint="eastAsia" w:ascii="仿宋_GB2312" w:eastAsia="仿宋_GB2312"/>
          <w:sz w:val="32"/>
          <w:szCs w:val="32"/>
        </w:rPr>
        <w:t>(3)加强公务员队伍建设。强化管理，着力打造一支政治坚定、业务精湛、作风过硬的公务员队伍。建立适应不同岗位的公务员录用、考核、奖励、晋升、培训的科学管理体制。完善公务员辞职、辞退、奖惩制度。进一步提高公务员队伍的依法行政意识和依法办事的能力。</w:t>
      </w:r>
    </w:p>
    <w:p>
      <w:pPr>
        <w:ind w:firstLine="560"/>
        <w:rPr>
          <w:rFonts w:ascii="仿宋_GB2312" w:eastAsia="仿宋_GB2312"/>
          <w:sz w:val="32"/>
          <w:szCs w:val="32"/>
        </w:rPr>
      </w:pPr>
      <w:r>
        <w:rPr>
          <w:rFonts w:hint="eastAsia" w:ascii="仿宋_GB2312" w:eastAsia="仿宋_GB2312"/>
          <w:sz w:val="32"/>
          <w:szCs w:val="32"/>
        </w:rPr>
        <w:t>(4)深化事业单位改革。全面深入贯彻落实《事业单位人事管理条例》，不断推进事业单位人事制度改革。完善事业单位岗位设置管理，实现事业单位人事管理由身份管理向岗位管理转变。逐步完善聘任制事业人员的合同管理，聘用合同签订率达到100%。基本形成权责清晰、分类科学、机制灵活、监管有力，符合各类事业单位特点的新型人事管理制度。</w:t>
      </w:r>
    </w:p>
    <w:p>
      <w:pPr>
        <w:ind w:firstLine="560"/>
        <w:rPr>
          <w:rFonts w:ascii="仿宋_GB2312" w:eastAsia="仿宋_GB2312"/>
          <w:sz w:val="32"/>
          <w:szCs w:val="32"/>
        </w:rPr>
      </w:pPr>
      <w:r>
        <w:rPr>
          <w:rFonts w:hint="eastAsia" w:ascii="仿宋_GB2312" w:eastAsia="仿宋_GB2312"/>
          <w:sz w:val="32"/>
          <w:szCs w:val="32"/>
        </w:rPr>
        <w:t>(5)进一步加强军队转业干部管理。做好每年军队转业干部安置工作，并按要求做好企业军转干部解困维稳工作。</w:t>
      </w:r>
    </w:p>
    <w:p>
      <w:pPr>
        <w:ind w:firstLine="560"/>
        <w:rPr>
          <w:rFonts w:ascii="仿宋_GB2312" w:eastAsia="仿宋_GB2312"/>
          <w:b/>
          <w:sz w:val="32"/>
          <w:szCs w:val="32"/>
        </w:rPr>
      </w:pPr>
      <w:r>
        <w:rPr>
          <w:rFonts w:hint="eastAsia" w:ascii="仿宋_GB2312" w:eastAsia="仿宋_GB2312"/>
          <w:b/>
          <w:sz w:val="32"/>
          <w:szCs w:val="32"/>
        </w:rPr>
        <w:t>3、稳定就业，保障劳动关系和谐</w:t>
      </w:r>
    </w:p>
    <w:p>
      <w:pPr>
        <w:ind w:firstLine="560"/>
        <w:rPr>
          <w:rFonts w:ascii="仿宋_GB2312" w:eastAsia="仿宋_GB2312"/>
          <w:sz w:val="32"/>
          <w:szCs w:val="32"/>
        </w:rPr>
      </w:pPr>
      <w:r>
        <w:rPr>
          <w:rFonts w:hint="eastAsia" w:ascii="仿宋_GB2312" w:eastAsia="仿宋_GB2312"/>
          <w:sz w:val="32"/>
          <w:szCs w:val="32"/>
        </w:rPr>
        <w:t>(1)通过落实政策、提供就业服务、营造公平就业环境以及提供必要的托底安置，做好城镇登记失业人员、高校毕业生、复员退伍军人、城镇就业困难人员等群体就业再就业工作。城镇登记失业率控制在4%以内。</w:t>
      </w:r>
    </w:p>
    <w:p>
      <w:pPr>
        <w:ind w:firstLine="560"/>
        <w:rPr>
          <w:rFonts w:ascii="仿宋_GB2312" w:eastAsia="仿宋_GB2312"/>
          <w:sz w:val="32"/>
          <w:szCs w:val="32"/>
        </w:rPr>
      </w:pPr>
      <w:r>
        <w:rPr>
          <w:rFonts w:hint="eastAsia" w:ascii="仿宋_GB2312" w:eastAsia="仿宋_GB2312"/>
          <w:sz w:val="32"/>
          <w:szCs w:val="32"/>
        </w:rPr>
        <w:t>(2)积极推进劳动保障监察两网化管理，强化源头治理，重点保障农民工工资报酬权益。提高劳动保障违法案件查处的结案率，确保立案案件的结案率在90%以上。</w:t>
      </w:r>
    </w:p>
    <w:p>
      <w:pPr>
        <w:ind w:firstLine="560"/>
        <w:rPr>
          <w:rFonts w:ascii="仿宋_GB2312" w:eastAsia="仿宋_GB2312"/>
          <w:sz w:val="32"/>
          <w:szCs w:val="32"/>
        </w:rPr>
      </w:pPr>
      <w:r>
        <w:rPr>
          <w:rFonts w:hint="eastAsia" w:ascii="仿宋_GB2312" w:eastAsia="仿宋_GB2312"/>
          <w:sz w:val="32"/>
          <w:szCs w:val="32"/>
        </w:rPr>
        <w:t xml:space="preserve">(3)加强劳动人事争议调解仲裁效能建设，法定时效内结案率达100%，年末结案率达90%以上，重大案件当年结案。  </w:t>
      </w:r>
    </w:p>
    <w:p>
      <w:pPr>
        <w:ind w:firstLine="560"/>
        <w:rPr>
          <w:rFonts w:ascii="仿宋_GB2312" w:eastAsia="仿宋_GB2312"/>
          <w:sz w:val="32"/>
          <w:szCs w:val="32"/>
        </w:rPr>
      </w:pPr>
      <w:r>
        <w:rPr>
          <w:rFonts w:hint="eastAsia" w:ascii="仿宋_GB2312" w:eastAsia="仿宋_GB2312"/>
          <w:sz w:val="32"/>
          <w:szCs w:val="32"/>
        </w:rPr>
        <w:t>(4)推动各类企业与员工普遍签订劳动合同，充分发挥劳动合同制度在规范协调劳动关系方面的基础作用。推行《劳动用工备案手册》制度,“十三五”时期网上劳动用工备案率达到90%以上。</w:t>
      </w:r>
    </w:p>
    <w:p>
      <w:pPr>
        <w:ind w:firstLine="560"/>
        <w:rPr>
          <w:rFonts w:ascii="仿宋_GB2312" w:eastAsia="仿宋_GB2312"/>
          <w:b/>
          <w:sz w:val="32"/>
          <w:szCs w:val="32"/>
        </w:rPr>
      </w:pPr>
      <w:r>
        <w:rPr>
          <w:rFonts w:hint="eastAsia" w:ascii="仿宋_GB2312" w:eastAsia="仿宋_GB2312"/>
          <w:b/>
          <w:sz w:val="32"/>
          <w:szCs w:val="32"/>
        </w:rPr>
        <w:t>4、加强人力资源和社会保障信息化建设</w:t>
      </w:r>
    </w:p>
    <w:p>
      <w:pPr>
        <w:ind w:firstLine="560"/>
        <w:rPr>
          <w:rFonts w:ascii="仿宋_GB2312" w:eastAsia="仿宋_GB2312"/>
          <w:sz w:val="32"/>
          <w:szCs w:val="32"/>
        </w:rPr>
      </w:pPr>
      <w:r>
        <w:rPr>
          <w:rFonts w:hint="eastAsia" w:ascii="仿宋_GB2312" w:eastAsia="仿宋_GB2312"/>
          <w:sz w:val="32"/>
          <w:szCs w:val="32"/>
        </w:rPr>
        <w:t>加快人力资源和社会保障管理信息系统建设进度，构建完善的信息网络，建成数据统一集中管理、涵盖人力资源和社会保障各业务领域和城乡各类服务对象的信息系统。遵循方便、安全、低成本的原则，加强人力资源和社会保障公共服务平台建设。建立县级人力资源和社会保障服务中心，完善服务功能和服务标准，加强服务设施建设。</w:t>
      </w:r>
    </w:p>
    <w:p>
      <w:pPr>
        <w:pStyle w:val="10"/>
        <w:numPr>
          <w:ilvl w:val="0"/>
          <w:numId w:val="1"/>
        </w:numPr>
        <w:ind w:firstLineChars="0"/>
        <w:rPr>
          <w:rFonts w:hint="eastAsia" w:ascii="楷体" w:hAnsi="楷体" w:eastAsia="楷体"/>
          <w:sz w:val="32"/>
          <w:szCs w:val="32"/>
        </w:rPr>
      </w:pPr>
      <w:r>
        <w:rPr>
          <w:rFonts w:hint="eastAsia" w:ascii="楷体" w:hAnsi="楷体" w:eastAsia="楷体"/>
          <w:sz w:val="32"/>
          <w:szCs w:val="32"/>
        </w:rPr>
        <w:t>部门职责-工作活动绩效目标</w:t>
      </w:r>
    </w:p>
    <w:p>
      <w:pPr>
        <w:pStyle w:val="10"/>
        <w:numPr>
          <w:ilvl w:val="0"/>
          <w:numId w:val="1"/>
        </w:numPr>
        <w:ind w:firstLineChars="0"/>
        <w:jc w:val="center"/>
        <w:outlineLvl w:val="0"/>
        <w:rPr>
          <w:rFonts w:ascii="方正小标宋_GBK" w:eastAsia="方正小标宋_GBK"/>
          <w:color w:val="FFFFFF"/>
          <w:sz w:val="32"/>
        </w:rPr>
      </w:pPr>
      <w:bookmarkStart w:id="1" w:name="_Toc2345654"/>
      <w:r>
        <w:rPr>
          <w:rFonts w:hint="eastAsia" w:ascii="方正小标宋_GBK" w:eastAsia="方正小标宋_GBK"/>
          <w:sz w:val="32"/>
        </w:rPr>
        <w:t>部门职责-工作活动绩效目标</w:t>
      </w:r>
      <w:r>
        <w:rPr>
          <w:rStyle w:val="7"/>
          <w:rFonts w:ascii="方正小标宋_GBK" w:eastAsia="方正小标宋_GBK"/>
          <w:color w:val="FFFFFF"/>
          <w:sz w:val="32"/>
        </w:rPr>
        <w:footnoteReference w:id="0" w:customMarkFollows="1"/>
        <w:sym w:font="Symbol" w:char="F020"/>
      </w:r>
      <w:bookmarkEnd w:id="1"/>
    </w:p>
    <w:tbl>
      <w:tblPr>
        <w:tblStyle w:val="5"/>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323</w:t>
            </w:r>
            <w:r>
              <w:rPr>
                <w:rFonts w:hint="eastAsia" w:ascii="方正小标宋_GBK" w:eastAsia="方正小标宋_GBK"/>
                <w:sz w:val="24"/>
              </w:rPr>
              <w:t>人事劳动和社会保障局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一、促进就业政策、管理及实施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3493.50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负责促进就业工作，健全公共就业服务体系和人力资源市场体系，积极促进社会就业。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促进失业人员再就业，控制城镇登记失业率，转移农村劳动力，保持就业形势的基本稳定。</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、就业创业扶持政策的制定及管理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3468.50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公益性岗位补贴到位率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社会保险补贴到位率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、就业服务体系建设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健全职业指导、职业介绍、就业创业服务、人力资源市场、毕业生就业等公共就业服务体系，建立基层人力资源和社会保障服务平台，完善人事档案公共服务，开展人力资源服务业、家庭服务业工作、就业服务指导。</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实施免费的公共就业服务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开展就业服务指导培训次数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&gt;2</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&lt;12</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新增就业人员数量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就业服务到位率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人事档案公共管理服务工作完成率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、职业培训能力建设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落实职业劳动能力鉴定政策，按国家和县政府要求推动职业能力建设，开展职业培训能力建设相关工作。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提高劳动者素质，打造我县职业技术工人队伍，实现稳定就业</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职业培训人数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二、社会保险政策实施及管理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30557.34</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制定我县养老、医疗、失业、工伤、生育保险实施措施并推动落实。同时，对全县社保基金征缴、支付、管理进行监管。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全面开展参保登记，扩大各项保险的覆盖面，及时足额落实社会保险待遇。</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、养老保险政策实施及管理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7167.04</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落实职工基本养老保险政策、城乡居民养老保险政策和机关事业单位人员养老保险制度改革配套政策。</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养老金征缴任务完成率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养老金发放到位率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养老金扩面任务完成率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、医疗保险等相关政策实施及管理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23390.30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落实城镇职工、城乡居民医疗保险政策，稳步提高医疗保障水平。完善医疗服务实时监控系统，深入推进异地就医直接结算。完善离休干部医疗保障政策，确保离休干部医药费待遇按时足额落实到位。</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稳步提高医疗保险参保率，提高医疗服务实时监控水平，逐步提高异地就医直接结算服务水平，确保医疗保险基金安全运行。夯实医疗保险和离休干部医疗保障基础管理，确保各项待遇落实到位。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离休干部医疗保障到位率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基本医疗保险参保率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、工伤保险政策实施及管理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负责县级工伤保险征缴及赔付工作。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提高工伤保险参保率，确保工伤保险待遇落实到位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已参保的工伤保险待遇到位率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工伤保险国家计划完成率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、失业保险政策实施及管理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制定全县失业保险统一标准、待遇。落实失业保险基金征缴、使用等政策，并组织实施。</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失业保险费应收尽收，全县失业人员待遇落实。</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失业保险费征收任务完成率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、生育保险政策实施及管理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生育保险政策实施</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确保生育保险待遇落实。</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生育保险待遇到位率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三、人才队伍建设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192.40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落实专业技术人员管理和继续教育政策。</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落实专业技术人员管理和继续教育政策。</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、专业技术人才的培养和管理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192.40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组织各类专业技术人才的考试、评审、鉴定、继续教育等。统筹推进全县政府系统人才工作，组织实施我县人才发展规划。</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推进专业技术人才知识更新。</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组织专业技术人才考试、选拔次数</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、高技能人才的管理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组织高技能人才培训，机关事业单位技术工人职称管理。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提高我县高技能人才的比例，培养建设高技能人才队伍。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高技能人才培训完成率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四、人事管理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690.00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承办全县各类人员的选调和安置。管理人事工资政策，组织人事考试和事业单位岗位设置管理及军转干部安置。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确保事业单位公开招聘公平、公正。稳妥做好企业军转干部解困工作，确保企业军转干部总体稳定。</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、机关单位及公务员管理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195.00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承担公务员法律法规实施的监督检查工作，有效开展公务员考核奖励、评比达标表彰、政府绩效评估、培训、监督以及事业单位参照公务员法管理工作。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认真做好县政府机关职位管理工作，提高公务员依法行政、管理能力。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任职机关公务员考核、评比、监督工作完成率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机关公务员考核、培训完成率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、事业单位及工作人员管理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继续实行公开招聘公共、教育、卫生等分类考试。全面推行新版聘用合同，做到</w:t>
            </w:r>
            <w:r>
              <w:rPr>
                <w:rFonts w:hint="cs" w:ascii="方正书宋_GBK" w:eastAsia="方正书宋_GBK"/>
              </w:rPr>
              <w:t>“</w:t>
            </w:r>
            <w:r>
              <w:rPr>
                <w:rFonts w:hint="eastAsia" w:ascii="方正书宋_GBK" w:eastAsia="方正书宋_GBK"/>
              </w:rPr>
              <w:t>应签尽签</w:t>
            </w:r>
            <w:r>
              <w:rPr>
                <w:rFonts w:hint="cs" w:ascii="方正书宋_GBK" w:eastAsia="方正书宋_GBK"/>
              </w:rPr>
              <w:t>”</w:t>
            </w:r>
            <w:r>
              <w:rPr>
                <w:rFonts w:hint="eastAsia" w:ascii="方正书宋_GBK" w:eastAsia="方正书宋_GBK"/>
              </w:rPr>
              <w:t>。做好事业单位考核、奖惩、申诉控告、岗位统计等工作。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优化事业单位岗位结构比例，全面推行聘用制度，提高公开招聘科学性，规范事业单位人事管理工作。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事业单位考核工作完成情况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事业单位公开聘用考试完成率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新版聘用合同推行签订率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、军转干部管理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拟订全县军队转业干部安置、培训政策和安置计划并组织实施，组织实施部分企业军转干部解困和稳定政策及军转干部管理服务，负责自主择业转业干部的管理服务。</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组织全县军转干部培训工作并做好军转安置工作。落实解困政策，按时足额发放解困资金，并做好企业军转干部思想教育工作和稳控工作。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军转干部安置计划落实率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自主择业军转干部退役金落实率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军转干部解困到位率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lang w:eastAsia="zh-CN"/>
              </w:rPr>
            </w:pPr>
            <w:r>
              <w:rPr>
                <w:rFonts w:hint="eastAsia" w:ascii="方正书宋_GBK" w:eastAsia="方正书宋_GBK"/>
                <w:b/>
              </w:rPr>
              <w:t>　　</w:t>
            </w:r>
            <w:r>
              <w:rPr>
                <w:rFonts w:ascii="方正书宋_GBK" w:eastAsia="方正书宋_GBK"/>
                <w:b/>
              </w:rPr>
              <w:t>4</w:t>
            </w:r>
            <w:r>
              <w:rPr>
                <w:rFonts w:hint="eastAsia" w:ascii="方正书宋_GBK" w:eastAsia="方正书宋_GBK"/>
                <w:b/>
              </w:rPr>
              <w:t>、工资基金及流动人员</w:t>
            </w:r>
            <w:r>
              <w:rPr>
                <w:rFonts w:hint="eastAsia" w:ascii="方正书宋_GBK" w:eastAsia="方正书宋_GBK"/>
                <w:b/>
                <w:lang w:eastAsia="zh-CN"/>
              </w:rPr>
              <w:t>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435.00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落实工资基金管理办法，管理审核工资基金。完成县直机关、企事业单位人员流动调配工作，优化干部到位结构。</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有效控制机关事业单位机构编制及人员增长。减轻财政负担，促进我县国民经济健康发展。促进人力资源有效流动和合理配置。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人员调配档案审核率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工资基金审核完成率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五、工资政策落实及管理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会同有关部门落实机关企事业单位人员工资收入分配政策，建立全县机关企事业单位人员工资正常增长和支付保障机制，落实机关企事业单位人员福利和离退休政策．并负责组织实施和监督检查。</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提升劳动报酬在初次分配中的比重。</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、企业工资政策和管理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完善全县企业工资调控机制和工资集体协商制度，落实工资指导线。</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加大对企业工资分配的调控力度，合理确定收入分配水平。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企业工资审核率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、机关事业单位工资政策和管理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落实公务员工资政策，落实事业单位绩效工资政策，为符合退休条件的人员办理退休手续。</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加强工资管理，确保政策落实到位；与预算编制对接，实现高效快捷审核。</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退休手续办理及时率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工资政策落实率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六、劳动关系管理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69.00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落实劳动、人事争议调解仲裁制度和劳动关系政策，完善劳动关系协调机制，落实消除非法使用童工政策和女工、未成年工的特殊劳动保护政策，组织实施劳动监察，协调劳动者维权工作，依法查处重大案件。</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加强劳动关系协调机制建设，提升社会和谐水平。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、劳动关系政策落实</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落实劳动关系政策，建立完善劳动关系协调机制。</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提高劳动合同签订率，建立和谐劳动关系。</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规模以上企业劳动合同签订率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、劳动关系调解仲裁事务管理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组织和实施劳动关系的调解、仲裁、信访。</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提高调解仲裁办案质量。</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劳动仲裁到期结案率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劳动关系的调解、仲裁、信访完成率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、劳动监察事务管理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组织实施劳动保障监察执法，依法查处重大违法案件。</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提高劳动保障监察案件结案率。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劳动保障监察案件结案率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七、人社政务管理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541.80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拟订全县人力资源和社会保障事业发展规划。负责全县人力资源和社会保障的宣传和舆情研究，推进部门依法行政。保障政府服务、信息化、劳动保障政策研究等综合性工作。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负责全县人力资源和社会保障的宣传和舆情研究。保障政府服务、信息化、劳动保障政策研究等综合性工作。提升部门依法行政水平。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制定人力资源和社会保障事业发展规划，政务服务、</w:t>
            </w:r>
            <w:r>
              <w:rPr>
                <w:rFonts w:ascii="方正书宋_GBK" w:eastAsia="方正书宋_GBK"/>
              </w:rPr>
              <w:t>12333</w:t>
            </w:r>
            <w:r>
              <w:rPr>
                <w:rFonts w:hint="eastAsia" w:ascii="方正书宋_GBK" w:eastAsia="方正书宋_GBK"/>
              </w:rPr>
              <w:t>电话咨询系统及信息系统建设，编制社会保险基金预决算草案。负责社保基金综合管理。</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接受社会监督，为群众提供优质政务服务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为群众提供优质政务服务完成率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政务服务、</w:t>
            </w:r>
            <w:r>
              <w:rPr>
                <w:rFonts w:ascii="方正书宋_GBK" w:eastAsia="方正书宋_GBK"/>
              </w:rPr>
              <w:t>12333</w:t>
            </w:r>
            <w:r>
              <w:rPr>
                <w:rFonts w:hint="eastAsia" w:ascii="方正书宋_GBK" w:eastAsia="方正书宋_GBK"/>
              </w:rPr>
              <w:t>电话咨询系统及信息系统建设完成情况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541.80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办理机关法律事务、行政复议和行政应诉。会议组织管理、信息化建设与维护、财务、统计、科研和资产管理、人力资源和社会保障教育培训等工作。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保障机关正常运转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社会保障信息化保障支撑度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pStyle w:val="10"/>
        <w:numPr>
          <w:ilvl w:val="0"/>
          <w:numId w:val="1"/>
        </w:numPr>
        <w:spacing w:line="300" w:lineRule="exact"/>
        <w:ind w:firstLineChars="0"/>
        <w:jc w:val="left"/>
        <w:outlineLvl w:val="0"/>
        <w:sectPr>
          <w:pgSz w:w="16839" w:h="11907" w:orient="landscape"/>
          <w:pgMar w:top="1020" w:right="1361" w:bottom="1020" w:left="1361" w:header="851" w:footer="992" w:gutter="0"/>
          <w:cols w:space="425" w:num="1"/>
          <w:docGrid w:type="lines" w:linePitch="312" w:charSpace="0"/>
        </w:sectPr>
      </w:pPr>
    </w:p>
    <w:p>
      <w:pPr>
        <w:pStyle w:val="10"/>
        <w:ind w:left="1364" w:firstLine="0" w:firstLineChars="0"/>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_GB2312" w:hAnsi="黑体" w:eastAsia="仿宋_GB2312" w:cs="仿宋_GB2312"/>
          <w:sz w:val="32"/>
          <w:szCs w:val="32"/>
        </w:rPr>
      </w:pPr>
      <w:r>
        <w:rPr>
          <w:rFonts w:hint="eastAsia" w:ascii="仿宋_GB2312" w:hAnsi="黑体" w:eastAsia="仿宋_GB2312" w:cs="仿宋_GB2312"/>
          <w:sz w:val="32"/>
          <w:szCs w:val="32"/>
        </w:rPr>
        <w:t>2019年本部门安排政府采购预算0元。</w:t>
      </w:r>
    </w:p>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 xml:space="preserve">    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无极县人力资源和社会保障局上年末固定资产金额为1519.99万元（详见下表）。本年度拟购置固定资产金额为0万元。</w:t>
      </w:r>
    </w:p>
    <w:tbl>
      <w:tblPr>
        <w:tblStyle w:val="5"/>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无极县人力资源和社会保障局固定资产占用情况表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无极县人社局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1519.99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3416.74</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271.11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1425</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111.7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6</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71.8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1177.08</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6" w:type="first"/>
      <w:footerReference r:id="rId9" w:type="first"/>
      <w:headerReference r:id="rId4" w:type="default"/>
      <w:footerReference r:id="rId7" w:type="default"/>
      <w:headerReference r:id="rId5" w:type="even"/>
      <w:footerReference r:id="rId8"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4"/>
        <w:rPr>
          <w:rFonts w:hint="eastAsia"/>
        </w:rPr>
      </w:pPr>
      <w:r>
        <w:rPr>
          <w:rStyle w:val="7"/>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9A11F7"/>
    <w:multiLevelType w:val="multilevel"/>
    <w:tmpl w:val="7F9A11F7"/>
    <w:lvl w:ilvl="0" w:tentative="0">
      <w:start w:val="1"/>
      <w:numFmt w:val="japaneseCounting"/>
      <w:lvlText w:val="（%1）"/>
      <w:lvlJc w:val="left"/>
      <w:pPr>
        <w:ind w:left="1364"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5199A"/>
    <w:rsid w:val="000B3C55"/>
    <w:rsid w:val="000D5C52"/>
    <w:rsid w:val="000F19D4"/>
    <w:rsid w:val="001631C2"/>
    <w:rsid w:val="00174BB5"/>
    <w:rsid w:val="001A78EE"/>
    <w:rsid w:val="001C56B4"/>
    <w:rsid w:val="001F6DDB"/>
    <w:rsid w:val="002007E3"/>
    <w:rsid w:val="00214D07"/>
    <w:rsid w:val="00217C3B"/>
    <w:rsid w:val="00235D6E"/>
    <w:rsid w:val="0028597B"/>
    <w:rsid w:val="002B7714"/>
    <w:rsid w:val="002F4675"/>
    <w:rsid w:val="002F6610"/>
    <w:rsid w:val="0033049F"/>
    <w:rsid w:val="00345A4D"/>
    <w:rsid w:val="00345A63"/>
    <w:rsid w:val="003576F4"/>
    <w:rsid w:val="003B1AEC"/>
    <w:rsid w:val="00441E4A"/>
    <w:rsid w:val="004E6F27"/>
    <w:rsid w:val="005D3D11"/>
    <w:rsid w:val="0063034A"/>
    <w:rsid w:val="00692517"/>
    <w:rsid w:val="006A5AC5"/>
    <w:rsid w:val="006D5458"/>
    <w:rsid w:val="007E7997"/>
    <w:rsid w:val="00804085"/>
    <w:rsid w:val="00871D0C"/>
    <w:rsid w:val="00886E6E"/>
    <w:rsid w:val="00893518"/>
    <w:rsid w:val="008940FE"/>
    <w:rsid w:val="00894AD7"/>
    <w:rsid w:val="008F02F9"/>
    <w:rsid w:val="008F6D8B"/>
    <w:rsid w:val="0094087A"/>
    <w:rsid w:val="00982F77"/>
    <w:rsid w:val="009973EB"/>
    <w:rsid w:val="009A6F0F"/>
    <w:rsid w:val="009C7A87"/>
    <w:rsid w:val="00A23A45"/>
    <w:rsid w:val="00A77393"/>
    <w:rsid w:val="00AB640B"/>
    <w:rsid w:val="00AE2A3B"/>
    <w:rsid w:val="00AF252E"/>
    <w:rsid w:val="00AF3158"/>
    <w:rsid w:val="00B3387B"/>
    <w:rsid w:val="00B60776"/>
    <w:rsid w:val="00B7240D"/>
    <w:rsid w:val="00B77596"/>
    <w:rsid w:val="00B97913"/>
    <w:rsid w:val="00BE5BF8"/>
    <w:rsid w:val="00C0384D"/>
    <w:rsid w:val="00C42BCB"/>
    <w:rsid w:val="00C8523D"/>
    <w:rsid w:val="00CB7A0D"/>
    <w:rsid w:val="00D77FCE"/>
    <w:rsid w:val="00D9028C"/>
    <w:rsid w:val="00DB2A4C"/>
    <w:rsid w:val="00DF7905"/>
    <w:rsid w:val="00E00C09"/>
    <w:rsid w:val="00E43F8E"/>
    <w:rsid w:val="00E80912"/>
    <w:rsid w:val="00EA5254"/>
    <w:rsid w:val="00EA64F7"/>
    <w:rsid w:val="00EA6B0B"/>
    <w:rsid w:val="00EA7E88"/>
    <w:rsid w:val="00ED35CE"/>
    <w:rsid w:val="00EE3D73"/>
    <w:rsid w:val="080F214A"/>
    <w:rsid w:val="271E510A"/>
    <w:rsid w:val="4FE664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footnote text"/>
    <w:basedOn w:val="1"/>
    <w:link w:val="11"/>
    <w:semiHidden/>
    <w:qFormat/>
    <w:uiPriority w:val="0"/>
    <w:pPr>
      <w:snapToGrid w:val="0"/>
      <w:jc w:val="left"/>
    </w:pPr>
    <w:rPr>
      <w:sz w:val="18"/>
      <w:szCs w:val="18"/>
    </w:rPr>
  </w:style>
  <w:style w:type="character" w:styleId="7">
    <w:name w:val="footnote reference"/>
    <w:basedOn w:val="6"/>
    <w:semiHidden/>
    <w:qFormat/>
    <w:uiPriority w:val="0"/>
    <w:rPr>
      <w:vertAlign w:val="superscript"/>
    </w:rPr>
  </w:style>
  <w:style w:type="character" w:customStyle="1" w:styleId="8">
    <w:name w:val="页眉 Char"/>
    <w:basedOn w:val="6"/>
    <w:link w:val="3"/>
    <w:qFormat/>
    <w:uiPriority w:val="99"/>
    <w:rPr>
      <w:rFonts w:ascii="Times New Roman" w:hAnsi="Times New Roman" w:eastAsia="宋体" w:cs="Times New Roman"/>
      <w:sz w:val="18"/>
      <w:szCs w:val="18"/>
    </w:rPr>
  </w:style>
  <w:style w:type="character" w:customStyle="1" w:styleId="9">
    <w:name w:val="页脚 Char"/>
    <w:basedOn w:val="6"/>
    <w:link w:val="2"/>
    <w:uiPriority w:val="99"/>
    <w:rPr>
      <w:rFonts w:ascii="Times New Roman" w:hAnsi="Times New Roman" w:eastAsia="宋体" w:cs="Times New Roman"/>
      <w:sz w:val="18"/>
      <w:szCs w:val="18"/>
    </w:rPr>
  </w:style>
  <w:style w:type="paragraph" w:styleId="10">
    <w:name w:val="List Paragraph"/>
    <w:basedOn w:val="1"/>
    <w:qFormat/>
    <w:uiPriority w:val="34"/>
    <w:pPr>
      <w:ind w:firstLine="420" w:firstLineChars="200"/>
    </w:pPr>
  </w:style>
  <w:style w:type="character" w:customStyle="1" w:styleId="11">
    <w:name w:val="脚注文本 Char"/>
    <w:basedOn w:val="6"/>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22</Pages>
  <Words>1685</Words>
  <Characters>9605</Characters>
  <Lines>80</Lines>
  <Paragraphs>22</Paragraphs>
  <TotalTime>171</TotalTime>
  <ScaleCrop>false</ScaleCrop>
  <LinksUpToDate>false</LinksUpToDate>
  <CharactersWithSpaces>11268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2024-06-20T15:01:30Z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94F8BAB819464042BD2785C35268927A</vt:lpwstr>
  </property>
</Properties>
</file>