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default"/>
          <w:lang w:val="en-US"/>
        </w:rPr>
      </w:pPr>
      <w:r>
        <w:fldChar w:fldCharType="begin"/>
      </w:r>
      <w:r>
        <w:instrText xml:space="preserve"> HYPERLINK \l "_Toc_3_3_0000000017" </w:instrText>
      </w:r>
      <w:r>
        <w:fldChar w:fldCharType="separate"/>
      </w:r>
      <w:r>
        <w:t>八、名词解释</w:t>
      </w:r>
      <w:r>
        <w:tab/>
      </w:r>
      <w:r>
        <w:rPr>
          <w:rFonts w:hint="eastAsia"/>
          <w:lang w:val="en-US" w:eastAsia="zh-CN"/>
        </w:rPr>
        <w:t>2</w:t>
      </w:r>
      <w:r>
        <w:rPr>
          <w:rFonts w:hint="eastAsia"/>
          <w:lang w:eastAsia="zh-CN"/>
        </w:rP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8</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r>
        <w:rPr>
          <w:rFonts w:hint="eastAsia" w:ascii="黑体" w:hAnsi="黑体" w:eastAsia="黑体" w:cs="黑体"/>
          <w:b/>
          <w:color w:val="000000"/>
          <w:sz w:val="44"/>
          <w:lang w:val="en-US" w:eastAsia="zh-CN"/>
        </w:rPr>
        <w:t>2022年部门预算信息公开表</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620.90</w:t>
            </w:r>
          </w:p>
        </w:tc>
        <w:tc>
          <w:tcPr>
            <w:tcW w:w="4535" w:type="dxa"/>
            <w:vAlign w:val="center"/>
          </w:tcPr>
          <w:p>
            <w:pPr>
              <w:pStyle w:val="16"/>
            </w:pPr>
            <w:r>
              <w:t>一、一般公共服务支出</w:t>
            </w:r>
          </w:p>
        </w:tc>
        <w:tc>
          <w:tcPr>
            <w:tcW w:w="2126"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43.70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552.30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620.90</w:t>
            </w:r>
          </w:p>
        </w:tc>
        <w:tc>
          <w:tcPr>
            <w:tcW w:w="4535" w:type="dxa"/>
            <w:vAlign w:val="center"/>
          </w:tcPr>
          <w:p>
            <w:pPr>
              <w:pStyle w:val="18"/>
            </w:pPr>
            <w:r>
              <w:t>本年支出合计</w:t>
            </w:r>
          </w:p>
        </w:tc>
        <w:tc>
          <w:tcPr>
            <w:tcW w:w="2126" w:type="dxa"/>
            <w:vAlign w:val="center"/>
          </w:tcPr>
          <w:p>
            <w:pPr>
              <w:pStyle w:val="19"/>
            </w:pPr>
            <w:r>
              <w:t>620.90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620.90</w:t>
            </w:r>
          </w:p>
        </w:tc>
        <w:tc>
          <w:tcPr>
            <w:tcW w:w="4535" w:type="dxa"/>
            <w:vAlign w:val="center"/>
          </w:tcPr>
          <w:p>
            <w:pPr>
              <w:pStyle w:val="18"/>
            </w:pPr>
            <w:r>
              <w:t>支出总计</w:t>
            </w:r>
          </w:p>
        </w:tc>
        <w:tc>
          <w:tcPr>
            <w:tcW w:w="2126" w:type="dxa"/>
            <w:vAlign w:val="center"/>
          </w:tcPr>
          <w:p>
            <w:pPr>
              <w:pStyle w:val="19"/>
            </w:pPr>
            <w:r>
              <w:t>620.90</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620.90</w:t>
            </w:r>
          </w:p>
        </w:tc>
        <w:tc>
          <w:tcPr>
            <w:tcW w:w="1134" w:type="dxa"/>
            <w:vAlign w:val="center"/>
          </w:tcPr>
          <w:p>
            <w:pPr>
              <w:pStyle w:val="19"/>
            </w:pPr>
            <w:r>
              <w:t>620.90</w:t>
            </w:r>
          </w:p>
        </w:tc>
        <w:tc>
          <w:tcPr>
            <w:tcW w:w="1134" w:type="dxa"/>
            <w:vAlign w:val="center"/>
          </w:tcPr>
          <w:p>
            <w:pPr>
              <w:pStyle w:val="19"/>
            </w:pPr>
            <w:r>
              <w:t>620.90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r>
              <w:t>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r>
              <w:t>43.70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12.70</w:t>
            </w:r>
          </w:p>
        </w:tc>
        <w:tc>
          <w:tcPr>
            <w:tcW w:w="1134" w:type="dxa"/>
            <w:vAlign w:val="center"/>
          </w:tcPr>
          <w:p>
            <w:pPr>
              <w:pStyle w:val="15"/>
            </w:pPr>
            <w:r>
              <w:t>12.70</w:t>
            </w:r>
          </w:p>
        </w:tc>
        <w:tc>
          <w:tcPr>
            <w:tcW w:w="1134" w:type="dxa"/>
            <w:vAlign w:val="center"/>
          </w:tcPr>
          <w:p>
            <w:pPr>
              <w:pStyle w:val="15"/>
            </w:pPr>
            <w:r>
              <w:t>12.70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31.00</w:t>
            </w:r>
          </w:p>
        </w:tc>
        <w:tc>
          <w:tcPr>
            <w:tcW w:w="1134" w:type="dxa"/>
            <w:vAlign w:val="center"/>
          </w:tcPr>
          <w:p>
            <w:pPr>
              <w:pStyle w:val="15"/>
            </w:pPr>
            <w:r>
              <w:t>31.00</w:t>
            </w:r>
          </w:p>
        </w:tc>
        <w:tc>
          <w:tcPr>
            <w:tcW w:w="1134" w:type="dxa"/>
            <w:vAlign w:val="center"/>
          </w:tcPr>
          <w:p>
            <w:pPr>
              <w:pStyle w:val="15"/>
            </w:pPr>
            <w:r>
              <w:t>31.00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r>
              <w:t>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2160201</w:t>
            </w:r>
          </w:p>
        </w:tc>
        <w:tc>
          <w:tcPr>
            <w:tcW w:w="1559" w:type="dxa"/>
            <w:vAlign w:val="center"/>
          </w:tcPr>
          <w:p>
            <w:pPr>
              <w:pStyle w:val="16"/>
            </w:pPr>
            <w:r>
              <w:t>行政运行</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r>
              <w:t>552.30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620.90</w:t>
            </w:r>
          </w:p>
        </w:tc>
        <w:tc>
          <w:tcPr>
            <w:tcW w:w="1361" w:type="dxa"/>
            <w:vAlign w:val="center"/>
          </w:tcPr>
          <w:p>
            <w:pPr>
              <w:pStyle w:val="19"/>
            </w:pPr>
            <w:r>
              <w:t>620.90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8.00</w:t>
            </w:r>
          </w:p>
        </w:tc>
        <w:tc>
          <w:tcPr>
            <w:tcW w:w="1361" w:type="dxa"/>
            <w:vAlign w:val="center"/>
          </w:tcPr>
          <w:p>
            <w:pPr>
              <w:pStyle w:val="15"/>
            </w:pPr>
            <w:r>
              <w:t>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43.70</w:t>
            </w:r>
          </w:p>
        </w:tc>
        <w:tc>
          <w:tcPr>
            <w:tcW w:w="1361" w:type="dxa"/>
            <w:vAlign w:val="center"/>
          </w:tcPr>
          <w:p>
            <w:pPr>
              <w:pStyle w:val="15"/>
            </w:pPr>
            <w:r>
              <w:t>43.70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43.70</w:t>
            </w:r>
          </w:p>
        </w:tc>
        <w:tc>
          <w:tcPr>
            <w:tcW w:w="1361" w:type="dxa"/>
            <w:vAlign w:val="center"/>
          </w:tcPr>
          <w:p>
            <w:pPr>
              <w:pStyle w:val="15"/>
            </w:pPr>
            <w:r>
              <w:t>43.70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12.70</w:t>
            </w:r>
          </w:p>
        </w:tc>
        <w:tc>
          <w:tcPr>
            <w:tcW w:w="1361" w:type="dxa"/>
            <w:vAlign w:val="center"/>
          </w:tcPr>
          <w:p>
            <w:pPr>
              <w:pStyle w:val="15"/>
            </w:pPr>
            <w:r>
              <w:t>12.70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31.00</w:t>
            </w:r>
          </w:p>
        </w:tc>
        <w:tc>
          <w:tcPr>
            <w:tcW w:w="1361" w:type="dxa"/>
            <w:vAlign w:val="center"/>
          </w:tcPr>
          <w:p>
            <w:pPr>
              <w:pStyle w:val="15"/>
            </w:pPr>
            <w:r>
              <w:t>31.00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16.90</w:t>
            </w:r>
          </w:p>
        </w:tc>
        <w:tc>
          <w:tcPr>
            <w:tcW w:w="1361" w:type="dxa"/>
            <w:vAlign w:val="center"/>
          </w:tcPr>
          <w:p>
            <w:pPr>
              <w:pStyle w:val="15"/>
            </w:pPr>
            <w:r>
              <w:t>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2160201</w:t>
            </w:r>
          </w:p>
        </w:tc>
        <w:tc>
          <w:tcPr>
            <w:tcW w:w="4535" w:type="dxa"/>
            <w:vAlign w:val="center"/>
          </w:tcPr>
          <w:p>
            <w:pPr>
              <w:pStyle w:val="16"/>
            </w:pPr>
            <w:r>
              <w:t>行政运行</w:t>
            </w:r>
          </w:p>
        </w:tc>
        <w:tc>
          <w:tcPr>
            <w:tcW w:w="1361" w:type="dxa"/>
            <w:vAlign w:val="center"/>
          </w:tcPr>
          <w:p>
            <w:pPr>
              <w:pStyle w:val="15"/>
            </w:pPr>
            <w:r>
              <w:t>552.30</w:t>
            </w:r>
          </w:p>
        </w:tc>
        <w:tc>
          <w:tcPr>
            <w:tcW w:w="1361" w:type="dxa"/>
            <w:vAlign w:val="center"/>
          </w:tcPr>
          <w:p>
            <w:pPr>
              <w:pStyle w:val="15"/>
            </w:pPr>
            <w:r>
              <w:t>552.30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620.90</w:t>
            </w:r>
          </w:p>
        </w:tc>
        <w:tc>
          <w:tcPr>
            <w:tcW w:w="3402" w:type="dxa"/>
            <w:vAlign w:val="center"/>
          </w:tcPr>
          <w:p>
            <w:pPr>
              <w:pStyle w:val="16"/>
            </w:pPr>
            <w:r>
              <w:t>一、一般公共服务支出</w:t>
            </w:r>
          </w:p>
        </w:tc>
        <w:tc>
          <w:tcPr>
            <w:tcW w:w="1474" w:type="dxa"/>
            <w:vAlign w:val="center"/>
          </w:tcPr>
          <w:p>
            <w:pPr>
              <w:pStyle w:val="15"/>
            </w:pPr>
            <w:r>
              <w:t>8.00</w:t>
            </w:r>
          </w:p>
        </w:tc>
        <w:tc>
          <w:tcPr>
            <w:tcW w:w="1474" w:type="dxa"/>
            <w:vAlign w:val="center"/>
          </w:tcPr>
          <w:p>
            <w:pPr>
              <w:pStyle w:val="15"/>
            </w:pPr>
            <w:r>
              <w:t>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43.70</w:t>
            </w:r>
          </w:p>
        </w:tc>
        <w:tc>
          <w:tcPr>
            <w:tcW w:w="1474" w:type="dxa"/>
            <w:vAlign w:val="center"/>
          </w:tcPr>
          <w:p>
            <w:pPr>
              <w:pStyle w:val="15"/>
            </w:pPr>
            <w:r>
              <w:t>43.70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16.90</w:t>
            </w:r>
          </w:p>
        </w:tc>
        <w:tc>
          <w:tcPr>
            <w:tcW w:w="1474" w:type="dxa"/>
            <w:vAlign w:val="center"/>
          </w:tcPr>
          <w:p>
            <w:pPr>
              <w:pStyle w:val="15"/>
            </w:pPr>
            <w:r>
              <w:t>16.90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552.30</w:t>
            </w:r>
          </w:p>
        </w:tc>
        <w:tc>
          <w:tcPr>
            <w:tcW w:w="1474" w:type="dxa"/>
            <w:vAlign w:val="center"/>
          </w:tcPr>
          <w:p>
            <w:pPr>
              <w:pStyle w:val="15"/>
            </w:pPr>
            <w:r>
              <w:t>552.30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620.90</w:t>
            </w:r>
          </w:p>
        </w:tc>
        <w:tc>
          <w:tcPr>
            <w:tcW w:w="3402" w:type="dxa"/>
            <w:vAlign w:val="center"/>
          </w:tcPr>
          <w:p>
            <w:pPr>
              <w:pStyle w:val="18"/>
            </w:pPr>
            <w:r>
              <w:t>本年支出合计</w:t>
            </w:r>
          </w:p>
        </w:tc>
        <w:tc>
          <w:tcPr>
            <w:tcW w:w="1474" w:type="dxa"/>
            <w:vAlign w:val="center"/>
          </w:tcPr>
          <w:p>
            <w:pPr>
              <w:pStyle w:val="19"/>
            </w:pPr>
            <w:r>
              <w:t>620.90</w:t>
            </w:r>
          </w:p>
        </w:tc>
        <w:tc>
          <w:tcPr>
            <w:tcW w:w="1474" w:type="dxa"/>
            <w:vAlign w:val="center"/>
          </w:tcPr>
          <w:p>
            <w:pPr>
              <w:pStyle w:val="19"/>
            </w:pPr>
            <w:r>
              <w:t>620.90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620.90</w:t>
            </w:r>
          </w:p>
        </w:tc>
        <w:tc>
          <w:tcPr>
            <w:tcW w:w="3402" w:type="dxa"/>
            <w:vAlign w:val="center"/>
          </w:tcPr>
          <w:p>
            <w:pPr>
              <w:pStyle w:val="18"/>
            </w:pPr>
            <w:r>
              <w:t>支出总计</w:t>
            </w:r>
          </w:p>
        </w:tc>
        <w:tc>
          <w:tcPr>
            <w:tcW w:w="1474" w:type="dxa"/>
            <w:vAlign w:val="center"/>
          </w:tcPr>
          <w:p>
            <w:pPr>
              <w:pStyle w:val="19"/>
            </w:pPr>
            <w:r>
              <w:t>620.90</w:t>
            </w:r>
          </w:p>
        </w:tc>
        <w:tc>
          <w:tcPr>
            <w:tcW w:w="1474" w:type="dxa"/>
            <w:vAlign w:val="center"/>
          </w:tcPr>
          <w:p>
            <w:pPr>
              <w:pStyle w:val="19"/>
            </w:pPr>
            <w:r>
              <w:t>620.90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620.90</w:t>
            </w:r>
          </w:p>
        </w:tc>
        <w:tc>
          <w:tcPr>
            <w:tcW w:w="2551" w:type="dxa"/>
            <w:vAlign w:val="center"/>
          </w:tcPr>
          <w:p>
            <w:pPr>
              <w:pStyle w:val="19"/>
            </w:pPr>
            <w:r>
              <w:t>620.90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8.00</w:t>
            </w:r>
          </w:p>
        </w:tc>
        <w:tc>
          <w:tcPr>
            <w:tcW w:w="2551" w:type="dxa"/>
            <w:vAlign w:val="center"/>
          </w:tcPr>
          <w:p>
            <w:pPr>
              <w:pStyle w:val="15"/>
            </w:pPr>
            <w:r>
              <w:t>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43.70</w:t>
            </w:r>
          </w:p>
        </w:tc>
        <w:tc>
          <w:tcPr>
            <w:tcW w:w="2551" w:type="dxa"/>
            <w:vAlign w:val="center"/>
          </w:tcPr>
          <w:p>
            <w:pPr>
              <w:pStyle w:val="15"/>
            </w:pPr>
            <w:r>
              <w:t>43.70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43.70</w:t>
            </w:r>
          </w:p>
        </w:tc>
        <w:tc>
          <w:tcPr>
            <w:tcW w:w="2551" w:type="dxa"/>
            <w:vAlign w:val="center"/>
          </w:tcPr>
          <w:p>
            <w:pPr>
              <w:pStyle w:val="15"/>
            </w:pPr>
            <w:r>
              <w:t>43.70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12.70</w:t>
            </w:r>
          </w:p>
        </w:tc>
        <w:tc>
          <w:tcPr>
            <w:tcW w:w="2551" w:type="dxa"/>
            <w:vAlign w:val="center"/>
          </w:tcPr>
          <w:p>
            <w:pPr>
              <w:pStyle w:val="15"/>
            </w:pPr>
            <w:r>
              <w:t>12.70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2160201</w:t>
            </w:r>
          </w:p>
        </w:tc>
        <w:tc>
          <w:tcPr>
            <w:tcW w:w="4535" w:type="dxa"/>
            <w:vAlign w:val="center"/>
          </w:tcPr>
          <w:p>
            <w:pPr>
              <w:pStyle w:val="16"/>
            </w:pPr>
            <w:r>
              <w:t>行政运行</w:t>
            </w:r>
          </w:p>
        </w:tc>
        <w:tc>
          <w:tcPr>
            <w:tcW w:w="2551" w:type="dxa"/>
            <w:vAlign w:val="center"/>
          </w:tcPr>
          <w:p>
            <w:pPr>
              <w:pStyle w:val="15"/>
            </w:pPr>
            <w:r>
              <w:t>552.30</w:t>
            </w:r>
          </w:p>
        </w:tc>
        <w:tc>
          <w:tcPr>
            <w:tcW w:w="2551" w:type="dxa"/>
            <w:vAlign w:val="center"/>
          </w:tcPr>
          <w:p>
            <w:pPr>
              <w:pStyle w:val="15"/>
            </w:pPr>
            <w:r>
              <w:t>552.30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620.90</w:t>
            </w:r>
          </w:p>
        </w:tc>
        <w:tc>
          <w:tcPr>
            <w:tcW w:w="2551" w:type="dxa"/>
            <w:vAlign w:val="center"/>
          </w:tcPr>
          <w:p>
            <w:pPr>
              <w:pStyle w:val="19"/>
            </w:pPr>
            <w:r>
              <w:t>568.90</w:t>
            </w:r>
          </w:p>
        </w:tc>
        <w:tc>
          <w:tcPr>
            <w:tcW w:w="2551" w:type="dxa"/>
            <w:vAlign w:val="center"/>
          </w:tcPr>
          <w:p>
            <w:pPr>
              <w:pStyle w:val="1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535.90</w:t>
            </w:r>
          </w:p>
        </w:tc>
        <w:tc>
          <w:tcPr>
            <w:tcW w:w="2551" w:type="dxa"/>
            <w:vAlign w:val="center"/>
          </w:tcPr>
          <w:p>
            <w:pPr>
              <w:pStyle w:val="15"/>
            </w:pPr>
            <w:r>
              <w:t>535.90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317.00</w:t>
            </w:r>
          </w:p>
        </w:tc>
        <w:tc>
          <w:tcPr>
            <w:tcW w:w="2551" w:type="dxa"/>
            <w:vAlign w:val="center"/>
          </w:tcPr>
          <w:p>
            <w:pPr>
              <w:pStyle w:val="15"/>
            </w:pPr>
            <w:r>
              <w:t>317.00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58.00</w:t>
            </w:r>
          </w:p>
        </w:tc>
        <w:tc>
          <w:tcPr>
            <w:tcW w:w="2551" w:type="dxa"/>
            <w:vAlign w:val="center"/>
          </w:tcPr>
          <w:p>
            <w:pPr>
              <w:pStyle w:val="15"/>
            </w:pPr>
            <w:r>
              <w:t>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91.60</w:t>
            </w:r>
          </w:p>
        </w:tc>
        <w:tc>
          <w:tcPr>
            <w:tcW w:w="2551" w:type="dxa"/>
            <w:vAlign w:val="center"/>
          </w:tcPr>
          <w:p>
            <w:pPr>
              <w:pStyle w:val="15"/>
            </w:pPr>
            <w:r>
              <w:t>91.60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19.00</w:t>
            </w:r>
          </w:p>
        </w:tc>
        <w:tc>
          <w:tcPr>
            <w:tcW w:w="2551" w:type="dxa"/>
            <w:vAlign w:val="center"/>
          </w:tcPr>
          <w:p>
            <w:pPr>
              <w:pStyle w:val="15"/>
            </w:pPr>
            <w:r>
              <w:t>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16.90</w:t>
            </w:r>
          </w:p>
        </w:tc>
        <w:tc>
          <w:tcPr>
            <w:tcW w:w="2551" w:type="dxa"/>
            <w:vAlign w:val="center"/>
          </w:tcPr>
          <w:p>
            <w:pPr>
              <w:pStyle w:val="15"/>
            </w:pPr>
            <w:r>
              <w:t>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2.40</w:t>
            </w:r>
          </w:p>
        </w:tc>
        <w:tc>
          <w:tcPr>
            <w:tcW w:w="2551" w:type="dxa"/>
            <w:vAlign w:val="center"/>
          </w:tcPr>
          <w:p>
            <w:pPr>
              <w:pStyle w:val="15"/>
            </w:pPr>
            <w:r>
              <w:t>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33.00</w:t>
            </w:r>
          </w:p>
        </w:tc>
        <w:tc>
          <w:tcPr>
            <w:tcW w:w="2551" w:type="dxa"/>
            <w:vAlign w:val="center"/>
          </w:tcPr>
          <w:p>
            <w:pPr>
              <w:pStyle w:val="15"/>
            </w:pPr>
            <w:r>
              <w:t>33.00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5.50</w:t>
            </w:r>
          </w:p>
        </w:tc>
        <w:tc>
          <w:tcPr>
            <w:tcW w:w="2551" w:type="dxa"/>
            <w:vAlign w:val="center"/>
          </w:tcPr>
          <w:p>
            <w:pPr>
              <w:pStyle w:val="15"/>
            </w:pPr>
            <w:r>
              <w:t>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27.50</w:t>
            </w:r>
          </w:p>
        </w:tc>
        <w:tc>
          <w:tcPr>
            <w:tcW w:w="2551" w:type="dxa"/>
            <w:vAlign w:val="center"/>
          </w:tcPr>
          <w:p>
            <w:pPr>
              <w:pStyle w:val="15"/>
            </w:pPr>
            <w:r>
              <w:t>27.50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无极县商务局2022年部门预算信息公开情况说明</w:t>
      </w:r>
    </w:p>
    <w:p>
      <w:pPr>
        <w:jc w:val="center"/>
      </w:pPr>
      <w:r>
        <w:rPr>
          <w:rFonts w:ascii="方正小标宋_GBK" w:hAnsi="方正小标宋_GBK" w:eastAsia="方正小标宋_GBK" w:cs="方正小标宋_GBK"/>
          <w:color w:val="000000"/>
          <w:sz w:val="44"/>
        </w:rPr>
        <w:t>无极县商务局2022年部门预算信息公开情况说明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、《地方预决算公开操作规程》和《关于进一步推进预算公开工作的实施意见》规定，现将无极县商务局2022年部门预算公开如下：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21"/>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21"/>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21"/>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21"/>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21"/>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1"/>
      </w:pPr>
      <w:r>
        <w:t>（七）贯彻执行国家对外技术贸易、进出口管制以及鼓励技术和成套设备进出口的贸易政策。拟订和推进全县科技兴贸战略，依法监督技术引进、设备进口、国家限制出口技术。</w:t>
      </w:r>
    </w:p>
    <w:p>
      <w:pPr>
        <w:pStyle w:val="21"/>
      </w:pPr>
      <w:r>
        <w:t>（八）会同有关部门贯彻执行国家促进服务出口和服务外包发展的规划、政策，牵头拟订全县服务贸易发展规划并组织实施。</w:t>
      </w:r>
    </w:p>
    <w:p>
      <w:pPr>
        <w:pStyle w:val="21"/>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21"/>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21"/>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21"/>
      </w:pPr>
      <w:r>
        <w:t>（十二）负责上级交办的涉及世贸组织相关工作。贯彻执行上级制定的对自由贸易区国家和地区的经贸规划、政策并组织实施。</w:t>
      </w:r>
    </w:p>
    <w:p>
      <w:pPr>
        <w:pStyle w:val="21"/>
      </w:pPr>
      <w:r>
        <w:t>（十三）负责会展业促进和管理工作，拟订会展发展规划、政策措施并组织实施，组织指导境内技术展览会和赴境外非商业性办展活动。</w:t>
      </w:r>
    </w:p>
    <w:p>
      <w:pPr>
        <w:pStyle w:val="21"/>
      </w:pPr>
      <w:r>
        <w:t>（十四）负责经贸交流合作工作。建立联系国内友好关系城市、负责县外单位在我县设立办事机构的备案工作。</w:t>
      </w:r>
    </w:p>
    <w:p>
      <w:pPr>
        <w:pStyle w:val="21"/>
      </w:pPr>
      <w:r>
        <w:t>（十五）监测分析全县商务运行情况，承担全县商务系统对外宣传和信息发布工作。</w:t>
      </w:r>
    </w:p>
    <w:p>
      <w:pPr>
        <w:pStyle w:val="21"/>
      </w:pPr>
      <w:r>
        <w:t>（十六）负责原商务、粮食系统改制企业资产、人员管理，处理原商务、粮食系统遗留问题，确保稳定，确保国有资产保值不流失。</w:t>
      </w:r>
    </w:p>
    <w:p>
      <w:pPr>
        <w:pStyle w:val="21"/>
      </w:pPr>
      <w:r>
        <w:t>（十七）负责拟订招商引资、利用外资、区域协作中长期发展规划、年度计划并组织实施；研究拟订投资促进政策，承担县投资促进工作领导小组日常工作。</w:t>
      </w:r>
    </w:p>
    <w:p>
      <w:pPr>
        <w:pStyle w:val="21"/>
      </w:pPr>
      <w:r>
        <w:t>（十八）负责建立投资促进工作体系、工作机制，对利用国内外资金和经济技术合作进行统计、汇总、分析。</w:t>
      </w:r>
    </w:p>
    <w:p>
      <w:pPr>
        <w:pStyle w:val="21"/>
      </w:pPr>
      <w:r>
        <w:t>（十九）负责促进资金、技术、人才、项目引进和产业对接，争取招商引资相关政策、资金和项目支持。</w:t>
      </w:r>
    </w:p>
    <w:p>
      <w:pPr>
        <w:pStyle w:val="21"/>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21"/>
      </w:pPr>
      <w:r>
        <w:t>（二十一）负责国（境）内外重大投资促进活动的谋划、方案制定和组织实施；牵头组织专业性、行业性投资促进活动；指导协调各乡镇开展招商活动。</w:t>
      </w:r>
    </w:p>
    <w:p>
      <w:pPr>
        <w:pStyle w:val="21"/>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1"/>
      </w:pPr>
      <w:r>
        <w:t>（二十三）负责对国（境）内外重要客户的联络拓展、重要团组和客户来访考察、洽谈的组织。</w:t>
      </w:r>
    </w:p>
    <w:p>
      <w:pPr>
        <w:pStyle w:val="21"/>
      </w:pPr>
      <w:r>
        <w:t>（二十四）组织和促进委托招商、代理招商、中介招商、专业招商、网上招商等多种形式的招商活动，制订并落实奖励政策；加强招商引资专业人才队伍建设。</w:t>
      </w:r>
    </w:p>
    <w:p>
      <w:pPr>
        <w:pStyle w:val="21"/>
      </w:pPr>
      <w:r>
        <w:t>（二十五）负责引进央企资金、项目及各项合作，促进合作项目的建设，负责为央企服务工作；负责外商投资项目建设的跟踪、协调和服务工作，负责引进资金到位统计工作。</w:t>
      </w:r>
    </w:p>
    <w:p>
      <w:pPr>
        <w:pStyle w:val="21"/>
      </w:pPr>
      <w:r>
        <w:t>（二十六）负责指导全县经济技术交流与区域经济技术合作工作；负责区域间资金、项目、人才、科研成果及产业合作工作，开展与重点大专院校、科研院所合作。</w:t>
      </w:r>
    </w:p>
    <w:p>
      <w:pPr>
        <w:pStyle w:val="21"/>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21"/>
      </w:pPr>
      <w:r>
        <w:t>（二十八）完成县委、县政府交办的其他任务。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无极县招商服务中心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部门预算的编制实行综合预算管理，即全部收入和支出都反映在预算中。无极县商务局机关及所属事业单位的收支包含在部门预算中。</w:t>
      </w:r>
    </w:p>
    <w:p>
      <w:pPr>
        <w:spacing w:before="10" w:after="10" w:line="360" w:lineRule="auto"/>
        <w:ind w:firstLine="640"/>
        <w:outlineLvl w:val="2"/>
        <w:rPr>
          <w:rFonts w:eastAsia="方正仿宋_GBK"/>
          <w:color w:val="000000"/>
          <w:sz w:val="28"/>
        </w:rPr>
      </w:pPr>
      <w:bookmarkStart w:id="11" w:name="_Toc_3_3_0000000012"/>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hint="eastAsia" w:asciiTheme="minorEastAsia" w:hAnsiTheme="minorEastAsia" w:eastAsiaTheme="minorEastAsia"/>
          <w:color w:val="000000"/>
          <w:sz w:val="28"/>
          <w:lang w:eastAsia="zh-CN"/>
        </w:rPr>
        <w:t>620.9</w:t>
      </w:r>
      <w:r>
        <w:rPr>
          <w:rFonts w:hint="eastAsia" w:eastAsia="方正仿宋_GBK"/>
          <w:color w:val="000000"/>
          <w:sz w:val="28"/>
        </w:rPr>
        <w:t>万元，其中：一般公共预算拨款</w:t>
      </w:r>
      <w:r>
        <w:rPr>
          <w:rFonts w:hint="eastAsia" w:asciiTheme="minorEastAsia" w:hAnsiTheme="minorEastAsia" w:eastAsiaTheme="minorEastAsia"/>
          <w:color w:val="000000"/>
          <w:sz w:val="28"/>
          <w:lang w:eastAsia="zh-CN"/>
        </w:rPr>
        <w:t>620.9</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 xml:space="preserve"> </w:t>
      </w:r>
      <w:r>
        <w:rPr>
          <w:rFonts w:hint="eastAsia" w:asciiTheme="minorEastAsia" w:hAnsiTheme="minorEastAsia" w:eastAsiaTheme="minorEastAsia"/>
          <w:color w:val="000000"/>
          <w:sz w:val="28"/>
          <w:lang w:eastAsia="zh-CN"/>
        </w:rPr>
        <w:t>商务</w:t>
      </w:r>
      <w:r>
        <w:rPr>
          <w:rFonts w:hint="eastAsia" w:asciiTheme="minorEastAsia" w:hAnsiTheme="minorEastAsia" w:eastAsiaTheme="minorEastAsia"/>
          <w:color w:val="000000"/>
          <w:sz w:val="28"/>
          <w:lang w:val="en-US" w:eastAsia="zh-CN"/>
        </w:rPr>
        <w:t>局</w:t>
      </w:r>
      <w:r>
        <w:rPr>
          <w:rFonts w:hint="eastAsia" w:eastAsia="方正仿宋_GBK"/>
          <w:color w:val="000000"/>
          <w:sz w:val="28"/>
        </w:rPr>
        <w:t>年度部门预算中支出预算的总体情况。</w:t>
      </w:r>
      <w:r>
        <w:rPr>
          <w:rFonts w:eastAsia="方正仿宋_GBK"/>
          <w:color w:val="000000"/>
          <w:sz w:val="28"/>
        </w:rPr>
        <w:t>2022</w:t>
      </w:r>
      <w:r>
        <w:rPr>
          <w:rFonts w:hint="eastAsia" w:eastAsia="方正仿宋_GBK"/>
          <w:color w:val="000000"/>
          <w:sz w:val="28"/>
        </w:rPr>
        <w:t>年部门支出预算为</w:t>
      </w:r>
      <w:r>
        <w:rPr>
          <w:rFonts w:hint="eastAsia" w:asciiTheme="minorEastAsia" w:hAnsiTheme="minorEastAsia" w:eastAsiaTheme="minorEastAsia"/>
          <w:color w:val="000000"/>
          <w:sz w:val="28"/>
          <w:lang w:eastAsia="zh-CN"/>
        </w:rPr>
        <w:t>620.9</w:t>
      </w:r>
      <w:r>
        <w:rPr>
          <w:rFonts w:hint="eastAsia" w:eastAsia="方正仿宋_GBK"/>
          <w:color w:val="000000"/>
          <w:sz w:val="28"/>
        </w:rPr>
        <w:t>万元，其中基本支出</w:t>
      </w:r>
      <w:r>
        <w:rPr>
          <w:rFonts w:hint="eastAsia" w:asciiTheme="minorEastAsia" w:hAnsiTheme="minorEastAsia" w:eastAsiaTheme="minorEastAsia"/>
          <w:color w:val="000000"/>
          <w:sz w:val="28"/>
          <w:lang w:eastAsia="zh-CN"/>
        </w:rPr>
        <w:t>620.9</w:t>
      </w:r>
      <w:r>
        <w:rPr>
          <w:rFonts w:hint="eastAsia" w:eastAsia="方正仿宋_GBK"/>
          <w:color w:val="000000"/>
          <w:sz w:val="28"/>
        </w:rPr>
        <w:t>元，包括人员经费</w:t>
      </w:r>
      <w:r>
        <w:rPr>
          <w:rFonts w:hint="eastAsia" w:asciiTheme="minorEastAsia" w:hAnsiTheme="minorEastAsia" w:eastAsiaTheme="minorEastAsia"/>
          <w:color w:val="000000"/>
          <w:sz w:val="28"/>
          <w:lang w:eastAsia="zh-CN"/>
        </w:rPr>
        <w:t>568.9</w:t>
      </w:r>
      <w:r>
        <w:rPr>
          <w:rFonts w:hint="eastAsia" w:eastAsia="方正仿宋_GBK"/>
          <w:color w:val="000000"/>
          <w:sz w:val="28"/>
        </w:rPr>
        <w:t>万元和日常公用经费</w:t>
      </w:r>
      <w:r>
        <w:rPr>
          <w:rFonts w:hint="eastAsia" w:asciiTheme="minorEastAsia" w:hAnsiTheme="minorEastAsia" w:eastAsiaTheme="minorEastAsia"/>
          <w:color w:val="000000"/>
          <w:sz w:val="28"/>
          <w:lang w:eastAsia="zh-CN"/>
        </w:rPr>
        <w:t>52</w:t>
      </w:r>
      <w:r>
        <w:rPr>
          <w:rFonts w:hint="eastAsia" w:eastAsia="方正仿宋_GBK"/>
          <w:color w:val="000000"/>
          <w:sz w:val="28"/>
        </w:rPr>
        <w:t>万元；项目支出</w:t>
      </w:r>
      <w:r>
        <w:rPr>
          <w:rFonts w:hint="eastAsia" w:asciiTheme="minorEastAsia" w:hAnsiTheme="minorEastAsia" w:eastAsiaTheme="minorEastAsia"/>
          <w:color w:val="000000"/>
          <w:sz w:val="28"/>
          <w:lang w:eastAsia="zh-CN"/>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eastAsiaTheme="minorEastAsia"/>
          <w:color w:val="000000"/>
          <w:sz w:val="28"/>
          <w:lang w:eastAsia="zh-CN"/>
        </w:rPr>
      </w:pPr>
      <w:r>
        <w:rPr>
          <w:rFonts w:eastAsia="方正仿宋_GBK"/>
          <w:color w:val="000000"/>
          <w:sz w:val="28"/>
        </w:rPr>
        <w:t>2022</w:t>
      </w:r>
      <w:r>
        <w:rPr>
          <w:rFonts w:hint="eastAsia" w:eastAsia="方正仿宋_GBK"/>
          <w:color w:val="000000"/>
          <w:sz w:val="28"/>
        </w:rPr>
        <w:t>年部门预算支出较</w:t>
      </w:r>
      <w:r>
        <w:rPr>
          <w:rFonts w:eastAsia="方正仿宋_GBK"/>
          <w:color w:val="000000"/>
          <w:sz w:val="28"/>
        </w:rPr>
        <w:t>2021</w:t>
      </w:r>
      <w:r>
        <w:rPr>
          <w:rFonts w:hint="eastAsia" w:eastAsia="方正仿宋_GBK"/>
          <w:color w:val="000000"/>
          <w:sz w:val="28"/>
        </w:rPr>
        <w:t>年</w:t>
      </w:r>
      <w:r>
        <w:rPr>
          <w:rFonts w:hint="eastAsia" w:asciiTheme="minorEastAsia" w:hAnsiTheme="minorEastAsia" w:eastAsiaTheme="minorEastAsia"/>
          <w:color w:val="000000"/>
          <w:sz w:val="28"/>
          <w:lang w:eastAsia="zh-CN"/>
        </w:rPr>
        <w:t>减少501.07</w:t>
      </w:r>
      <w:r>
        <w:rPr>
          <w:rFonts w:hint="eastAsia" w:eastAsia="方正仿宋_GBK"/>
          <w:color w:val="000000"/>
          <w:sz w:val="28"/>
        </w:rPr>
        <w:t>万元，其中：基本支出</w:t>
      </w:r>
      <w:r>
        <w:rPr>
          <w:rFonts w:hint="eastAsia" w:asciiTheme="minorEastAsia" w:hAnsiTheme="minorEastAsia" w:eastAsiaTheme="minorEastAsia"/>
          <w:color w:val="000000"/>
          <w:sz w:val="28"/>
          <w:lang w:eastAsia="zh-CN"/>
        </w:rPr>
        <w:t>减少166.08</w:t>
      </w:r>
      <w:r>
        <w:rPr>
          <w:rFonts w:hint="eastAsia" w:eastAsia="方正仿宋_GBK"/>
          <w:color w:val="000000"/>
          <w:sz w:val="28"/>
        </w:rPr>
        <w:t>万元，主要是</w:t>
      </w:r>
      <w:r>
        <w:rPr>
          <w:rFonts w:hint="eastAsia" w:asciiTheme="minorEastAsia" w:hAnsiTheme="minorEastAsia" w:eastAsiaTheme="minorEastAsia"/>
          <w:color w:val="000000"/>
          <w:sz w:val="28"/>
          <w:lang w:eastAsia="zh-CN"/>
        </w:rPr>
        <w:t>下属单位人员分流</w:t>
      </w:r>
      <w:r>
        <w:rPr>
          <w:rFonts w:hint="eastAsia" w:eastAsia="方正仿宋_GBK"/>
          <w:color w:val="000000"/>
          <w:sz w:val="28"/>
        </w:rPr>
        <w:t>；项目支出</w:t>
      </w:r>
      <w:r>
        <w:rPr>
          <w:rFonts w:hint="eastAsia" w:asciiTheme="minorEastAsia" w:hAnsiTheme="minorEastAsia" w:eastAsiaTheme="minorEastAsia"/>
          <w:color w:val="000000"/>
          <w:sz w:val="28"/>
          <w:lang w:eastAsia="zh-CN"/>
        </w:rPr>
        <w:t>减少334.99</w:t>
      </w:r>
      <w:r>
        <w:rPr>
          <w:rFonts w:hint="eastAsia" w:eastAsia="方正仿宋_GBK"/>
          <w:color w:val="000000"/>
          <w:sz w:val="28"/>
        </w:rPr>
        <w:t>万元</w:t>
      </w:r>
      <w:r>
        <w:rPr>
          <w:rFonts w:hint="eastAsia" w:asciiTheme="minorEastAsia" w:hAnsiTheme="minorEastAsia" w:eastAsiaTheme="minorEastAsia"/>
          <w:color w:val="000000"/>
          <w:sz w:val="28"/>
          <w:lang w:eastAsia="zh-CN"/>
        </w:rP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3"/>
      </w:pPr>
      <w:r>
        <w:t>2022年，我部门机关运行经费共计安排</w:t>
      </w:r>
      <w:r>
        <w:rPr>
          <w:rFonts w:hint="eastAsia"/>
          <w:lang w:val="en-US" w:eastAsia="zh-CN"/>
        </w:rPr>
        <w:t>52</w:t>
      </w:r>
      <w:r>
        <w:t>万元，主要用于保证机关正常运行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w:t>
      </w:r>
      <w:r>
        <w:rPr>
          <w:rFonts w:hint="eastAsia" w:asciiTheme="minorEastAsia" w:hAnsiTheme="minorEastAsia" w:eastAsiaTheme="minorEastAsia"/>
          <w:lang w:eastAsia="zh-CN"/>
        </w:rPr>
        <w:t>0</w:t>
      </w:r>
      <w:r>
        <w:t>万元，其中：因公出国（境）费0万元；公务用车购置及运维费</w:t>
      </w:r>
      <w:r>
        <w:rPr>
          <w:rFonts w:hint="eastAsia" w:asciiTheme="minorEastAsia" w:hAnsiTheme="minorEastAsia" w:eastAsiaTheme="minorEastAsia"/>
          <w:lang w:eastAsia="zh-CN"/>
        </w:rPr>
        <w:t>0</w:t>
      </w:r>
      <w:r>
        <w:t>万元（其中：公务用车购置费0万元，公务用车运行维护费</w:t>
      </w:r>
      <w:r>
        <w:rPr>
          <w:rFonts w:hint="eastAsia" w:asciiTheme="minorEastAsia" w:hAnsiTheme="minorEastAsia" w:eastAsiaTheme="minorEastAsia"/>
          <w:lang w:eastAsia="zh-CN"/>
        </w:rPr>
        <w:t>0</w:t>
      </w:r>
      <w:r>
        <w:t>万元）；公务接待费0万元。“三公”经费比上年减</w:t>
      </w:r>
      <w:r>
        <w:rPr>
          <w:rFonts w:hint="eastAsia"/>
          <w:lang w:eastAsia="zh-CN"/>
        </w:rPr>
        <w:t>少3万元</w:t>
      </w:r>
      <w:r>
        <w:t>，主要是</w:t>
      </w:r>
      <w:r>
        <w:rPr>
          <w:rFonts w:hint="eastAsia"/>
          <w:lang w:eastAsia="zh-CN"/>
        </w:rPr>
        <w:t>今年未安排公车运行维护费</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2022年，商务局</w:t>
      </w:r>
      <w:r>
        <w:rPr>
          <w:rFonts w:ascii="Times New Roman" w:hAnsi="Times New Roman" w:eastAsia="方正仿宋_GBK" w:cs="Times New Roman"/>
          <w:sz w:val="28"/>
          <w:szCs w:val="24"/>
          <w:lang w:val="en-US" w:eastAsia="uk-UA" w:bidi="ar-SA"/>
        </w:rPr>
        <w:t>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w:t>
      </w:r>
      <w:r>
        <w:rPr>
          <w:rFonts w:hint="eastAsia" w:cs="Times New Roman"/>
          <w:sz w:val="28"/>
          <w:szCs w:val="24"/>
          <w:lang w:val="en-US" w:eastAsia="zh-CN" w:bidi="ar-SA"/>
        </w:rPr>
        <w:t>作出更大贡献</w:t>
      </w:r>
      <w:r>
        <w:rPr>
          <w:rFonts w:ascii="Times New Roman" w:hAnsi="Times New Roman" w:eastAsia="方正仿宋_GBK" w:cs="Times New Roman"/>
          <w:sz w:val="28"/>
          <w:szCs w:val="24"/>
          <w:lang w:val="en-US" w:eastAsia="uk-UA" w:bidi="ar-SA"/>
        </w:rPr>
        <w:t>。</w:t>
      </w:r>
    </w:p>
    <w:p>
      <w:pPr>
        <w:spacing w:line="500" w:lineRule="exact"/>
        <w:ind w:firstLine="560"/>
      </w:pPr>
      <w:r>
        <w:rPr>
          <w:rFonts w:eastAsia="方正仿宋_GBK"/>
          <w:color w:val="000000"/>
          <w:sz w:val="28"/>
        </w:rPr>
        <w:t>（二）分项绩效目标</w:t>
      </w:r>
    </w:p>
    <w:p>
      <w:pPr>
        <w:pStyle w:val="26"/>
      </w:pPr>
      <w:r>
        <w:t>规范活动程序，提高学习质量。</w:t>
      </w:r>
    </w:p>
    <w:p>
      <w:pPr>
        <w:pStyle w:val="26"/>
        <w:ind w:firstLineChars="200"/>
      </w:pPr>
      <w:r>
        <w:t>1、开拓国内市场</w:t>
      </w:r>
    </w:p>
    <w:p>
      <w:pPr>
        <w:pStyle w:val="26"/>
      </w:pPr>
      <w:r>
        <w:t>绩效目标：扩大我县产品的知名度，增加国内市场份额。</w:t>
      </w:r>
    </w:p>
    <w:p>
      <w:pPr>
        <w:pStyle w:val="26"/>
      </w:pPr>
      <w:r>
        <w:t>绩效指标：参展企业数量（家）〉3。</w:t>
      </w:r>
    </w:p>
    <w:p>
      <w:pPr>
        <w:pStyle w:val="26"/>
      </w:pPr>
      <w:r>
        <w:t>2、促进商贸流通</w:t>
      </w:r>
    </w:p>
    <w:p>
      <w:pPr>
        <w:pStyle w:val="26"/>
      </w:pPr>
      <w:r>
        <w:t>绩效目标：完善农产品流通和农村市场体系。</w:t>
      </w:r>
    </w:p>
    <w:p>
      <w:pPr>
        <w:pStyle w:val="26"/>
      </w:pPr>
      <w:r>
        <w:t>绩效指标：投资的农产品市场或农村市场销售额增长率〉10%。</w:t>
      </w:r>
    </w:p>
    <w:p>
      <w:pPr>
        <w:pStyle w:val="26"/>
      </w:pPr>
      <w:r>
        <w:t>3、农村电子商务建设</w:t>
      </w:r>
    </w:p>
    <w:p>
      <w:pPr>
        <w:pStyle w:val="26"/>
      </w:pPr>
      <w:r>
        <w:t>绩效目标：推动农村电子商务基础设施建设。</w:t>
      </w:r>
    </w:p>
    <w:p>
      <w:pPr>
        <w:pStyle w:val="26"/>
      </w:pPr>
      <w:r>
        <w:t>绩效指标：农村电商企业营业额增长率〉10%。</w:t>
      </w:r>
    </w:p>
    <w:p>
      <w:pPr>
        <w:pStyle w:val="26"/>
      </w:pPr>
      <w:r>
        <w:t>4、消费市场调控</w:t>
      </w:r>
    </w:p>
    <w:p>
      <w:pPr>
        <w:pStyle w:val="26"/>
      </w:pPr>
      <w:r>
        <w:t>绩效目标：准确监测市场运行情况，及时预测预警。</w:t>
      </w:r>
    </w:p>
    <w:p>
      <w:pPr>
        <w:pStyle w:val="26"/>
      </w:pPr>
      <w:r>
        <w:t>绩效指标：监测信息报送率〉80%。</w:t>
      </w:r>
    </w:p>
    <w:p>
      <w:pPr>
        <w:pStyle w:val="26"/>
      </w:pPr>
      <w:r>
        <w:t>5、招商引资</w:t>
      </w:r>
    </w:p>
    <w:p>
      <w:pPr>
        <w:pStyle w:val="26"/>
      </w:pPr>
      <w:r>
        <w:t>绩效目标：在重点产业引进一批战略支撑项目、龙头企业和协力配套企业。</w:t>
      </w:r>
    </w:p>
    <w:p>
      <w:pPr>
        <w:pStyle w:val="26"/>
      </w:pPr>
      <w:r>
        <w:t>绩效指标：招商引资规模增长率〉1%。</w:t>
      </w:r>
    </w:p>
    <w:p>
      <w:pPr>
        <w:pStyle w:val="26"/>
      </w:pPr>
      <w:r>
        <w:t>6、高新产品进出品管理</w:t>
      </w:r>
    </w:p>
    <w:p>
      <w:pPr>
        <w:pStyle w:val="26"/>
      </w:pPr>
      <w:r>
        <w:t>绩效目标：积极开拓国际、国内两个市场，不断优化产品结构和市场结构。</w:t>
      </w:r>
    </w:p>
    <w:p>
      <w:pPr>
        <w:pStyle w:val="26"/>
      </w:pPr>
      <w:r>
        <w:t>绩效指标：高新产品出口额增长率〉1%。</w:t>
      </w:r>
    </w:p>
    <w:p>
      <w:pPr>
        <w:pStyle w:val="26"/>
      </w:pPr>
      <w:r>
        <w:t xml:space="preserve">7、发展服务贸易和服务外包 </w:t>
      </w:r>
    </w:p>
    <w:p>
      <w:pPr>
        <w:pStyle w:val="26"/>
      </w:pPr>
      <w:r>
        <w:t>绩效目标：转变对外贸易发展方式，提升服务贸易对全县外贸增长的拉动作用。</w:t>
      </w:r>
    </w:p>
    <w:p>
      <w:pPr>
        <w:pStyle w:val="26"/>
      </w:pPr>
      <w:r>
        <w:t xml:space="preserve">绩效指标：组织参展个数（个）〉9。 </w:t>
      </w:r>
    </w:p>
    <w:p>
      <w:pPr>
        <w:pStyle w:val="26"/>
      </w:pPr>
      <w:r>
        <w:t>8、促进对外经贸服务</w:t>
      </w:r>
    </w:p>
    <w:p>
      <w:pPr>
        <w:pStyle w:val="26"/>
      </w:pPr>
      <w:r>
        <w:t xml:space="preserve">绩效目标：确保对外经济合作业务稳定增长。 </w:t>
      </w:r>
    </w:p>
    <w:p>
      <w:pPr>
        <w:pStyle w:val="26"/>
      </w:pPr>
      <w:r>
        <w:t>绩效指标：中小企业出口额增长率持平。</w:t>
      </w:r>
    </w:p>
    <w:p>
      <w:pPr>
        <w:pStyle w:val="26"/>
      </w:pPr>
      <w:r>
        <w:t>9、加快培育外贸竞争新优势</w:t>
      </w:r>
    </w:p>
    <w:p>
      <w:pPr>
        <w:pStyle w:val="26"/>
      </w:pPr>
      <w:r>
        <w:t>绩效目标：优化外贸商品结构、市场结构、主体结构、贸易方式结构。</w:t>
      </w:r>
    </w:p>
    <w:p>
      <w:pPr>
        <w:pStyle w:val="26"/>
      </w:pPr>
      <w:r>
        <w:t xml:space="preserve">绩效指标：外贸综合服务企业增长率持平。 </w:t>
      </w:r>
    </w:p>
    <w:p>
      <w:pPr>
        <w:pStyle w:val="26"/>
      </w:pPr>
      <w:r>
        <w:t>10、综合业务管理</w:t>
      </w:r>
    </w:p>
    <w:p>
      <w:pPr>
        <w:pStyle w:val="26"/>
      </w:pPr>
      <w:r>
        <w:t>绩效目标：保障各项业务工作畅通。</w:t>
      </w:r>
    </w:p>
    <w:p>
      <w:pPr>
        <w:pStyle w:val="26"/>
      </w:pPr>
      <w:r>
        <w:t>绩效指标：综合事务管理工作完成率〉90%。</w:t>
      </w:r>
    </w:p>
    <w:p>
      <w:pPr>
        <w:pStyle w:val="26"/>
      </w:pPr>
      <w:r>
        <w:t>11、综合事务管理</w:t>
      </w:r>
    </w:p>
    <w:p>
      <w:pPr>
        <w:pStyle w:val="26"/>
      </w:pPr>
      <w:r>
        <w:t>绩效目标：保障机关正常工作有效运转。</w:t>
      </w:r>
    </w:p>
    <w:p>
      <w:pPr>
        <w:pStyle w:val="26"/>
      </w:pPr>
      <w:r>
        <w:t>绩效指标：综合事务管理工作完成率〉90%.</w:t>
      </w:r>
    </w:p>
    <w:p>
      <w:pPr>
        <w:spacing w:line="500" w:lineRule="exact"/>
        <w:ind w:firstLine="280" w:firstLineChars="100"/>
      </w:pPr>
      <w:r>
        <w:rPr>
          <w:rFonts w:eastAsia="方正仿宋_GBK"/>
          <w:color w:val="000000"/>
          <w:sz w:val="28"/>
        </w:rPr>
        <w:t>（三）工作保障措施</w:t>
      </w:r>
    </w:p>
    <w:p>
      <w:pPr>
        <w:pStyle w:val="27"/>
        <w:ind w:firstLineChars="200"/>
      </w:pPr>
      <w:r>
        <w:t>完善制度建设。制定完善预算绩效管理制度、工作保障制度、从而保证准时有效完成备案登记和数据统计工作。及时受理企业进出口备案事事项变更申请，抽调工作效率；进一步完善进出口数据月（季）报统计分析工作流程，提高为县领导和有关部门提供进出口信息的准确性；完善资金管理办法。为全年预算绩效目标的实现、确保各项安全工作的落实、各项工作有序开展，奠定制度基础，确保商务系统安全生产无事故，开创安全生产工作的新局面。</w:t>
      </w:r>
    </w:p>
    <w:p>
      <w:pPr>
        <w:pStyle w:val="27"/>
      </w:pPr>
      <w:r>
        <w:t>加强支出管理。通过优化支出结构、编细编实预算、加快履行政府采购手续、尽快启动项目、及时支付资金、6月底前细化代码预算、按规定及时下达资金等多种措施，确保支出进度达标。</w:t>
      </w:r>
    </w:p>
    <w:p>
      <w:pPr>
        <w:pStyle w:val="27"/>
      </w:pPr>
      <w:r>
        <w:t>做好绩效自评。按要求开展上年度部门预算绩效自评和重点评价工作，对评价中发现的问题及时整改，调整优化支出结构，提高财政资金使用效益。在实际工作中加强与市上级部门相关处室沟通、联系、积极为符合条件的外贸企业申报和争取各项扶持发展资金，有针对性的做好企业帮扶工作；鼓励、引导外贸出口企业对外投资、建立海外仓、开展跨境电子商务业务，不断创新外贸发展方式，增加企业收入。</w:t>
      </w:r>
    </w:p>
    <w:p>
      <w:pPr>
        <w:pStyle w:val="27"/>
      </w:pPr>
      <w:r>
        <w:t>规范财务资产管理。完善财务管理制度，严格审批程序，加强固定资产登记、使用各报废处理管理，继续抓好商贸物流项目建设。一是继续抓好限上企业统计上报工作。二是抓好重点商贸项目建设和便民市场建设。三是抓好成品油企业的年检及变更等工作。四是继续抓好市场运行监测和调控工作。五是继续抓好农村电商全覆盖、淘宝村建设、企业电商、电商扶贫等工作。六是继续抓好会展工作。做到支出合理，物尽其用，达到底数清、情况明的最佳效果。</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积极开展汽车销售、报废汽车回收管理、营造我县良好的商务市场秩序。</w:t>
      </w:r>
    </w:p>
    <w:p>
      <w:pPr>
        <w:pStyle w:val="27"/>
      </w:pPr>
      <w:r>
        <w:t>加强宣传培训调研等。加强人员培训，提高本部门职工业务素质；加强调研，搞好调查摸底。对我市外贸企业进行调查摸底，引导生产企业在我县设立贸易公司。引导无出口资质的零散商户挂靠我县龙头企业出口，实现双赢。与此同时，加强政策指导，积极引进外贸出口企业，不断增加我市外贸出口额；提出优化财政资金配置、提高资金使用毅然决然的意见见议；加大宣传力度，强化预算绩效管理水平，积极组织外贸企业参加上级安排的政策及业务培训会；邀请相关专家对我市的外贸进出口企业进行外贸知识培训及相关业务指导，不断提高外贸企业管理人员的业务素质。引导、鼓励外贸进出口企业积极参加境内外商品展销会，促进预算绩效管理水平进一步提升。</w:t>
      </w:r>
    </w:p>
    <w:p>
      <w:pPr>
        <w:pStyle w:val="27"/>
      </w:pPr>
    </w:p>
    <w:p>
      <w:pPr>
        <w:ind w:firstLine="640"/>
        <w:rPr>
          <w:rFonts w:eastAsiaTheme="minorEastAsia"/>
          <w:lang w:eastAsia="zh-CN"/>
        </w:rPr>
      </w:pPr>
      <w:r>
        <w:rPr>
          <w:rFonts w:ascii="方正楷体_GBK" w:hAnsi="方正楷体_GBK" w:eastAsia="方正楷体_GBK" w:cs="方正楷体_GBK"/>
          <w:b/>
          <w:color w:val="000000"/>
          <w:sz w:val="32"/>
        </w:rPr>
        <w:t>第二部分  专项资金绩效目标</w:t>
      </w:r>
    </w:p>
    <w:p>
      <w:pPr>
        <w:ind w:firstLine="640"/>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rPr>
          <w:rFonts w:eastAsiaTheme="minorEastAsia"/>
          <w:lang w:eastAsia="zh-CN"/>
        </w:r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2022年，无极县商务局</w:t>
      </w:r>
      <w:r>
        <w:rPr>
          <w:rFonts w:hint="eastAsia" w:asciiTheme="minorEastAsia" w:hAnsiTheme="minorEastAsia" w:eastAsiaTheme="minorEastAsia"/>
          <w:color w:val="000000"/>
          <w:sz w:val="28"/>
          <w:lang w:eastAsia="zh-CN"/>
        </w:rPr>
        <w:t>本级</w:t>
      </w:r>
      <w:r>
        <w:rPr>
          <w:rFonts w:eastAsia="方正仿宋_GBK"/>
          <w:color w:val="000000"/>
          <w:sz w:val="28"/>
        </w:rPr>
        <w:t>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无极县商务局（含所属单位）上年末固定资产金额为208.12万元（详见下表）。本年度拟购置固定资产总额为0.00万元，已按要求列入政府采购预算，详见政府采购预算表。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322无极县商务局</w:t>
            </w:r>
            <w:r>
              <w:rPr>
                <w:rFonts w:hint="eastAsia" w:asciiTheme="minorEastAsia" w:hAnsiTheme="minorEastAsia" w:eastAsiaTheme="minorEastAsia"/>
                <w:lang w:eastAsia="zh-CN"/>
              </w:rPr>
              <w:t>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680</w:t>
            </w:r>
          </w:p>
        </w:tc>
        <w:tc>
          <w:tcPr>
            <w:tcW w:w="2835" w:type="dxa"/>
            <w:vAlign w:val="center"/>
          </w:tcPr>
          <w:p>
            <w:pPr>
              <w:pStyle w:val="15"/>
            </w:pPr>
            <w:r>
              <w:t>63.31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53.31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45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44</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5C7FA3"/>
    <w:rsid w:val="0007177C"/>
    <w:rsid w:val="00177779"/>
    <w:rsid w:val="001D09F5"/>
    <w:rsid w:val="002A60C5"/>
    <w:rsid w:val="00310B2E"/>
    <w:rsid w:val="00377F61"/>
    <w:rsid w:val="003E32DC"/>
    <w:rsid w:val="00463B08"/>
    <w:rsid w:val="005B5FCD"/>
    <w:rsid w:val="005C7FA3"/>
    <w:rsid w:val="005D45B6"/>
    <w:rsid w:val="00680E41"/>
    <w:rsid w:val="00850745"/>
    <w:rsid w:val="008A3985"/>
    <w:rsid w:val="008F133C"/>
    <w:rsid w:val="00A3778D"/>
    <w:rsid w:val="00B65A75"/>
    <w:rsid w:val="00D624C9"/>
    <w:rsid w:val="00E04DD7"/>
    <w:rsid w:val="00FD3125"/>
    <w:rsid w:val="00FF2400"/>
    <w:rsid w:val="054C7917"/>
    <w:rsid w:val="07B66982"/>
    <w:rsid w:val="0A4F60F9"/>
    <w:rsid w:val="0E78533A"/>
    <w:rsid w:val="0EF75D90"/>
    <w:rsid w:val="121E1A16"/>
    <w:rsid w:val="13D2503A"/>
    <w:rsid w:val="18247EA8"/>
    <w:rsid w:val="1C864BDA"/>
    <w:rsid w:val="1F3F2EA1"/>
    <w:rsid w:val="1FB66096"/>
    <w:rsid w:val="241B5F4A"/>
    <w:rsid w:val="244F0190"/>
    <w:rsid w:val="269E74BF"/>
    <w:rsid w:val="2BE23316"/>
    <w:rsid w:val="2F971705"/>
    <w:rsid w:val="30F0384B"/>
    <w:rsid w:val="324C1127"/>
    <w:rsid w:val="33C83183"/>
    <w:rsid w:val="351D0231"/>
    <w:rsid w:val="3F3512C1"/>
    <w:rsid w:val="40F75E6C"/>
    <w:rsid w:val="42563492"/>
    <w:rsid w:val="43E54ECF"/>
    <w:rsid w:val="47CE2188"/>
    <w:rsid w:val="4F7876CF"/>
    <w:rsid w:val="56781A69"/>
    <w:rsid w:val="58BC4221"/>
    <w:rsid w:val="5B9C5CF9"/>
    <w:rsid w:val="5C5D5D2C"/>
    <w:rsid w:val="5C74433D"/>
    <w:rsid w:val="5C8C19E4"/>
    <w:rsid w:val="5E7F1E13"/>
    <w:rsid w:val="5EA26B50"/>
    <w:rsid w:val="5EBA41F7"/>
    <w:rsid w:val="62D21DAE"/>
    <w:rsid w:val="68AE634B"/>
    <w:rsid w:val="697D4F6A"/>
    <w:rsid w:val="6AAF1314"/>
    <w:rsid w:val="6CAB36D8"/>
    <w:rsid w:val="6FB026CC"/>
    <w:rsid w:val="707115E3"/>
    <w:rsid w:val="730F3052"/>
    <w:rsid w:val="747B6710"/>
    <w:rsid w:val="74EA16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2022-06-16T11:17:52Z</dcterms:created>
  <dcterms:modified xsi:type="dcterms:W3CDTF">2022-06-16T03:17:52Z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2022-06-16T11:17:54Z</dcterms:created>
  <dcterms:modified xsi:type="dcterms:W3CDTF">2022-06-16T03:17:54Z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2022-06-16T11:17:56Z</dcterms:created>
  <dcterms:modified xsi:type="dcterms:W3CDTF">2022-06-16T03:17:55Z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2022-06-16T11:17:51Z</dcterms:created>
  <dcterms:modified xsi:type="dcterms:W3CDTF">2022-06-16T03:17:51Z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2022-06-16T11:17:57Z</dcterms:created>
  <dcterms:modified xsi:type="dcterms:W3CDTF">2022-06-16T03:17:57Z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2022-06-16T11:17:58Z</dcterms:created>
  <dcterms:modified xsi:type="dcterms:W3CDTF">2022-06-16T03:17:58Z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2022-06-16T11:17:54Z</dcterms:created>
  <dcterms:modified xsi:type="dcterms:W3CDTF">2022-06-16T03:17:53Z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2022-06-16T11:17:51Z</dcterms:created>
  <dcterms:modified xsi:type="dcterms:W3CDTF">2022-06-16T03:17:51Z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2022-06-16T11:17:56Z</dcterms:created>
  <dcterms:modified xsi:type="dcterms:W3CDTF">2022-06-16T03:17:56Z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A59BD6C-9A37-4DCC-86F8-34E89D62011B}">
  <ds:schemaRefs/>
</ds:datastoreItem>
</file>

<file path=customXml/itemProps11.xml><?xml version="1.0" encoding="utf-8"?>
<ds:datastoreItem xmlns:ds="http://schemas.openxmlformats.org/officeDocument/2006/customXml" ds:itemID="{09D206C5-5E71-4CEE-AA47-4F733A2CAE0B}">
  <ds:schemaRefs/>
</ds:datastoreItem>
</file>

<file path=customXml/itemProps12.xml><?xml version="1.0" encoding="utf-8"?>
<ds:datastoreItem xmlns:ds="http://schemas.openxmlformats.org/officeDocument/2006/customXml" ds:itemID="{FB485779-AEF2-491A-92F6-7CF6CC1981FE}">
  <ds:schemaRefs/>
</ds:datastoreItem>
</file>

<file path=customXml/itemProps13.xml><?xml version="1.0" encoding="utf-8"?>
<ds:datastoreItem xmlns:ds="http://schemas.openxmlformats.org/officeDocument/2006/customXml" ds:itemID="{51F36923-9D97-48A1-9CED-7FB3084C3E30}">
  <ds:schemaRefs/>
</ds:datastoreItem>
</file>

<file path=customXml/itemProps14.xml><?xml version="1.0" encoding="utf-8"?>
<ds:datastoreItem xmlns:ds="http://schemas.openxmlformats.org/officeDocument/2006/customXml" ds:itemID="{7A199AA4-B5C8-42CD-84E7-A738FD16D763}">
  <ds:schemaRefs/>
</ds:datastoreItem>
</file>

<file path=customXml/itemProps15.xml><?xml version="1.0" encoding="utf-8"?>
<ds:datastoreItem xmlns:ds="http://schemas.openxmlformats.org/officeDocument/2006/customXml" ds:itemID="{B69F7BE9-D615-4F5F-AF55-98C3D57E99AC}">
  <ds:schemaRefs/>
</ds:datastoreItem>
</file>

<file path=customXml/itemProps16.xml><?xml version="1.0" encoding="utf-8"?>
<ds:datastoreItem xmlns:ds="http://schemas.openxmlformats.org/officeDocument/2006/customXml" ds:itemID="{09869515-10C6-4A28-8A87-A1AC34EA8FA1}">
  <ds:schemaRefs/>
</ds:datastoreItem>
</file>

<file path=customXml/itemProps17.xml><?xml version="1.0" encoding="utf-8"?>
<ds:datastoreItem xmlns:ds="http://schemas.openxmlformats.org/officeDocument/2006/customXml" ds:itemID="{3A0FBBAA-AF96-4E3E-BF41-AF948C9C475C}">
  <ds:schemaRefs/>
</ds:datastoreItem>
</file>

<file path=customXml/itemProps18.xml><?xml version="1.0" encoding="utf-8"?>
<ds:datastoreItem xmlns:ds="http://schemas.openxmlformats.org/officeDocument/2006/customXml" ds:itemID="{50B9E841-B6CB-4B17-A22D-8F85C9A28818}">
  <ds:schemaRefs/>
</ds:datastoreItem>
</file>

<file path=customXml/itemProps19.xml><?xml version="1.0" encoding="utf-8"?>
<ds:datastoreItem xmlns:ds="http://schemas.openxmlformats.org/officeDocument/2006/customXml" ds:itemID="{698CEBB7-9C82-4180-B110-29C2798A762E}">
  <ds:schemaRefs/>
</ds:datastoreItem>
</file>

<file path=customXml/itemProps2.xml><?xml version="1.0" encoding="utf-8"?>
<ds:datastoreItem xmlns:ds="http://schemas.openxmlformats.org/officeDocument/2006/customXml" ds:itemID="{A947F8CB-14D6-4027-9A51-852288F924EE}">
  <ds:schemaRefs/>
</ds:datastoreItem>
</file>

<file path=customXml/itemProps20.xml><?xml version="1.0" encoding="utf-8"?>
<ds:datastoreItem xmlns:ds="http://schemas.openxmlformats.org/officeDocument/2006/customXml" ds:itemID="{A028FB55-511C-489E-A65B-D86FB18E2D40}">
  <ds:schemaRefs/>
</ds:datastoreItem>
</file>

<file path=customXml/itemProps3.xml><?xml version="1.0" encoding="utf-8"?>
<ds:datastoreItem xmlns:ds="http://schemas.openxmlformats.org/officeDocument/2006/customXml" ds:itemID="{7464F406-8847-4608-A591-4F54D23B9127}">
  <ds:schemaRefs/>
</ds:datastoreItem>
</file>

<file path=customXml/itemProps4.xml><?xml version="1.0" encoding="utf-8"?>
<ds:datastoreItem xmlns:ds="http://schemas.openxmlformats.org/officeDocument/2006/customXml" ds:itemID="{58E65E7C-40C1-4FA0-935E-E779F22C7257}">
  <ds:schemaRefs/>
</ds:datastoreItem>
</file>

<file path=customXml/itemProps5.xml><?xml version="1.0" encoding="utf-8"?>
<ds:datastoreItem xmlns:ds="http://schemas.openxmlformats.org/officeDocument/2006/customXml" ds:itemID="{3972085E-A950-4DB7-8108-761DA1ECBE35}">
  <ds:schemaRefs/>
</ds:datastoreItem>
</file>

<file path=customXml/itemProps6.xml><?xml version="1.0" encoding="utf-8"?>
<ds:datastoreItem xmlns:ds="http://schemas.openxmlformats.org/officeDocument/2006/customXml" ds:itemID="{E513A727-D67D-47EA-9527-4E797A7B66CA}">
  <ds:schemaRefs/>
</ds:datastoreItem>
</file>

<file path=customXml/itemProps7.xml><?xml version="1.0" encoding="utf-8"?>
<ds:datastoreItem xmlns:ds="http://schemas.openxmlformats.org/officeDocument/2006/customXml" ds:itemID="{990BF862-BDED-4969-B77B-645F928A8276}">
  <ds:schemaRefs/>
</ds:datastoreItem>
</file>

<file path=customXml/itemProps8.xml><?xml version="1.0" encoding="utf-8"?>
<ds:datastoreItem xmlns:ds="http://schemas.openxmlformats.org/officeDocument/2006/customXml" ds:itemID="{7D37137F-D607-4907-AF34-A5A68D34BE33}">
  <ds:schemaRefs/>
</ds:datastoreItem>
</file>

<file path=customXml/itemProps9.xml><?xml version="1.0" encoding="utf-8"?>
<ds:datastoreItem xmlns:ds="http://schemas.openxmlformats.org/officeDocument/2006/customXml" ds:itemID="{B7EFE02B-F1CA-4904-9243-432899A9909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73</Pages>
  <Words>19477</Words>
  <Characters>22008</Characters>
  <Lines>230</Lines>
  <Paragraphs>65</Paragraphs>
  <TotalTime>3</TotalTime>
  <ScaleCrop>false</ScaleCrop>
  <LinksUpToDate>false</LinksUpToDate>
  <CharactersWithSpaces>22416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2022-06-17T07:23:00Z</dcterms:created>
  <dc:creator>Administrator</dc:creator>
  <cp:lastModifiedBy>Administrator</cp:lastModifiedBy>
  <dcterms:modified xsi:type="dcterms:W3CDTF">2024-06-20T15:02:09Z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0D5CAD96E2AF4B58938B36689FDF8CF8</vt:lpwstr>
  </property>
</Properties>
</file>