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2200" w:firstLineChars="500"/>
        <w:rPr>
          <w:rFonts w:ascii="仿宋" w:hAnsi="仿宋" w:eastAsia="仿宋"/>
          <w:bCs/>
          <w:kern w:val="44"/>
          <w:sz w:val="44"/>
          <w:szCs w:val="44"/>
        </w:rPr>
      </w:pPr>
      <w:bookmarkStart w:id="11" w:name="_GoBack"/>
      <w:bookmarkEnd w:id="11"/>
      <w:r>
        <w:rPr>
          <w:rFonts w:hint="eastAsia" w:ascii="仿宋" w:hAnsi="仿宋" w:eastAsia="仿宋"/>
          <w:bCs/>
          <w:kern w:val="44"/>
          <w:sz w:val="44"/>
          <w:szCs w:val="44"/>
        </w:rPr>
        <w:t>无极县商务局2020</w:t>
      </w:r>
      <w:r>
        <w:rPr>
          <w:rFonts w:ascii="仿宋" w:hAnsi="仿宋" w:eastAsia="仿宋"/>
          <w:bCs/>
          <w:kern w:val="44"/>
          <w:sz w:val="44"/>
          <w:szCs w:val="44"/>
        </w:rPr>
        <w:t>年部门预算信息公开</w:t>
      </w:r>
      <w:r>
        <w:rPr>
          <w:rFonts w:hint="eastAsia" w:ascii="仿宋" w:hAnsi="仿宋" w:eastAsia="仿宋"/>
          <w:bCs/>
          <w:kern w:val="44"/>
          <w:sz w:val="44"/>
          <w:szCs w:val="44"/>
        </w:rPr>
        <w:t>情况说明</w:t>
      </w:r>
    </w:p>
    <w:p>
      <w:pPr>
        <w:ind w:firstLine="640" w:firstLineChars="200"/>
        <w:rPr>
          <w:rFonts w:ascii="仿宋" w:hAnsi="仿宋" w:eastAsia="仿宋" w:cs="仿宋"/>
          <w:sz w:val="32"/>
          <w:szCs w:val="32"/>
        </w:rPr>
      </w:pPr>
      <w:bookmarkStart w:id="0" w:name="_Toc62828917"/>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、《地方预决算公开操作规程》和《河北省省级预算公开办法》规定，现将无极县商务局</w:t>
      </w:r>
      <w:r>
        <w:rPr>
          <w:rFonts w:ascii="仿宋" w:hAnsi="仿宋" w:eastAsia="仿宋" w:cs="仿宋"/>
          <w:sz w:val="32"/>
          <w:szCs w:val="32"/>
        </w:rPr>
        <w:t>201</w:t>
      </w:r>
      <w:r>
        <w:rPr>
          <w:rFonts w:hint="eastAsia" w:ascii="仿宋" w:hAnsi="仿宋" w:eastAsia="仿宋" w:cs="仿宋"/>
          <w:sz w:val="32"/>
          <w:szCs w:val="32"/>
        </w:rPr>
        <w:t>9年部门预算公开如下：</w:t>
      </w:r>
    </w:p>
    <w:p>
      <w:pPr>
        <w:pStyle w:val="3"/>
        <w:ind w:firstLine="640" w:firstLineChars="200"/>
        <w:jc w:val="left"/>
        <w:rPr>
          <w:rFonts w:ascii="仿宋" w:hAnsi="仿宋" w:eastAsia="仿宋"/>
          <w:sz w:val="32"/>
        </w:rPr>
      </w:pPr>
      <w:r>
        <w:rPr>
          <w:rFonts w:hint="eastAsia" w:ascii="仿宋" w:hAnsi="仿宋" w:eastAsia="仿宋"/>
          <w:sz w:val="32"/>
        </w:rPr>
        <w:t>一、部门职责及机构设置情况</w:t>
      </w:r>
      <w:bookmarkEnd w:id="0"/>
    </w:p>
    <w:p>
      <w:pPr>
        <w:ind w:firstLine="643" w:firstLineChars="200"/>
        <w:rPr>
          <w:rFonts w:ascii="仿宋" w:hAnsi="仿宋" w:eastAsia="仿宋"/>
          <w:b/>
          <w:sz w:val="32"/>
          <w:szCs w:val="32"/>
        </w:rPr>
      </w:pPr>
      <w:r>
        <w:rPr>
          <w:rFonts w:hint="eastAsia" w:ascii="仿宋" w:hAnsi="仿宋" w:eastAsia="仿宋"/>
          <w:b/>
          <w:sz w:val="32"/>
          <w:szCs w:val="32"/>
        </w:rPr>
        <w:t xml:space="preserve">部门职责： </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widowControl/>
        <w:spacing w:line="500" w:lineRule="exact"/>
        <w:ind w:firstLine="450"/>
        <w:jc w:val="left"/>
        <w:rPr>
          <w:rFonts w:ascii="仿宋" w:hAnsi="仿宋" w:eastAsia="仿宋"/>
          <w:kern w:val="0"/>
          <w:sz w:val="30"/>
          <w:szCs w:val="20"/>
        </w:rPr>
      </w:pPr>
      <w:r>
        <w:rPr>
          <w:rFonts w:ascii="仿宋" w:hAnsi="仿宋" w:eastAsia="仿宋"/>
          <w:kern w:val="0"/>
          <w:sz w:val="30"/>
          <w:szCs w:val="20"/>
        </w:rP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widowControl/>
        <w:spacing w:line="500" w:lineRule="exact"/>
        <w:ind w:firstLine="450"/>
        <w:jc w:val="left"/>
        <w:rPr>
          <w:rFonts w:ascii="仿宋" w:hAnsi="仿宋" w:eastAsia="仿宋"/>
          <w:kern w:val="0"/>
          <w:sz w:val="30"/>
          <w:szCs w:val="20"/>
        </w:rPr>
      </w:pPr>
      <w:r>
        <w:rPr>
          <w:rFonts w:ascii="仿宋" w:hAnsi="仿宋" w:eastAsia="仿宋"/>
          <w:kern w:val="0"/>
          <w:sz w:val="30"/>
          <w:szCs w:val="20"/>
        </w:rP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（七）贯彻执行国家对外技术贸易、进出口管制以及鼓励技术和成套设备进出口的贸易政策。拟订和推进全县科技兴贸战略，依法监督技术引进、设备进口、国家限制出口技术。</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（八）会同有关部门贯彻执行国家促进服务出口和服务外包发展的规划、政策，牵头拟订全县服务贸易发展规划并组织实施。</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（十二）负责上级交办的涉及世贸组织相关工作。贯彻执行上级制定的对自由贸易区国家和地区的经贸规划、政策并组织实施。</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（十三）负责会展业促进和管理工作，拟订会展发展规划、政策措施并组织实施，组织指导境内技术展览会和赴境外非商业性办展活动。</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（十四）负责经贸交流合作工作。建立联系国内友好关系城市、负责县外单位在我县设立办事机构的备案工作。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（十五）监测分析全县商务运行情况，承担全县商务系统对外宣传和信息发布工作。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（十六）负责原商务、粮食系统改制企业资产、人员管理，处理原商务、粮食系统遗留问题，确保稳定，确保国有资产保值不流失。</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（十七）负责拟订招商引资、利用外资、区域协作中长期发展规划、年度计划并组织实施；研究拟订投资促进政策，承担县投资促进工作领导小组日常工作。</w:t>
      </w:r>
    </w:p>
    <w:p>
      <w:pPr>
        <w:widowControl/>
        <w:spacing w:line="500" w:lineRule="exact"/>
        <w:ind w:firstLine="450"/>
        <w:jc w:val="left"/>
        <w:rPr>
          <w:rFonts w:ascii="仿宋" w:hAnsi="仿宋" w:eastAsia="仿宋"/>
          <w:kern w:val="0"/>
          <w:sz w:val="30"/>
          <w:szCs w:val="20"/>
        </w:rPr>
      </w:pPr>
      <w:r>
        <w:rPr>
          <w:rFonts w:ascii="仿宋" w:hAnsi="仿宋" w:eastAsia="仿宋"/>
          <w:kern w:val="0"/>
          <w:sz w:val="30"/>
          <w:szCs w:val="20"/>
        </w:rPr>
        <w:t xml:space="preserve"> （十八）负责建立投资促进工作体系、工作机制，对利用国内外资金和经济技术合作进行统计、汇总、分析。</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（十九）负责促进资金、技术、人才、项目引进和产业对接，争取招商引资相关政策、资金和项目支持。</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（二十一）负责国（境）内外重大投资促进活动的谋划、方案制定和组织实施；牵头组织专业性、行业性投资促进活动；指导协调各乡镇开展招商活动。</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（二十三）负责对国（境）内外重要客户的联络拓展、重要团组和客户来访考察、洽谈的组织。</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（二十四）组织和促进委托招商、代理招商、中介招商、专业招商、网上招商等多种形式的招商活动，制订并落实奖励政策；加强招商引资专业人才队伍建设。</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（二十五）负责引进央企资金、项目及各项合作，促进合作项目的建设，负责为央企服务工作；负责外商投资项目建设的跟踪、协调和服务工作，负责引进资金到位统计工作。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（二十六）负责指导全县经济技术交流与区域经济技术合作工作；负责区域间资金、项目、人才、科研成果及产业合作工作，开展与重点大专院校、科研院所合作。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widowControl/>
        <w:spacing w:line="500" w:lineRule="exact"/>
        <w:ind w:firstLine="600"/>
        <w:jc w:val="left"/>
        <w:rPr>
          <w:rFonts w:ascii="仿宋" w:hAnsi="仿宋" w:eastAsia="仿宋"/>
          <w:kern w:val="0"/>
          <w:sz w:val="30"/>
          <w:szCs w:val="20"/>
        </w:rPr>
      </w:pPr>
      <w:r>
        <w:rPr>
          <w:rFonts w:ascii="仿宋" w:hAnsi="仿宋" w:eastAsia="仿宋"/>
          <w:kern w:val="0"/>
          <w:sz w:val="30"/>
          <w:szCs w:val="20"/>
        </w:rPr>
        <w:t>（二十八）完成县委、县政府交办的其他任务。</w:t>
      </w:r>
    </w:p>
    <w:p>
      <w:pPr>
        <w:autoSpaceDE w:val="0"/>
        <w:autoSpaceDN w:val="0"/>
        <w:adjustRightInd w:val="0"/>
        <w:ind w:firstLine="964" w:firstLineChars="300"/>
        <w:jc w:val="left"/>
        <w:rPr>
          <w:rFonts w:ascii="仿宋" w:hAnsi="仿宋" w:eastAsia="仿宋"/>
          <w:b/>
          <w:sz w:val="32"/>
          <w:szCs w:val="32"/>
        </w:rPr>
      </w:pPr>
      <w:r>
        <w:rPr>
          <w:rFonts w:hint="eastAsia" w:ascii="仿宋" w:hAnsi="仿宋" w:eastAsia="仿宋"/>
          <w:b/>
          <w:sz w:val="32"/>
          <w:szCs w:val="32"/>
        </w:rPr>
        <w:t xml:space="preserve">机构设置： </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11"/>
        <w:tblW w:w="11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28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rPr>
                <w:rFonts w:ascii="仿宋" w:hAnsi="仿宋" w:eastAsia="仿宋"/>
                <w:sz w:val="32"/>
                <w:szCs w:val="32"/>
              </w:rPr>
            </w:pPr>
            <w:r>
              <w:rPr>
                <w:rFonts w:hint="eastAsia" w:ascii="仿宋" w:hAnsi="仿宋" w:eastAsia="仿宋" w:cs="仿宋"/>
                <w:b/>
                <w:sz w:val="32"/>
                <w:szCs w:val="32"/>
              </w:rPr>
              <w:tab/>
            </w:r>
            <w:r>
              <w:rPr>
                <w:rFonts w:hint="eastAsia" w:ascii="仿宋" w:hAnsi="仿宋" w:eastAsia="仿宋" w:cs="仿宋"/>
                <w:b/>
                <w:sz w:val="32"/>
                <w:szCs w:val="32"/>
              </w:rPr>
              <w:tab/>
            </w:r>
            <w:r>
              <w:rPr>
                <w:rFonts w:hint="eastAsia" w:ascii="仿宋" w:hAnsi="仿宋" w:eastAsia="仿宋" w:cs="仿宋"/>
                <w:b/>
                <w:sz w:val="32"/>
                <w:szCs w:val="32"/>
              </w:rPr>
              <w:t>单位名称</w:t>
            </w:r>
          </w:p>
        </w:tc>
        <w:tc>
          <w:tcPr>
            <w:tcW w:w="2220"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单位性质</w:t>
            </w:r>
          </w:p>
        </w:tc>
        <w:tc>
          <w:tcPr>
            <w:tcW w:w="1965"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单位规格</w:t>
            </w:r>
          </w:p>
        </w:tc>
        <w:tc>
          <w:tcPr>
            <w:tcW w:w="2834" w:type="dxa"/>
            <w:vAlign w:val="center"/>
          </w:tcPr>
          <w:p>
            <w:pPr>
              <w:spacing w:line="300" w:lineRule="exact"/>
              <w:jc w:val="center"/>
              <w:rPr>
                <w:rFonts w:ascii="仿宋" w:hAnsi="仿宋" w:eastAsia="仿宋" w:cs="仿宋"/>
                <w:b/>
                <w:sz w:val="32"/>
                <w:szCs w:val="32"/>
              </w:rPr>
            </w:pPr>
            <w:r>
              <w:rPr>
                <w:rFonts w:hint="eastAsia" w:ascii="仿宋" w:hAnsi="仿宋" w:eastAsia="仿宋" w:cs="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4068" w:type="dxa"/>
            <w:vAlign w:val="center"/>
          </w:tcPr>
          <w:p>
            <w:pPr>
              <w:spacing w:line="300" w:lineRule="exact"/>
              <w:jc w:val="left"/>
              <w:rPr>
                <w:rFonts w:ascii="仿宋" w:hAnsi="仿宋" w:eastAsia="仿宋"/>
                <w:sz w:val="32"/>
                <w:szCs w:val="32"/>
              </w:rPr>
            </w:pPr>
            <w:r>
              <w:rPr>
                <w:rFonts w:hint="eastAsia" w:ascii="仿宋" w:hAnsi="仿宋" w:eastAsia="仿宋" w:cs="仿宋"/>
                <w:sz w:val="32"/>
                <w:szCs w:val="32"/>
              </w:rPr>
              <w:t>无极县商务局</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行政</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28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4068" w:type="dxa"/>
            <w:vAlign w:val="center"/>
          </w:tcPr>
          <w:p>
            <w:pPr>
              <w:spacing w:line="300" w:lineRule="exact"/>
              <w:jc w:val="left"/>
              <w:rPr>
                <w:rFonts w:ascii="仿宋" w:hAnsi="仿宋" w:eastAsia="仿宋"/>
                <w:sz w:val="32"/>
                <w:szCs w:val="32"/>
              </w:rPr>
            </w:pPr>
            <w:r>
              <w:rPr>
                <w:rFonts w:hint="eastAsia" w:ascii="仿宋" w:hAnsi="仿宋" w:eastAsia="仿宋" w:cs="仿宋"/>
                <w:sz w:val="32"/>
                <w:szCs w:val="32"/>
              </w:rPr>
              <w:t>无极县招商服务中心</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全额事业</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股级</w:t>
            </w:r>
          </w:p>
        </w:tc>
        <w:tc>
          <w:tcPr>
            <w:tcW w:w="2834"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财政全额补助</w:t>
            </w:r>
          </w:p>
        </w:tc>
      </w:tr>
    </w:tbl>
    <w:p>
      <w:pPr>
        <w:ind w:firstLine="640" w:firstLineChars="200"/>
        <w:rPr>
          <w:rFonts w:ascii="仿宋" w:hAnsi="仿宋" w:eastAsia="仿宋"/>
          <w:sz w:val="32"/>
          <w:szCs w:val="32"/>
          <w:highlight w:val="yellow"/>
        </w:rPr>
      </w:pPr>
    </w:p>
    <w:p>
      <w:pPr>
        <w:pStyle w:val="3"/>
        <w:ind w:firstLine="640" w:firstLineChars="200"/>
        <w:jc w:val="left"/>
        <w:rPr>
          <w:rFonts w:ascii="仿宋" w:hAnsi="仿宋" w:eastAsia="仿宋"/>
          <w:sz w:val="32"/>
        </w:rPr>
      </w:pPr>
      <w:bookmarkStart w:id="1" w:name="_Toc62828918"/>
      <w:r>
        <w:rPr>
          <w:rFonts w:hint="eastAsia" w:ascii="仿宋" w:hAnsi="仿宋" w:eastAsia="仿宋"/>
          <w:sz w:val="32"/>
        </w:rPr>
        <w:t>二、部门预算安排的总体情况</w:t>
      </w:r>
      <w:bookmarkEnd w:id="1"/>
    </w:p>
    <w:p>
      <w:pPr>
        <w:ind w:firstLine="640"/>
        <w:rPr>
          <w:rFonts w:ascii="仿宋" w:hAnsi="仿宋" w:eastAsia="仿宋"/>
          <w:sz w:val="32"/>
          <w:szCs w:val="32"/>
        </w:rPr>
      </w:pPr>
      <w:r>
        <w:rPr>
          <w:rFonts w:ascii="仿宋" w:hAnsi="仿宋" w:eastAsia="仿宋"/>
          <w:sz w:val="32"/>
          <w:szCs w:val="32"/>
        </w:rPr>
        <w:t>按照预算管理有关规定，目前我省部门预算的编制实行综合预算</w:t>
      </w:r>
      <w:r>
        <w:rPr>
          <w:rFonts w:hint="eastAsia" w:ascii="仿宋" w:hAnsi="仿宋" w:eastAsia="仿宋"/>
          <w:sz w:val="32"/>
          <w:szCs w:val="32"/>
        </w:rPr>
        <w:t>管理</w:t>
      </w:r>
      <w:r>
        <w:rPr>
          <w:rFonts w:ascii="仿宋" w:hAnsi="仿宋" w:eastAsia="仿宋"/>
          <w:sz w:val="32"/>
          <w:szCs w:val="32"/>
        </w:rPr>
        <w:t>，即全部收入和支出都反映的预算中。</w:t>
      </w:r>
      <w:r>
        <w:rPr>
          <w:rFonts w:hint="eastAsia" w:ascii="仿宋" w:hAnsi="仿宋" w:eastAsia="仿宋"/>
          <w:sz w:val="32"/>
          <w:szCs w:val="32"/>
        </w:rPr>
        <w:t>无极县商务局</w:t>
      </w:r>
      <w:r>
        <w:rPr>
          <w:rFonts w:ascii="仿宋" w:hAnsi="仿宋" w:eastAsia="仿宋"/>
          <w:sz w:val="32"/>
          <w:szCs w:val="32"/>
        </w:rPr>
        <w:t>及所属事业单位的收支包含在部门预算中。</w:t>
      </w:r>
    </w:p>
    <w:p>
      <w:pPr>
        <w:spacing w:line="500" w:lineRule="exact"/>
        <w:ind w:firstLine="560" w:firstLineChars="200"/>
        <w:jc w:val="left"/>
        <w:rPr>
          <w:rFonts w:ascii="仿宋" w:hAnsi="仿宋" w:eastAsia="仿宋"/>
          <w:sz w:val="28"/>
        </w:rPr>
      </w:pPr>
      <w:r>
        <w:rPr>
          <w:rFonts w:ascii="仿宋" w:hAnsi="仿宋" w:eastAsia="仿宋"/>
          <w:sz w:val="28"/>
        </w:rPr>
        <w:t>1、收入说明</w:t>
      </w:r>
    </w:p>
    <w:p>
      <w:pPr>
        <w:ind w:firstLine="640"/>
        <w:rPr>
          <w:rFonts w:ascii="仿宋" w:hAnsi="仿宋" w:eastAsia="仿宋"/>
          <w:sz w:val="32"/>
          <w:szCs w:val="32"/>
        </w:rPr>
      </w:pPr>
      <w:r>
        <w:rPr>
          <w:rFonts w:hint="eastAsia" w:ascii="仿宋" w:hAnsi="仿宋" w:eastAsia="仿宋"/>
          <w:sz w:val="32"/>
          <w:szCs w:val="32"/>
        </w:rPr>
        <w:t>反映本部门当年全部收入。2020年预算收入</w:t>
      </w:r>
      <w:r>
        <w:rPr>
          <w:rFonts w:ascii="仿宋" w:hAnsi="仿宋" w:eastAsia="仿宋"/>
          <w:b/>
          <w:sz w:val="32"/>
          <w:szCs w:val="32"/>
        </w:rPr>
        <w:t>1222.48</w:t>
      </w:r>
      <w:r>
        <w:rPr>
          <w:rFonts w:hint="eastAsia" w:ascii="仿宋" w:hAnsi="仿宋" w:eastAsia="仿宋"/>
          <w:sz w:val="32"/>
          <w:szCs w:val="32"/>
        </w:rPr>
        <w:t>万元。其中：一般公共预算收入772.48万元，基金预算收入0万元，财政专户核拨收入0万元，其他来源收入450万元。</w:t>
      </w:r>
    </w:p>
    <w:p>
      <w:pPr>
        <w:spacing w:line="500" w:lineRule="exact"/>
        <w:ind w:firstLine="560" w:firstLineChars="200"/>
        <w:jc w:val="left"/>
        <w:rPr>
          <w:rFonts w:ascii="仿宋" w:hAnsi="仿宋" w:eastAsia="仿宋"/>
          <w:sz w:val="28"/>
        </w:rPr>
      </w:pPr>
      <w:r>
        <w:rPr>
          <w:rFonts w:ascii="仿宋" w:hAnsi="仿宋" w:eastAsia="仿宋"/>
          <w:sz w:val="28"/>
        </w:rPr>
        <w:t>2、支出说明</w:t>
      </w:r>
    </w:p>
    <w:p>
      <w:pPr>
        <w:ind w:firstLine="64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无极县商务局年度部门预算中支出预算的总体情况。2020年部门支出预算为1222.48万元，其中基本支出1098.00万元，包括人员经费941.80万元和日常公用经费156.20万元；项目支出124.48万元。</w:t>
      </w:r>
    </w:p>
    <w:p>
      <w:pPr>
        <w:spacing w:line="500" w:lineRule="exact"/>
        <w:ind w:firstLine="560" w:firstLineChars="200"/>
        <w:jc w:val="left"/>
        <w:rPr>
          <w:rFonts w:ascii="仿宋" w:hAnsi="仿宋" w:eastAsia="仿宋"/>
          <w:sz w:val="28"/>
        </w:rPr>
      </w:pPr>
      <w:r>
        <w:rPr>
          <w:rFonts w:ascii="仿宋" w:hAnsi="仿宋" w:eastAsia="仿宋"/>
          <w:sz w:val="28"/>
        </w:rPr>
        <w:t>3、比上年增减情况</w:t>
      </w:r>
    </w:p>
    <w:p>
      <w:pPr>
        <w:pStyle w:val="25"/>
        <w:spacing w:line="360" w:lineRule="auto"/>
        <w:ind w:firstLine="640" w:firstLineChars="200"/>
        <w:rPr>
          <w:rFonts w:ascii="仿宋" w:hAnsi="仿宋" w:eastAsia="仿宋"/>
          <w:sz w:val="32"/>
          <w:szCs w:val="32"/>
        </w:rPr>
      </w:pPr>
      <w:bookmarkStart w:id="2" w:name="_Toc62828919"/>
      <w:r>
        <w:rPr>
          <w:rFonts w:hint="eastAsia" w:ascii="仿宋" w:hAnsi="仿宋" w:eastAsia="仿宋" w:cs="Times New Roman"/>
          <w:color w:val="000000"/>
          <w:sz w:val="32"/>
          <w:szCs w:val="32"/>
        </w:rPr>
        <w:t>2020年部门预算收支安排</w:t>
      </w:r>
      <w:r>
        <w:rPr>
          <w:rFonts w:hint="eastAsia" w:ascii="仿宋" w:hAnsi="仿宋" w:eastAsia="仿宋" w:cs="Times New Roman"/>
          <w:sz w:val="32"/>
          <w:szCs w:val="32"/>
        </w:rPr>
        <w:t>1222.48</w:t>
      </w:r>
      <w:r>
        <w:rPr>
          <w:rFonts w:hint="eastAsia" w:ascii="仿宋" w:hAnsi="仿宋" w:eastAsia="仿宋" w:cs="Times New Roman"/>
          <w:color w:val="000000"/>
          <w:sz w:val="32"/>
          <w:szCs w:val="32"/>
        </w:rPr>
        <w:t>万元，</w:t>
      </w:r>
      <w:r>
        <w:rPr>
          <w:rFonts w:hint="eastAsia" w:ascii="仿宋" w:hAnsi="仿宋" w:eastAsia="仿宋" w:cs="Times New Roman"/>
          <w:sz w:val="32"/>
          <w:szCs w:val="32"/>
        </w:rPr>
        <w:t>较2019年增加372.83万元，其中：</w:t>
      </w:r>
      <w:r>
        <w:rPr>
          <w:rFonts w:hint="eastAsia" w:ascii="仿宋" w:hAnsi="仿宋" w:eastAsia="仿宋"/>
          <w:sz w:val="32"/>
          <w:szCs w:val="32"/>
        </w:rPr>
        <w:t>主要是人员流动和公用经费标准定额调整；项目支出减少328.12万元，主要是由于项目调整减少。</w:t>
      </w:r>
    </w:p>
    <w:p>
      <w:pPr>
        <w:pStyle w:val="3"/>
        <w:ind w:firstLine="640" w:firstLineChars="200"/>
        <w:jc w:val="left"/>
        <w:rPr>
          <w:rFonts w:ascii="仿宋" w:hAnsi="仿宋" w:eastAsia="仿宋"/>
          <w:sz w:val="32"/>
        </w:rPr>
      </w:pPr>
      <w:r>
        <w:rPr>
          <w:rFonts w:hint="eastAsia" w:ascii="仿宋" w:hAnsi="仿宋" w:eastAsia="仿宋"/>
          <w:sz w:val="32"/>
        </w:rPr>
        <w:t>三、机关运行经费安排情况</w:t>
      </w:r>
      <w:bookmarkEnd w:id="2"/>
    </w:p>
    <w:p>
      <w:pPr>
        <w:autoSpaceDE w:val="0"/>
        <w:autoSpaceDN w:val="0"/>
        <w:adjustRightInd w:val="0"/>
        <w:ind w:left="198" w:firstLine="640" w:firstLineChars="200"/>
        <w:jc w:val="left"/>
        <w:rPr>
          <w:rFonts w:ascii="仿宋" w:hAnsi="仿宋" w:eastAsia="仿宋"/>
          <w:sz w:val="32"/>
          <w:szCs w:val="32"/>
        </w:rPr>
      </w:pPr>
      <w:bookmarkStart w:id="3" w:name="_Toc62828920"/>
      <w:r>
        <w:rPr>
          <w:rFonts w:hint="eastAsia" w:ascii="仿宋" w:hAnsi="仿宋" w:eastAsia="仿宋"/>
          <w:sz w:val="32"/>
          <w:szCs w:val="32"/>
        </w:rPr>
        <w:t>2020年，我部门机关运行经费共计安排156.20万元，主要用于保证机关正常运转的办公及印刷费、邮电费、差旅费、会议费、福利费、专用材料及一般设备购置费、办公用房水电费、办公用房取暖费、日常维修费、办公楼物业管理费、公务车运行维护费等支出。</w:t>
      </w:r>
    </w:p>
    <w:p>
      <w:pPr>
        <w:pStyle w:val="3"/>
        <w:ind w:firstLine="640" w:firstLineChars="200"/>
        <w:jc w:val="left"/>
        <w:rPr>
          <w:rFonts w:ascii="仿宋" w:hAnsi="仿宋" w:eastAsia="仿宋"/>
          <w:sz w:val="32"/>
        </w:rPr>
      </w:pPr>
      <w:r>
        <w:rPr>
          <w:rFonts w:hint="eastAsia" w:ascii="仿宋" w:hAnsi="仿宋" w:eastAsia="仿宋"/>
          <w:sz w:val="32"/>
        </w:rPr>
        <w:t>四、财政拨款</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经费预算情况及增减变化原因</w:t>
      </w:r>
      <w:bookmarkEnd w:id="3"/>
    </w:p>
    <w:p>
      <w:pPr>
        <w:autoSpaceDE w:val="0"/>
        <w:autoSpaceDN w:val="0"/>
        <w:adjustRightInd w:val="0"/>
        <w:ind w:left="198" w:firstLine="640" w:firstLineChars="200"/>
        <w:jc w:val="left"/>
        <w:rPr>
          <w:rFonts w:ascii="仿宋" w:hAnsi="仿宋" w:eastAsia="仿宋"/>
          <w:sz w:val="32"/>
          <w:szCs w:val="32"/>
        </w:rPr>
      </w:pPr>
      <w:bookmarkStart w:id="4" w:name="_Toc62828921"/>
      <w:r>
        <w:rPr>
          <w:rFonts w:hint="eastAsia" w:eastAsia="仿宋"/>
          <w:sz w:val="32"/>
          <w:szCs w:val="32"/>
        </w:rPr>
        <w:t>2020年，我部门财政拨款“三公”经费预算安排12万元，其中：因公出国（境）费0万元；公务用车购置及运维费12万元（其中：公务用车购置费0万元，公务用车运行维护费12万元)；公务接待费0万元。</w:t>
      </w:r>
      <w:r>
        <w:rPr>
          <w:rFonts w:hint="eastAsia" w:ascii="仿宋" w:hAnsi="仿宋" w:eastAsia="仿宋"/>
          <w:sz w:val="32"/>
          <w:szCs w:val="32"/>
        </w:rPr>
        <w:t>与上年相比增加9万元，主要是由于</w:t>
      </w:r>
      <w:r>
        <w:rPr>
          <w:rFonts w:hint="eastAsia" w:eastAsia="仿宋"/>
          <w:sz w:val="32"/>
          <w:szCs w:val="32"/>
        </w:rPr>
        <w:t>公务用车运行维护费</w:t>
      </w:r>
      <w:r>
        <w:rPr>
          <w:rFonts w:hint="eastAsia" w:ascii="仿宋" w:hAnsi="仿宋" w:eastAsia="仿宋"/>
          <w:sz w:val="32"/>
          <w:szCs w:val="32"/>
        </w:rPr>
        <w:t>增加。</w:t>
      </w:r>
    </w:p>
    <w:p>
      <w:pPr>
        <w:autoSpaceDE w:val="0"/>
        <w:autoSpaceDN w:val="0"/>
        <w:adjustRightInd w:val="0"/>
        <w:ind w:left="198" w:firstLine="640" w:firstLineChars="200"/>
        <w:jc w:val="left"/>
        <w:rPr>
          <w:rFonts w:ascii="黑体" w:hAnsi="黑体" w:eastAsia="黑体"/>
          <w:sz w:val="32"/>
        </w:rPr>
      </w:pPr>
      <w:r>
        <w:rPr>
          <w:rFonts w:hint="eastAsia" w:ascii="黑体" w:hAnsi="黑体" w:eastAsia="黑体"/>
          <w:sz w:val="32"/>
        </w:rPr>
        <w:t>五、预算绩效信息</w:t>
      </w:r>
      <w:bookmarkEnd w:id="4"/>
      <w:r>
        <w:rPr>
          <w:rFonts w:hint="eastAsia" w:ascii="黑体" w:hAnsi="黑体" w:eastAsia="黑体"/>
          <w:sz w:val="32"/>
        </w:rPr>
        <w:t xml:space="preserve"> </w:t>
      </w:r>
    </w:p>
    <w:p>
      <w:pPr>
        <w:ind w:firstLine="643" w:firstLineChars="200"/>
        <w:jc w:val="left"/>
        <w:rPr>
          <w:rFonts w:ascii="仿宋" w:hAnsi="仿宋" w:eastAsia="仿宋"/>
          <w:b/>
          <w:sz w:val="32"/>
          <w:szCs w:val="32"/>
        </w:rPr>
      </w:pPr>
      <w:bookmarkStart w:id="5" w:name="_Toc471398463"/>
      <w:r>
        <w:rPr>
          <w:rFonts w:hint="eastAsia" w:ascii="仿宋" w:hAnsi="仿宋" w:eastAsia="仿宋"/>
          <w:b/>
          <w:sz w:val="32"/>
          <w:szCs w:val="32"/>
        </w:rPr>
        <w:t>第一部分 部门整体绩效目标</w:t>
      </w:r>
    </w:p>
    <w:p>
      <w:pPr>
        <w:spacing w:line="500" w:lineRule="exact"/>
        <w:ind w:firstLine="560" w:firstLineChars="200"/>
        <w:jc w:val="left"/>
        <w:rPr>
          <w:rFonts w:ascii="仿宋" w:hAnsi="仿宋" w:eastAsia="仿宋"/>
          <w:sz w:val="28"/>
        </w:rPr>
      </w:pPr>
      <w:r>
        <w:rPr>
          <w:rFonts w:hint="eastAsia" w:ascii="仿宋" w:hAnsi="仿宋" w:eastAsia="仿宋"/>
          <w:sz w:val="28"/>
        </w:rPr>
        <w:t>（一）总体绩效目标</w:t>
      </w:r>
    </w:p>
    <w:p>
      <w:pPr>
        <w:spacing w:line="500" w:lineRule="exact"/>
        <w:ind w:firstLine="560" w:firstLineChars="200"/>
        <w:jc w:val="left"/>
        <w:rPr>
          <w:rFonts w:ascii="仿宋" w:hAnsi="仿宋" w:eastAsia="仿宋"/>
          <w:sz w:val="32"/>
          <w:szCs w:val="32"/>
        </w:rPr>
      </w:pPr>
      <w:r>
        <w:rPr>
          <w:rFonts w:hint="eastAsia" w:ascii="仿宋" w:hAnsi="仿宋" w:eastAsia="仿宋"/>
          <w:sz w:val="28"/>
        </w:rPr>
        <w:t xml:space="preserve">    </w:t>
      </w:r>
      <w:r>
        <w:rPr>
          <w:rFonts w:hint="eastAsia" w:ascii="仿宋" w:hAnsi="仿宋" w:eastAsia="仿宋" w:cs="宋体"/>
          <w:sz w:val="32"/>
          <w:szCs w:val="32"/>
        </w:rPr>
        <w:t>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w:t>
      </w:r>
      <w:r>
        <w:rPr>
          <w:rFonts w:hint="eastAsia" w:ascii="仿宋" w:hAnsi="仿宋" w:eastAsia="仿宋" w:cs="宋体"/>
          <w:sz w:val="32"/>
          <w:szCs w:val="32"/>
          <w:lang w:eastAsia="zh-CN"/>
        </w:rPr>
        <w:t>作出更大贡献</w:t>
      </w:r>
      <w:r>
        <w:rPr>
          <w:rFonts w:hint="eastAsia" w:ascii="仿宋" w:hAnsi="仿宋" w:eastAsia="仿宋" w:cs="宋体"/>
          <w:sz w:val="32"/>
          <w:szCs w:val="32"/>
        </w:rPr>
        <w:t>。</w:t>
      </w:r>
    </w:p>
    <w:p>
      <w:pPr>
        <w:spacing w:line="500" w:lineRule="exact"/>
        <w:ind w:firstLine="420" w:firstLineChars="150"/>
        <w:jc w:val="left"/>
        <w:rPr>
          <w:rFonts w:ascii="仿宋" w:hAnsi="仿宋" w:eastAsia="仿宋"/>
          <w:sz w:val="28"/>
        </w:rPr>
      </w:pPr>
      <w:r>
        <w:rPr>
          <w:rFonts w:hint="eastAsia" w:ascii="仿宋" w:hAnsi="仿宋" w:eastAsia="仿宋"/>
          <w:sz w:val="28"/>
        </w:rPr>
        <w:t>（二）分项绩效目标</w:t>
      </w:r>
    </w:p>
    <w:p>
      <w:pPr>
        <w:spacing w:line="500" w:lineRule="exact"/>
        <w:ind w:firstLine="560" w:firstLineChars="200"/>
        <w:jc w:val="left"/>
        <w:rPr>
          <w:rFonts w:ascii="仿宋" w:hAnsi="仿宋" w:eastAsia="仿宋"/>
          <w:sz w:val="32"/>
          <w:szCs w:val="32"/>
        </w:rPr>
      </w:pPr>
      <w:r>
        <w:rPr>
          <w:rFonts w:hint="eastAsia" w:ascii="仿宋" w:hAnsi="仿宋" w:eastAsia="仿宋"/>
          <w:sz w:val="28"/>
        </w:rPr>
        <w:t xml:space="preserve">   </w:t>
      </w:r>
      <w:r>
        <w:rPr>
          <w:rFonts w:hint="eastAsia" w:ascii="仿宋" w:hAnsi="仿宋" w:eastAsia="仿宋" w:cs="宋体"/>
          <w:sz w:val="32"/>
          <w:szCs w:val="32"/>
        </w:rPr>
        <w:t>1、开拓国内市场</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绩效目标：扩大我县产品的知名度，增加国内市场份额。</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绩效指标：参展企业数量（家）〉</w:t>
      </w:r>
      <w:r>
        <w:rPr>
          <w:rFonts w:ascii="仿宋" w:hAnsi="仿宋" w:eastAsia="仿宋"/>
          <w:sz w:val="32"/>
          <w:szCs w:val="32"/>
        </w:rPr>
        <w:t>3</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2、促进商贸流通</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绩效目标：完善农产品流通和农村市场体系。</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绩效指标：投资的农产品市场或农村市场销售额增长率〉</w:t>
      </w:r>
      <w:r>
        <w:rPr>
          <w:rFonts w:ascii="仿宋" w:hAnsi="仿宋" w:eastAsia="仿宋"/>
          <w:sz w:val="32"/>
          <w:szCs w:val="32"/>
        </w:rPr>
        <w:t>10%</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3、农村电子商务建设</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绩效目标：推动农村电子商务基础设施建设。</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绩效指标：农村电商企业营业额增长率〉</w:t>
      </w:r>
      <w:r>
        <w:rPr>
          <w:rFonts w:ascii="仿宋" w:hAnsi="仿宋" w:eastAsia="仿宋"/>
          <w:sz w:val="32"/>
          <w:szCs w:val="32"/>
        </w:rPr>
        <w:t>10%</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4、消费市场调控</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绩效目标：准确监测市场运行情况，及时预测预警。</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绩效指标：监测信息报送率〉</w:t>
      </w:r>
      <w:r>
        <w:rPr>
          <w:rFonts w:ascii="仿宋" w:hAnsi="仿宋" w:eastAsia="仿宋"/>
          <w:sz w:val="32"/>
          <w:szCs w:val="32"/>
        </w:rPr>
        <w:t>80%</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5、招商引资</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绩效目标：在重点产业引进一批战略支撑项目、龙头企业和协力配套企业。</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绩效指标：招商引资规模增长率〉</w:t>
      </w:r>
      <w:r>
        <w:rPr>
          <w:rFonts w:ascii="仿宋" w:hAnsi="仿宋" w:eastAsia="仿宋"/>
          <w:sz w:val="32"/>
          <w:szCs w:val="32"/>
        </w:rPr>
        <w:t>1%</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6、高新产品进出品管理</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绩效目标：积极开拓国际、国内两个市场，不断优化产品结构和市场结构。</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绩效指标：高新产品出口额增长率〉</w:t>
      </w:r>
      <w:r>
        <w:rPr>
          <w:rFonts w:ascii="仿宋" w:hAnsi="仿宋" w:eastAsia="仿宋"/>
          <w:sz w:val="32"/>
          <w:szCs w:val="32"/>
        </w:rPr>
        <w:t>1%</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7、发展服务贸易和服务外包</w:t>
      </w:r>
      <w:r>
        <w:rPr>
          <w:rFonts w:ascii="仿宋" w:hAnsi="仿宋" w:eastAsia="仿宋"/>
          <w:sz w:val="32"/>
          <w:szCs w:val="32"/>
        </w:rPr>
        <w:t xml:space="preserve"> </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绩效目标：转变对外贸易发展方式，提升服务贸易对全县外贸增长的拉动作用。</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绩效指标：组织参展个数（个）〉</w:t>
      </w:r>
      <w:r>
        <w:rPr>
          <w:rFonts w:ascii="仿宋" w:hAnsi="仿宋" w:eastAsia="仿宋"/>
          <w:sz w:val="32"/>
          <w:szCs w:val="32"/>
        </w:rPr>
        <w:t>9</w:t>
      </w:r>
      <w:r>
        <w:rPr>
          <w:rFonts w:hint="eastAsia" w:ascii="仿宋" w:hAnsi="仿宋" w:eastAsia="仿宋" w:cs="宋体"/>
          <w:sz w:val="32"/>
          <w:szCs w:val="32"/>
        </w:rPr>
        <w:t>。</w:t>
      </w:r>
      <w:r>
        <w:rPr>
          <w:rFonts w:ascii="仿宋" w:hAnsi="仿宋" w:eastAsia="仿宋"/>
          <w:sz w:val="32"/>
          <w:szCs w:val="32"/>
        </w:rPr>
        <w:t xml:space="preserve"> </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8、促进对外经贸服务</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绩效目标：确保对外经济合作业务稳定增长。</w:t>
      </w:r>
      <w:r>
        <w:rPr>
          <w:rFonts w:ascii="仿宋" w:hAnsi="仿宋" w:eastAsia="仿宋"/>
          <w:sz w:val="32"/>
          <w:szCs w:val="32"/>
        </w:rPr>
        <w:t xml:space="preserve"> </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绩效指标：中小企业出口额增长率持平。</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9、加快培育外贸竞争新优势</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绩效目标：优化外贸商品结构、市场结构、主体结构、贸易方式结构。</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绩效指标：外贸综合服务企业增长率持平。</w:t>
      </w:r>
      <w:r>
        <w:rPr>
          <w:rFonts w:ascii="仿宋" w:hAnsi="仿宋" w:eastAsia="仿宋"/>
          <w:sz w:val="32"/>
          <w:szCs w:val="32"/>
        </w:rPr>
        <w:t xml:space="preserve"> </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10、综合业务管理</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绩效目标：保障各项业务工作畅通。</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绩效指标：综合事务管理工作完成率〉</w:t>
      </w:r>
      <w:r>
        <w:rPr>
          <w:rFonts w:ascii="仿宋" w:hAnsi="仿宋" w:eastAsia="仿宋"/>
          <w:sz w:val="32"/>
          <w:szCs w:val="32"/>
        </w:rPr>
        <w:t>90%</w:t>
      </w:r>
      <w:r>
        <w:rPr>
          <w:rFonts w:hint="eastAsia" w:ascii="仿宋" w:hAnsi="仿宋" w:eastAsia="仿宋" w:cs="宋体"/>
          <w:sz w:val="32"/>
          <w:szCs w:val="32"/>
        </w:rPr>
        <w:t>。</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11、综合事务管理</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绩效目标：保障机关正常工作有效运转。</w:t>
      </w:r>
    </w:p>
    <w:p>
      <w:pPr>
        <w:spacing w:line="500" w:lineRule="exact"/>
        <w:ind w:firstLine="640" w:firstLineChars="200"/>
        <w:jc w:val="left"/>
        <w:rPr>
          <w:rFonts w:ascii="仿宋" w:hAnsi="仿宋" w:eastAsia="仿宋"/>
          <w:sz w:val="32"/>
          <w:szCs w:val="32"/>
        </w:rPr>
      </w:pPr>
      <w:r>
        <w:rPr>
          <w:rFonts w:hint="eastAsia" w:ascii="仿宋" w:hAnsi="仿宋" w:eastAsia="仿宋" w:cs="宋体"/>
          <w:sz w:val="32"/>
          <w:szCs w:val="32"/>
        </w:rPr>
        <w:t>绩效指标：综合事务管理工作完成率〉</w:t>
      </w:r>
      <w:r>
        <w:rPr>
          <w:rFonts w:ascii="仿宋" w:hAnsi="仿宋" w:eastAsia="仿宋"/>
          <w:sz w:val="32"/>
          <w:szCs w:val="32"/>
        </w:rPr>
        <w:t>90%.</w:t>
      </w:r>
    </w:p>
    <w:p>
      <w:pPr>
        <w:spacing w:line="500" w:lineRule="exact"/>
        <w:ind w:firstLine="420" w:firstLineChars="150"/>
        <w:jc w:val="left"/>
        <w:rPr>
          <w:rFonts w:ascii="仿宋" w:hAnsi="仿宋" w:eastAsia="仿宋"/>
          <w:sz w:val="28"/>
        </w:rPr>
      </w:pPr>
      <w:r>
        <w:rPr>
          <w:rFonts w:hint="eastAsia" w:ascii="仿宋" w:hAnsi="仿宋" w:eastAsia="仿宋"/>
          <w:sz w:val="28"/>
        </w:rPr>
        <w:t>（三）工作保障措施</w:t>
      </w:r>
    </w:p>
    <w:p>
      <w:pPr>
        <w:widowControl/>
        <w:spacing w:line="500" w:lineRule="exact"/>
        <w:ind w:firstLine="640"/>
        <w:jc w:val="left"/>
        <w:rPr>
          <w:rFonts w:ascii="仿宋" w:hAnsi="仿宋" w:eastAsia="仿宋"/>
          <w:kern w:val="0"/>
          <w:sz w:val="32"/>
          <w:szCs w:val="20"/>
        </w:rPr>
      </w:pPr>
      <w:r>
        <w:rPr>
          <w:rFonts w:ascii="仿宋" w:hAnsi="仿宋" w:eastAsia="仿宋"/>
          <w:kern w:val="0"/>
          <w:sz w:val="32"/>
          <w:szCs w:val="20"/>
        </w:rPr>
        <w:t>完善制度建设。制定完善预算绩效管理制度、工作保障制度、从而保证准时有效完成备案登记和数据统计工作。及时受理企业进出口备案事事项变更申请，抽调工作效率；进一步完善进出口数据月（季）报统计分析工作流程，提高为县领导和有关部门提供进出口信息的准确性；完善资金管理办法。为全年预算绩效目标的实现、确保各项安全工作的落实、各项工作有序开展，奠定制度基础，确保商务系统安全生产无事故，开创安全生产工作的新局面。</w:t>
      </w:r>
    </w:p>
    <w:p>
      <w:pPr>
        <w:widowControl/>
        <w:spacing w:line="500" w:lineRule="exact"/>
        <w:ind w:firstLine="640" w:firstLineChars="200"/>
        <w:jc w:val="left"/>
        <w:rPr>
          <w:rFonts w:ascii="仿宋" w:hAnsi="仿宋" w:eastAsia="仿宋"/>
          <w:kern w:val="0"/>
          <w:sz w:val="32"/>
          <w:szCs w:val="20"/>
        </w:rPr>
      </w:pPr>
      <w:r>
        <w:rPr>
          <w:rFonts w:ascii="仿宋" w:hAnsi="仿宋" w:eastAsia="仿宋"/>
          <w:kern w:val="0"/>
          <w:sz w:val="32"/>
          <w:szCs w:val="20"/>
        </w:rPr>
        <w:t>加强支出管理。通过优化支出结构、编细编实预算、加快履行政府采购手续、尽快启动项目、及时支付资金、6月底前细化代码预算、按规定及时下达资金等多种措施，确保支出进度</w:t>
      </w:r>
      <w:r>
        <w:rPr>
          <w:rFonts w:hint="eastAsia" w:ascii="仿宋" w:hAnsi="仿宋" w:eastAsia="仿宋"/>
          <w:kern w:val="0"/>
          <w:sz w:val="32"/>
          <w:szCs w:val="20"/>
        </w:rPr>
        <w:t>达</w:t>
      </w:r>
      <w:r>
        <w:rPr>
          <w:rFonts w:ascii="仿宋" w:hAnsi="仿宋" w:eastAsia="仿宋"/>
          <w:kern w:val="0"/>
          <w:sz w:val="32"/>
          <w:szCs w:val="20"/>
        </w:rPr>
        <w:t>标。</w:t>
      </w:r>
    </w:p>
    <w:p>
      <w:pPr>
        <w:widowControl/>
        <w:spacing w:line="500" w:lineRule="exact"/>
        <w:ind w:firstLine="640" w:firstLineChars="200"/>
        <w:jc w:val="left"/>
        <w:rPr>
          <w:rFonts w:ascii="仿宋" w:hAnsi="仿宋" w:eastAsia="仿宋"/>
          <w:kern w:val="0"/>
          <w:sz w:val="32"/>
          <w:szCs w:val="20"/>
        </w:rPr>
      </w:pPr>
      <w:r>
        <w:rPr>
          <w:rFonts w:ascii="仿宋" w:hAnsi="仿宋" w:eastAsia="仿宋"/>
          <w:kern w:val="0"/>
          <w:sz w:val="32"/>
          <w:szCs w:val="20"/>
        </w:rPr>
        <w:t>做好绩效自评。按要求开展上年度部门预算绩效自评和重点评价工作，对评价中发现的问题及时整改，调整优化支出结构，提高财政资金使用效益。在实际工作中加强与市上级部门相关处室沟通、联系、积极为符合条件的外贸企业申报和争取各项扶持发展资金，有针对性的做好企业帮扶工作；鼓励、引导外贸出口企业对外投资、建立海外仓、开展跨境电子商务业务，不断创新外贸发展方式，增加企业收入。</w:t>
      </w:r>
    </w:p>
    <w:p>
      <w:pPr>
        <w:widowControl/>
        <w:spacing w:line="500" w:lineRule="exact"/>
        <w:ind w:firstLine="640"/>
        <w:jc w:val="left"/>
        <w:rPr>
          <w:rFonts w:ascii="仿宋" w:hAnsi="仿宋" w:eastAsia="仿宋"/>
          <w:kern w:val="0"/>
          <w:sz w:val="32"/>
          <w:szCs w:val="20"/>
        </w:rPr>
      </w:pPr>
      <w:r>
        <w:rPr>
          <w:rFonts w:ascii="仿宋" w:hAnsi="仿宋" w:eastAsia="仿宋"/>
          <w:kern w:val="0"/>
          <w:sz w:val="32"/>
          <w:szCs w:val="20"/>
        </w:rPr>
        <w:t>规范财务资产管理。完善财务管理制度，严格审批程序，加强固定资产登记、使用各报废处理管理，继续抓好商贸物流项目建设。一是继续抓好限上企业统计上报工作。二是抓好重点商贸项目建设和便民市场建设。三是抓好成品油企业的年检及变更等工作。四是继续抓好市场运行监测和调控工作。五是继续抓好农村电商全覆盖、淘宝村建设、企业电商、电商扶贫等工作。六是继续抓好会展工作。做到支出合理，物尽其用，达到底数清、情况明的最佳效果。</w:t>
      </w:r>
    </w:p>
    <w:p>
      <w:pPr>
        <w:widowControl/>
        <w:spacing w:line="500" w:lineRule="exact"/>
        <w:ind w:firstLine="640" w:firstLineChars="200"/>
        <w:jc w:val="left"/>
        <w:rPr>
          <w:rFonts w:ascii="仿宋" w:hAnsi="仿宋" w:eastAsia="仿宋"/>
          <w:kern w:val="0"/>
          <w:sz w:val="32"/>
          <w:szCs w:val="20"/>
        </w:rPr>
      </w:pPr>
      <w:r>
        <w:rPr>
          <w:rFonts w:ascii="仿宋" w:hAnsi="仿宋" w:eastAsia="仿宋"/>
          <w:kern w:val="0"/>
          <w:sz w:val="32"/>
          <w:szCs w:val="20"/>
        </w:rPr>
        <w:t>加强内部监督。加强内部监督制度建设，对绩效运行情况、重大支出决策、对外投资、资产处置及其他重要经济业务事项的决策和执行进行督导，对会计资料进行内部审计，并配合做好审计、财政监督等外部监督工作，积极开展汽车销售、报废汽车回收管理、营造我县良好的商务市场秩序。</w:t>
      </w:r>
    </w:p>
    <w:p>
      <w:pPr>
        <w:widowControl/>
        <w:spacing w:line="500" w:lineRule="exact"/>
        <w:ind w:firstLine="640"/>
        <w:jc w:val="left"/>
        <w:rPr>
          <w:rFonts w:ascii="仿宋" w:hAnsi="仿宋" w:eastAsia="仿宋"/>
          <w:kern w:val="0"/>
          <w:sz w:val="32"/>
          <w:szCs w:val="20"/>
        </w:rPr>
      </w:pPr>
      <w:r>
        <w:rPr>
          <w:rFonts w:ascii="仿宋" w:hAnsi="仿宋" w:eastAsia="仿宋"/>
          <w:kern w:val="0"/>
          <w:sz w:val="32"/>
          <w:szCs w:val="20"/>
        </w:rPr>
        <w:t>加强宣传培训调研等。加强人员培训，提高本部门职工业务素质；加强调研，搞好调查摸底。对我市外贸企业进行调查摸底，引导生产企业在我县设立贸易公司。引导无出口资质的零散商户挂靠我县龙头企业出口，实现双赢。与此同时，加强政策指导，积极引进外贸出口企业，不断增加我市外贸出口额；提出优化财政资金配置、提高资金使用毅然决然的意见见议；加大宣传力度，强化预算绩效管理水平，积极组织外贸企业参加上级安排的政策及业务培训会；邀请相关专家对我市的外贸进出口企业进行外贸知识培训及相关业务指导，不断提高外贸企业管理人员的业务素质。引导、鼓励外贸进出口企业积极参加境内外商品展销会，促进预算绩效管理水平进一步提升。</w:t>
      </w:r>
    </w:p>
    <w:p>
      <w:pPr>
        <w:ind w:firstLine="643" w:firstLineChars="200"/>
        <w:rPr>
          <w:rFonts w:ascii="仿宋" w:hAnsi="仿宋" w:eastAsia="仿宋"/>
          <w:b/>
          <w:sz w:val="32"/>
          <w:szCs w:val="32"/>
        </w:rPr>
      </w:pPr>
      <w:r>
        <w:rPr>
          <w:rFonts w:hint="eastAsia" w:ascii="仿宋" w:hAnsi="仿宋" w:eastAsia="仿宋"/>
          <w:b/>
          <w:sz w:val="32"/>
          <w:szCs w:val="32"/>
        </w:rPr>
        <w:t>第二部分  预算项目绩效目标：</w:t>
      </w:r>
    </w:p>
    <w:p>
      <w:pPr>
        <w:spacing w:line="500" w:lineRule="exact"/>
        <w:ind w:firstLine="560" w:firstLineChars="200"/>
        <w:jc w:val="left"/>
        <w:rPr>
          <w:rFonts w:ascii="仿宋" w:hAnsi="仿宋" w:eastAsia="仿宋"/>
          <w:sz w:val="28"/>
        </w:rPr>
      </w:pPr>
      <w:r>
        <w:rPr>
          <w:rFonts w:hint="eastAsia" w:ascii="仿宋" w:hAnsi="仿宋" w:eastAsia="仿宋"/>
          <w:sz w:val="28"/>
        </w:rPr>
        <w:t xml:space="preserve"> 1、东关村集贸市场占地补偿款项目绩效目标表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、占地补偿款发放（一次性）</w:t>
            </w:r>
          </w:p>
          <w:p>
            <w:pPr>
              <w:spacing w:line="300" w:lineRule="exact"/>
              <w:rPr>
                <w:rFonts w:ascii="仿宋" w:hAnsi="仿宋" w:eastAsia="仿宋"/>
                <w:b/>
                <w:szCs w:val="21"/>
              </w:rPr>
            </w:pPr>
            <w:r>
              <w:rPr>
                <w:rFonts w:ascii="仿宋" w:hAnsi="仿宋" w:eastAsia="仿宋"/>
              </w:rPr>
              <w:t>2</w:t>
            </w:r>
            <w:r>
              <w:rPr>
                <w:rFonts w:hint="eastAsia" w:ascii="仿宋" w:hAnsi="仿宋" w:eastAsia="仿宋"/>
              </w:rPr>
              <w:t>、集体管理费（一次性）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发放人数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发放补偿款人数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发放覆盖率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补偿款发放覆盖率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发放时间</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补偿款发放时间</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按规定时间及时发放</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补偿金发放标准</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补偿款发放标准</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按标准及时发放</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待动集体经济效益</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待动集体经济效益</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社会稳定水平</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发放补偿款稳定市场发展</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群众满意度</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群众整体满意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bl>
    <w:p>
      <w:pPr>
        <w:rPr>
          <w:rFonts w:ascii="仿宋" w:hAnsi="仿宋" w:eastAsia="仿宋"/>
          <w:sz w:val="32"/>
          <w:szCs w:val="32"/>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r>
        <w:rPr>
          <w:rFonts w:hint="eastAsia" w:ascii="仿宋" w:hAnsi="仿宋" w:eastAsia="仿宋"/>
          <w:sz w:val="28"/>
        </w:rPr>
        <w:t>2、</w:t>
      </w:r>
      <w:r>
        <w:rPr>
          <w:rFonts w:hint="eastAsia" w:ascii="仿宋" w:hAnsi="仿宋" w:eastAsia="仿宋"/>
          <w:b/>
          <w:sz w:val="28"/>
        </w:rPr>
        <w:t>关于落实新增限上商贸企业奖励资金的请示</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、奖励</w:t>
            </w:r>
            <w:r>
              <w:rPr>
                <w:rFonts w:ascii="仿宋" w:hAnsi="仿宋" w:eastAsia="仿宋"/>
              </w:rPr>
              <w:t>18</w:t>
            </w:r>
            <w:r>
              <w:rPr>
                <w:rFonts w:hint="eastAsia" w:ascii="仿宋" w:hAnsi="仿宋" w:eastAsia="仿宋"/>
              </w:rPr>
              <w:t>位信息员资金</w:t>
            </w:r>
            <w:r>
              <w:rPr>
                <w:rFonts w:ascii="仿宋" w:hAnsi="仿宋" w:eastAsia="仿宋"/>
              </w:rPr>
              <w:t>300</w:t>
            </w:r>
            <w:r>
              <w:rPr>
                <w:rFonts w:hint="eastAsia" w:ascii="仿宋" w:hAnsi="仿宋" w:eastAsia="仿宋"/>
              </w:rPr>
              <w:t>元</w:t>
            </w:r>
            <w:r>
              <w:rPr>
                <w:rFonts w:ascii="仿宋" w:hAnsi="仿宋" w:eastAsia="仿宋"/>
              </w:rPr>
              <w:t>/</w:t>
            </w:r>
            <w:r>
              <w:rPr>
                <w:rFonts w:hint="eastAsia" w:ascii="仿宋" w:hAnsi="仿宋" w:eastAsia="仿宋"/>
              </w:rPr>
              <w:t>月</w:t>
            </w:r>
          </w:p>
          <w:p>
            <w:pPr>
              <w:spacing w:line="300" w:lineRule="exact"/>
              <w:jc w:val="left"/>
              <w:rPr>
                <w:rFonts w:ascii="仿宋" w:hAnsi="仿宋" w:eastAsia="仿宋"/>
              </w:rPr>
            </w:pPr>
            <w:r>
              <w:rPr>
                <w:rFonts w:ascii="仿宋" w:hAnsi="仿宋" w:eastAsia="仿宋"/>
              </w:rPr>
              <w:t>2</w:t>
            </w:r>
            <w:r>
              <w:rPr>
                <w:rFonts w:hint="eastAsia" w:ascii="仿宋" w:hAnsi="仿宋" w:eastAsia="仿宋"/>
              </w:rP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实际发放率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实际发放数量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发放准确率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发放准确程度</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发放及时率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发放及时率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预算控制数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预算控制数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保障足额发放</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90%</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保障工作正常运转</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保障工作正常运转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工作正常运转</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保障工作稳定开展</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人员满意度</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人员满意度</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bl>
    <w:p>
      <w:pPr>
        <w:ind w:firstLine="560"/>
        <w:rPr>
          <w:rFonts w:ascii="仿宋" w:hAnsi="仿宋" w:eastAsia="仿宋"/>
          <w:sz w:val="32"/>
          <w:szCs w:val="32"/>
        </w:rPr>
      </w:pPr>
    </w:p>
    <w:bookmarkEnd w:id="5"/>
    <w:p>
      <w:pPr>
        <w:spacing w:line="500" w:lineRule="exact"/>
        <w:ind w:firstLine="560" w:firstLineChars="200"/>
        <w:jc w:val="left"/>
        <w:rPr>
          <w:rFonts w:ascii="仿宋" w:hAnsi="仿宋" w:eastAsia="仿宋"/>
          <w:sz w:val="28"/>
        </w:rPr>
      </w:pPr>
      <w:bookmarkStart w:id="6" w:name="_Toc62828922"/>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r>
        <w:rPr>
          <w:rFonts w:hint="eastAsia" w:ascii="仿宋" w:hAnsi="仿宋" w:eastAsia="仿宋"/>
          <w:sz w:val="28"/>
        </w:rPr>
        <w:t>3、</w:t>
      </w:r>
      <w:r>
        <w:rPr>
          <w:rFonts w:hint="eastAsia" w:ascii="仿宋" w:hAnsi="仿宋" w:eastAsia="仿宋"/>
          <w:b/>
          <w:sz w:val="28"/>
        </w:rPr>
        <w:t>西关村集贸市场占地补偿款</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w:t>
            </w:r>
            <w:r>
              <w:rPr>
                <w:rFonts w:ascii="仿宋" w:hAnsi="仿宋" w:eastAsia="仿宋"/>
              </w:rPr>
              <w:t>26</w:t>
            </w:r>
            <w:r>
              <w:rPr>
                <w:rFonts w:hint="eastAsia" w:ascii="仿宋" w:hAnsi="仿宋" w:eastAsia="仿宋"/>
              </w:rPr>
              <w:t>亩地农户占地补偿（一次性支付）</w:t>
            </w:r>
          </w:p>
          <w:p>
            <w:pPr>
              <w:spacing w:line="300" w:lineRule="exact"/>
              <w:jc w:val="left"/>
              <w:rPr>
                <w:rFonts w:ascii="仿宋" w:hAnsi="仿宋" w:eastAsia="仿宋"/>
              </w:rPr>
            </w:pPr>
            <w:r>
              <w:rPr>
                <w:rFonts w:ascii="仿宋" w:hAnsi="仿宋" w:eastAsia="仿宋"/>
              </w:rPr>
              <w:t>2</w:t>
            </w:r>
            <w:r>
              <w:rPr>
                <w:rFonts w:hint="eastAsia" w:ascii="仿宋" w:hAnsi="仿宋" w:eastAsia="仿宋"/>
              </w:rPr>
              <w:t>、集体管理费</w:t>
            </w:r>
            <w:r>
              <w:rPr>
                <w:rFonts w:ascii="仿宋" w:hAnsi="仿宋" w:eastAsia="仿宋"/>
              </w:rPr>
              <w:t>300/</w:t>
            </w:r>
            <w:r>
              <w:rPr>
                <w:rFonts w:hint="eastAsia" w:ascii="仿宋" w:hAnsi="仿宋" w:eastAsia="仿宋"/>
              </w:rPr>
              <w:t>亩（一次性支付）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发放人数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发放补偿款人数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发放覆盖率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补偿款发放覆盖率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发放时间</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补偿款发放时间</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按规定时间及时发放</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补偿金发放标准</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补偿款发放标准</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按标准及时发放</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待动集体经济效益</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待动集体经济效益</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社会稳定水平</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发放补偿款稳定市场发展</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群众满意度</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群众整体满意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bl>
    <w:p>
      <w:pPr>
        <w:ind w:firstLine="560"/>
        <w:rPr>
          <w:rFonts w:ascii="仿宋" w:hAnsi="仿宋" w:eastAsia="仿宋"/>
          <w:sz w:val="32"/>
          <w:szCs w:val="32"/>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r>
        <w:rPr>
          <w:rFonts w:hint="eastAsia" w:ascii="仿宋" w:hAnsi="仿宋" w:eastAsia="仿宋"/>
          <w:sz w:val="28"/>
        </w:rPr>
        <w:t>4、</w:t>
      </w:r>
      <w:r>
        <w:rPr>
          <w:rFonts w:hint="eastAsia" w:ascii="仿宋" w:hAnsi="仿宋" w:eastAsia="仿宋"/>
          <w:b/>
          <w:sz w:val="28"/>
        </w:rPr>
        <w:t>占用住建局廉租房费用</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、年底一次性拨付廉租房费用，支付完成。</w:t>
            </w:r>
          </w:p>
          <w:p>
            <w:pPr>
              <w:spacing w:line="300" w:lineRule="exact"/>
              <w:jc w:val="left"/>
              <w:rPr>
                <w:rFonts w:ascii="仿宋" w:hAnsi="仿宋" w:eastAsia="仿宋"/>
              </w:rPr>
            </w:pPr>
            <w:r>
              <w:rPr>
                <w:rFonts w:ascii="仿宋" w:hAnsi="仿宋" w:eastAsia="仿宋"/>
              </w:rPr>
              <w:t>2</w:t>
            </w:r>
            <w:r>
              <w:rPr>
                <w:rFonts w:hint="eastAsia" w:ascii="仿宋" w:hAnsi="仿宋" w:eastAsia="仿宋"/>
              </w:rPr>
              <w:t>、</w:t>
            </w:r>
            <w:r>
              <w:rPr>
                <w:rFonts w:ascii="仿宋" w:hAnsi="仿宋" w:eastAsia="仿宋"/>
              </w:rPr>
              <w:t>44</w:t>
            </w:r>
            <w:r>
              <w:rPr>
                <w:rFonts w:hint="eastAsia" w:ascii="仿宋" w:hAnsi="仿宋" w:eastAsia="仿宋"/>
              </w:rPr>
              <w:t>户拆迁户信访稳定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支付租赁费</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实际支付租赁费</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支付准确率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租赁费支付准确程度</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支付及时率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租赁费及时支付</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90%</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项目预算控制数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项目预算控制数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保障足额支付</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带动集体经济效益</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带动集体经济效益</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社会稳定水平</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维护拆迁户社会稳定水平</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保障人员稳定</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拆迁户满意度</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拆迁户满意度</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100%</w:t>
            </w:r>
          </w:p>
        </w:tc>
        <w:tc>
          <w:tcPr>
            <w:tcW w:w="3127" w:type="dxa"/>
            <w:shd w:val="clear" w:color="auto" w:fill="auto"/>
          </w:tcPr>
          <w:p>
            <w:pPr>
              <w:rPr>
                <w:rFonts w:ascii="仿宋" w:hAnsi="仿宋" w:eastAsia="仿宋"/>
              </w:rPr>
            </w:pPr>
            <w:r>
              <w:rPr>
                <w:rFonts w:hint="eastAsia" w:ascii="仿宋" w:hAnsi="仿宋" w:eastAsia="仿宋"/>
                <w:szCs w:val="21"/>
              </w:rPr>
              <w:t>文件依据</w:t>
            </w:r>
          </w:p>
        </w:tc>
      </w:tr>
    </w:tbl>
    <w:p>
      <w:pPr>
        <w:ind w:firstLine="560"/>
        <w:rPr>
          <w:rFonts w:ascii="仿宋" w:hAnsi="仿宋" w:eastAsia="仿宋"/>
          <w:sz w:val="32"/>
          <w:szCs w:val="32"/>
        </w:rPr>
      </w:pPr>
    </w:p>
    <w:p>
      <w:pPr>
        <w:spacing w:line="500" w:lineRule="exact"/>
        <w:ind w:firstLine="420" w:firstLineChars="150"/>
        <w:jc w:val="left"/>
        <w:rPr>
          <w:rFonts w:ascii="仿宋" w:hAnsi="仿宋" w:eastAsia="仿宋"/>
          <w:sz w:val="28"/>
        </w:rPr>
      </w:pPr>
    </w:p>
    <w:p>
      <w:pPr>
        <w:spacing w:line="500" w:lineRule="exact"/>
        <w:ind w:firstLine="420" w:firstLineChars="150"/>
        <w:jc w:val="left"/>
        <w:rPr>
          <w:rFonts w:ascii="仿宋" w:hAnsi="仿宋" w:eastAsia="仿宋"/>
          <w:sz w:val="28"/>
        </w:rPr>
      </w:pPr>
    </w:p>
    <w:p>
      <w:pPr>
        <w:spacing w:line="500" w:lineRule="exact"/>
        <w:ind w:firstLine="420" w:firstLineChars="150"/>
        <w:jc w:val="left"/>
        <w:rPr>
          <w:rFonts w:ascii="仿宋" w:hAnsi="仿宋" w:eastAsia="仿宋"/>
          <w:sz w:val="28"/>
        </w:rPr>
      </w:pPr>
      <w:r>
        <w:rPr>
          <w:rFonts w:hint="eastAsia" w:ascii="仿宋" w:hAnsi="仿宋" w:eastAsia="仿宋"/>
          <w:sz w:val="28"/>
        </w:rPr>
        <w:t>5、</w:t>
      </w:r>
      <w:r>
        <w:rPr>
          <w:rFonts w:hint="eastAsia" w:ascii="仿宋" w:hAnsi="仿宋" w:eastAsia="仿宋"/>
          <w:b/>
          <w:sz w:val="28"/>
        </w:rPr>
        <w:t>京津冀一体化专项经费</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、引进项目</w:t>
            </w:r>
          </w:p>
          <w:p>
            <w:pPr>
              <w:spacing w:line="300" w:lineRule="exact"/>
              <w:jc w:val="left"/>
              <w:rPr>
                <w:rFonts w:ascii="仿宋" w:hAnsi="仿宋" w:eastAsia="仿宋"/>
              </w:rPr>
            </w:pPr>
            <w:r>
              <w:rPr>
                <w:rFonts w:ascii="仿宋" w:hAnsi="仿宋" w:eastAsia="仿宋"/>
              </w:rPr>
              <w:t>2</w:t>
            </w:r>
            <w:r>
              <w:rPr>
                <w:rFonts w:hint="eastAsia" w:ascii="仿宋" w:hAnsi="仿宋" w:eastAsia="仿宋"/>
              </w:rPr>
              <w:t>、加大皮革出口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引进项目数量</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引进高科技数量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引进高科技数量</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运行质量</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被上级批评次数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次</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日常工作</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无拖延情况</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及时完成工作</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超支成本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不超出预算数</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带动社会投资与扶持资金比例</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90%</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必要的经费支出，保证工作正常运转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长期使用性</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长期较好的持续发展</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bl>
    <w:p>
      <w:pPr>
        <w:ind w:firstLine="560"/>
        <w:rPr>
          <w:rFonts w:ascii="仿宋" w:hAnsi="仿宋" w:eastAsia="仿宋"/>
          <w:sz w:val="32"/>
          <w:szCs w:val="32"/>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r>
        <w:rPr>
          <w:rFonts w:hint="eastAsia" w:ascii="仿宋" w:hAnsi="仿宋" w:eastAsia="仿宋"/>
          <w:sz w:val="28"/>
        </w:rPr>
        <w:t>6、</w:t>
      </w:r>
      <w:r>
        <w:rPr>
          <w:rFonts w:hint="eastAsia" w:ascii="仿宋" w:hAnsi="仿宋" w:eastAsia="仿宋"/>
          <w:b/>
          <w:sz w:val="28"/>
        </w:rPr>
        <w:t>上海皮革展经费</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、引进先进制革技术</w:t>
            </w:r>
          </w:p>
          <w:p>
            <w:pPr>
              <w:spacing w:line="300" w:lineRule="exact"/>
              <w:jc w:val="left"/>
              <w:rPr>
                <w:rFonts w:ascii="仿宋" w:hAnsi="仿宋" w:eastAsia="仿宋"/>
              </w:rPr>
            </w:pPr>
            <w:r>
              <w:rPr>
                <w:rFonts w:ascii="仿宋" w:hAnsi="仿宋" w:eastAsia="仿宋"/>
              </w:rPr>
              <w:t>2</w:t>
            </w:r>
            <w:r>
              <w:rPr>
                <w:rFonts w:hint="eastAsia" w:ascii="仿宋" w:hAnsi="仿宋" w:eastAsia="仿宋"/>
              </w:rPr>
              <w:t>、引进外地客商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制作外宣品数量</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反映外宣品的需求情况</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支付外宣品制作费</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招商运行质量</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被上级批评次数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次</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完成日常工作</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无拖延情况</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及时完成工作</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不超出预算项目数</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不超支成本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不超出预算数</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带动社会投资与扶持资金比例</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90%</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必要的经费支出，保证工作正常运转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长期使用性</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长期较好的持续发展</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c>
          <w:tcPr>
            <w:tcW w:w="3127" w:type="dxa"/>
            <w:shd w:val="clear" w:color="auto" w:fill="auto"/>
          </w:tcPr>
          <w:p>
            <w:pPr>
              <w:rPr>
                <w:rFonts w:ascii="仿宋" w:hAnsi="仿宋" w:eastAsia="仿宋"/>
              </w:rPr>
            </w:pPr>
            <w:r>
              <w:rPr>
                <w:rFonts w:hint="eastAsia" w:ascii="仿宋" w:hAnsi="仿宋" w:eastAsia="仿宋"/>
                <w:szCs w:val="21"/>
              </w:rPr>
              <w:t>根据工作完成情况</w:t>
            </w:r>
          </w:p>
        </w:tc>
      </w:tr>
    </w:tbl>
    <w:p>
      <w:pPr>
        <w:spacing w:line="500" w:lineRule="exact"/>
        <w:ind w:firstLine="560" w:firstLineChars="200"/>
        <w:jc w:val="left"/>
        <w:rPr>
          <w:rFonts w:ascii="仿宋" w:hAnsi="仿宋" w:eastAsia="仿宋"/>
          <w:sz w:val="28"/>
        </w:rPr>
      </w:pPr>
    </w:p>
    <w:p>
      <w:pPr>
        <w:spacing w:line="500" w:lineRule="exact"/>
        <w:ind w:firstLine="560" w:firstLineChars="200"/>
        <w:jc w:val="left"/>
        <w:rPr>
          <w:rFonts w:ascii="仿宋" w:hAnsi="仿宋" w:eastAsia="仿宋"/>
          <w:sz w:val="28"/>
        </w:rPr>
      </w:pPr>
    </w:p>
    <w:p>
      <w:pPr>
        <w:spacing w:line="500" w:lineRule="exact"/>
        <w:ind w:firstLine="420" w:firstLineChars="150"/>
        <w:jc w:val="left"/>
        <w:rPr>
          <w:rFonts w:ascii="仿宋" w:hAnsi="仿宋" w:eastAsia="仿宋"/>
          <w:sz w:val="28"/>
        </w:rPr>
      </w:pPr>
      <w:r>
        <w:rPr>
          <w:rFonts w:hint="eastAsia" w:ascii="仿宋" w:hAnsi="仿宋" w:eastAsia="仿宋"/>
          <w:sz w:val="28"/>
        </w:rPr>
        <w:t>7、</w:t>
      </w:r>
      <w:r>
        <w:rPr>
          <w:rFonts w:hint="eastAsia" w:ascii="仿宋" w:hAnsi="仿宋" w:eastAsia="仿宋"/>
          <w:b/>
          <w:sz w:val="28"/>
        </w:rPr>
        <w:t>招商宣传品经费及经济洽谈会费用</w:t>
      </w:r>
      <w:r>
        <w:rPr>
          <w:rFonts w:ascii="仿宋" w:hAnsi="仿宋" w:eastAsia="仿宋"/>
          <w:sz w:val="28"/>
        </w:rPr>
        <w:t>项目绩效目标表</w:t>
      </w:r>
    </w:p>
    <w:p>
      <w:pPr>
        <w:spacing w:line="14" w:lineRule="exact"/>
        <w:ind w:firstLine="420" w:firstLineChars="200"/>
        <w:jc w:val="center"/>
        <w:rPr>
          <w:rFonts w:ascii="仿宋" w:hAnsi="仿宋" w:eastAsia="仿宋"/>
        </w:rPr>
      </w:pPr>
      <w:r>
        <w:rPr>
          <w:rFonts w:ascii="仿宋" w:hAnsi="仿宋" w:eastAsia="仿宋"/>
        </w:rPr>
        <w:t xml:space="preserve"> </w:t>
      </w:r>
    </w:p>
    <w:tbl>
      <w:tblPr>
        <w:tblStyle w:val="11"/>
        <w:tblW w:w="133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81"/>
        <w:gridCol w:w="2724"/>
        <w:gridCol w:w="1387"/>
        <w:gridCol w:w="2007"/>
        <w:gridCol w:w="1276"/>
        <w:gridCol w:w="31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绩效目标</w:t>
            </w:r>
          </w:p>
        </w:tc>
        <w:tc>
          <w:tcPr>
            <w:tcW w:w="10521" w:type="dxa"/>
            <w:gridSpan w:val="5"/>
            <w:shd w:val="clear" w:color="auto" w:fill="auto"/>
            <w:vAlign w:val="center"/>
          </w:tcPr>
          <w:p>
            <w:pPr>
              <w:spacing w:line="300" w:lineRule="exact"/>
              <w:jc w:val="left"/>
              <w:rPr>
                <w:rFonts w:ascii="仿宋" w:hAnsi="仿宋" w:eastAsia="仿宋"/>
              </w:rPr>
            </w:pPr>
            <w:r>
              <w:rPr>
                <w:rFonts w:ascii="仿宋" w:hAnsi="仿宋" w:eastAsia="仿宋"/>
              </w:rPr>
              <w:t>1</w:t>
            </w:r>
            <w:r>
              <w:rPr>
                <w:rFonts w:hint="eastAsia" w:ascii="仿宋" w:hAnsi="仿宋" w:eastAsia="仿宋"/>
              </w:rPr>
              <w:t>、引进先进项目</w:t>
            </w:r>
          </w:p>
          <w:p>
            <w:pPr>
              <w:spacing w:line="300" w:lineRule="exact"/>
              <w:rPr>
                <w:rFonts w:ascii="仿宋" w:hAnsi="仿宋" w:eastAsia="仿宋"/>
                <w:b/>
                <w:szCs w:val="21"/>
              </w:rPr>
            </w:pPr>
            <w:r>
              <w:rPr>
                <w:rFonts w:ascii="仿宋" w:hAnsi="仿宋" w:eastAsia="仿宋"/>
              </w:rPr>
              <w:t>2</w:t>
            </w:r>
            <w:r>
              <w:rPr>
                <w:rFonts w:hint="eastAsia" w:ascii="仿宋" w:hAnsi="仿宋" w:eastAsia="仿宋"/>
              </w:rPr>
              <w:t>、推介传统皮革木门业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2781"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一级指标</w:t>
            </w:r>
          </w:p>
        </w:tc>
        <w:tc>
          <w:tcPr>
            <w:tcW w:w="2724"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二级指标</w:t>
            </w:r>
          </w:p>
        </w:tc>
        <w:tc>
          <w:tcPr>
            <w:tcW w:w="138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三级指标</w:t>
            </w:r>
          </w:p>
        </w:tc>
        <w:tc>
          <w:tcPr>
            <w:tcW w:w="200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绩效指标描述</w:t>
            </w:r>
          </w:p>
        </w:tc>
        <w:tc>
          <w:tcPr>
            <w:tcW w:w="1276"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w:t>
            </w:r>
          </w:p>
        </w:tc>
        <w:tc>
          <w:tcPr>
            <w:tcW w:w="3127" w:type="dxa"/>
            <w:shd w:val="clear" w:color="auto" w:fill="auto"/>
            <w:vAlign w:val="center"/>
          </w:tcPr>
          <w:p>
            <w:pPr>
              <w:spacing w:line="300" w:lineRule="exact"/>
              <w:jc w:val="center"/>
              <w:rPr>
                <w:rFonts w:ascii="仿宋" w:hAnsi="仿宋" w:eastAsia="仿宋"/>
                <w:b/>
                <w:szCs w:val="21"/>
              </w:rPr>
            </w:pPr>
            <w:r>
              <w:rPr>
                <w:rFonts w:hint="eastAsia" w:ascii="仿宋" w:hAnsi="仿宋" w:eastAsia="仿宋"/>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产出指标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数量指标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引进项目数量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引进高科技数量</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引进高科技数量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质量指标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运行质量</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被上级批评次数</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时效指标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日常工作</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无拖延情况</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成本指标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不超出预算数</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超支成本</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不超出预算数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restart"/>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效果指标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经济效益指标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带动社会投资与扶持资金比例</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社会效益指标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必要的经费支出，保证工作正常运转</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保证工作正常运转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生态效益指标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社会发展保障力</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保障社会发展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vMerge w:val="continue"/>
            <w:shd w:val="clear" w:color="auto" w:fill="auto"/>
            <w:vAlign w:val="center"/>
          </w:tcPr>
          <w:p>
            <w:pPr>
              <w:spacing w:line="300" w:lineRule="exact"/>
              <w:jc w:val="center"/>
              <w:rPr>
                <w:rFonts w:ascii="仿宋" w:hAnsi="仿宋" w:eastAsia="仿宋"/>
                <w:szCs w:val="21"/>
              </w:rPr>
            </w:pP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可持续性影响指标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长期使用性</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长期较好的持续发展</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81" w:type="dxa"/>
            <w:shd w:val="clear" w:color="auto" w:fill="auto"/>
            <w:vAlign w:val="center"/>
          </w:tcPr>
          <w:p>
            <w:pPr>
              <w:spacing w:line="300" w:lineRule="exact"/>
              <w:jc w:val="center"/>
              <w:rPr>
                <w:rFonts w:ascii="仿宋" w:hAnsi="仿宋" w:eastAsia="仿宋"/>
                <w:szCs w:val="21"/>
              </w:rPr>
            </w:pPr>
            <w:r>
              <w:rPr>
                <w:rFonts w:hint="eastAsia" w:ascii="仿宋" w:hAnsi="仿宋" w:eastAsia="仿宋"/>
                <w:szCs w:val="21"/>
              </w:rPr>
              <w:t>满意度指标</w:t>
            </w:r>
          </w:p>
        </w:tc>
        <w:tc>
          <w:tcPr>
            <w:tcW w:w="2724"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138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服务对象满意度指标</w:t>
            </w:r>
          </w:p>
        </w:tc>
        <w:tc>
          <w:tcPr>
            <w:tcW w:w="200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1276"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满意率</w:t>
            </w:r>
          </w:p>
        </w:tc>
        <w:tc>
          <w:tcPr>
            <w:tcW w:w="3127" w:type="dxa"/>
            <w:shd w:val="clear" w:color="auto" w:fill="auto"/>
            <w:vAlign w:val="center"/>
          </w:tcPr>
          <w:p>
            <w:pPr>
              <w:spacing w:line="300" w:lineRule="exact"/>
              <w:jc w:val="left"/>
              <w:rPr>
                <w:rFonts w:ascii="仿宋" w:hAnsi="仿宋" w:eastAsia="仿宋"/>
                <w:szCs w:val="21"/>
              </w:rPr>
            </w:pPr>
            <w:r>
              <w:rPr>
                <w:rFonts w:hint="eastAsia" w:ascii="仿宋" w:hAnsi="仿宋" w:eastAsia="仿宋"/>
                <w:szCs w:val="21"/>
              </w:rPr>
              <w:t>95%</w:t>
            </w:r>
          </w:p>
        </w:tc>
      </w:tr>
    </w:tbl>
    <w:p>
      <w:pPr>
        <w:ind w:firstLine="800" w:firstLineChars="250"/>
        <w:rPr>
          <w:rFonts w:ascii="仿宋" w:hAnsi="仿宋" w:eastAsia="仿宋" w:cs="仿宋"/>
          <w:sz w:val="32"/>
          <w:szCs w:val="32"/>
        </w:rPr>
      </w:pPr>
      <w:r>
        <w:rPr>
          <w:rFonts w:hint="eastAsia" w:ascii="仿宋" w:hAnsi="仿宋" w:eastAsia="仿宋"/>
          <w:sz w:val="32"/>
        </w:rPr>
        <w:t>六、政府采购预算情况</w:t>
      </w:r>
      <w:bookmarkEnd w:id="6"/>
    </w:p>
    <w:p>
      <w:pPr>
        <w:ind w:firstLine="640" w:firstLineChars="200"/>
        <w:jc w:val="center"/>
        <w:outlineLvl w:val="0"/>
        <w:rPr>
          <w:rFonts w:hAnsi="宋体"/>
          <w:sz w:val="32"/>
        </w:rPr>
      </w:pPr>
      <w:bookmarkStart w:id="7" w:name="_Toc62828923"/>
      <w:r>
        <w:rPr>
          <w:rFonts w:hint="eastAsia" w:ascii="方正小标宋_GBK" w:eastAsia="方正小标宋_GBK"/>
          <w:sz w:val="32"/>
        </w:rPr>
        <w:t>部门政府采购预算</w:t>
      </w:r>
      <w:r>
        <w:rPr>
          <w:rFonts w:ascii="Calibri"/>
        </w:rPr>
        <w:fldChar w:fldCharType="begin"/>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11"/>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eastAsia="方正仿宋_GBK"/>
                <w:sz w:val="28"/>
              </w:rPr>
            </w:pPr>
          </w:p>
        </w:tc>
        <w:tc>
          <w:tcPr>
            <w:tcW w:w="1417" w:type="dxa"/>
            <w:vMerge w:val="continue"/>
            <w:vAlign w:val="center"/>
          </w:tcPr>
          <w:p>
            <w:pPr>
              <w:spacing w:line="300" w:lineRule="exact"/>
              <w:jc w:val="left"/>
              <w:outlineLvl w:val="0"/>
              <w:rPr>
                <w:rFonts w:eastAsia="方正仿宋_GBK"/>
                <w:sz w:val="28"/>
              </w:rPr>
            </w:pPr>
          </w:p>
        </w:tc>
        <w:tc>
          <w:tcPr>
            <w:tcW w:w="709" w:type="dxa"/>
            <w:vMerge w:val="continue"/>
            <w:vAlign w:val="center"/>
          </w:tcPr>
          <w:p>
            <w:pPr>
              <w:spacing w:line="300" w:lineRule="exact"/>
              <w:jc w:val="left"/>
              <w:outlineLvl w:val="0"/>
              <w:rPr>
                <w:rFonts w:eastAsia="方正仿宋_GBK"/>
                <w:sz w:val="28"/>
              </w:rPr>
            </w:pPr>
          </w:p>
        </w:tc>
        <w:tc>
          <w:tcPr>
            <w:tcW w:w="851" w:type="dxa"/>
            <w:vMerge w:val="continue"/>
            <w:vAlign w:val="center"/>
          </w:tcPr>
          <w:p>
            <w:pPr>
              <w:spacing w:line="300" w:lineRule="exact"/>
              <w:jc w:val="left"/>
              <w:outlineLvl w:val="0"/>
              <w:rPr>
                <w:rFonts w:eastAsia="方正仿宋_GBK"/>
                <w:sz w:val="28"/>
              </w:rPr>
            </w:pPr>
          </w:p>
        </w:tc>
        <w:tc>
          <w:tcPr>
            <w:tcW w:w="992" w:type="dxa"/>
            <w:vMerge w:val="continue"/>
            <w:vAlign w:val="center"/>
          </w:tcPr>
          <w:p>
            <w:pPr>
              <w:spacing w:line="300" w:lineRule="exact"/>
              <w:jc w:val="left"/>
              <w:outlineLvl w:val="0"/>
              <w:rPr>
                <w:rFonts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szCs w:val="21"/>
              </w:rPr>
            </w:pPr>
          </w:p>
        </w:tc>
        <w:tc>
          <w:tcPr>
            <w:tcW w:w="992" w:type="dxa"/>
            <w:vAlign w:val="center"/>
          </w:tcPr>
          <w:p>
            <w:pPr>
              <w:adjustRightInd w:val="0"/>
              <w:snapToGrid w:val="0"/>
              <w:jc w:val="right"/>
              <w:rPr>
                <w:rFonts w:ascii="方正书宋_GBK" w:hAnsi="宋体" w:eastAsia="方正书宋_GBK" w:cs="宋体"/>
                <w:b/>
                <w:bCs/>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sz w:val="32"/>
          <w:szCs w:val="32"/>
        </w:rPr>
      </w:pPr>
      <w:r>
        <w:rPr>
          <w:rFonts w:hint="eastAsia" w:ascii="仿宋" w:hAnsi="仿宋" w:eastAsia="仿宋" w:cs="仿宋"/>
          <w:sz w:val="32"/>
          <w:szCs w:val="32"/>
        </w:rPr>
        <w:t>2020年无政府采购，空表列示。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bookmarkEnd w:id="7"/>
    <w:p>
      <w:pPr>
        <w:ind w:firstLine="688" w:firstLineChars="215"/>
        <w:rPr>
          <w:rFonts w:ascii="仿宋" w:hAnsi="仿宋" w:eastAsia="仿宋" w:cs="仿宋"/>
          <w:sz w:val="32"/>
          <w:szCs w:val="32"/>
        </w:rPr>
      </w:pPr>
      <w:r>
        <w:rPr>
          <w:rFonts w:hint="eastAsia" w:ascii="仿宋" w:hAnsi="仿宋" w:eastAsia="仿宋" w:cs="仿宋"/>
          <w:sz w:val="32"/>
          <w:szCs w:val="32"/>
        </w:rPr>
        <w:t>无极县商务局2019年末固定资产金额为</w:t>
      </w:r>
      <w:r>
        <w:rPr>
          <w:rFonts w:hint="eastAsia" w:ascii="仿宋" w:hAnsi="仿宋" w:eastAsia="仿宋" w:cs="宋体"/>
          <w:kern w:val="0"/>
          <w:sz w:val="32"/>
          <w:szCs w:val="32"/>
        </w:rPr>
        <w:t>192.25</w:t>
      </w:r>
      <w:r>
        <w:rPr>
          <w:rFonts w:hint="eastAsia" w:ascii="仿宋" w:hAnsi="仿宋" w:eastAsia="仿宋" w:cs="仿宋"/>
          <w:sz w:val="32"/>
          <w:szCs w:val="32"/>
        </w:rPr>
        <w:t xml:space="preserve"> 万元（详见下表）。本年度拟购置固定资产金额为0万元。</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rPr>
                <w:rFonts w:ascii="仿宋" w:hAnsi="仿宋" w:eastAsia="仿宋" w:cs="宋体"/>
                <w:b/>
                <w:bCs/>
                <w:kern w:val="0"/>
                <w:sz w:val="32"/>
                <w:szCs w:val="32"/>
              </w:rPr>
            </w:pPr>
          </w:p>
          <w:p>
            <w:pPr>
              <w:widowControl/>
              <w:ind w:firstLine="643" w:firstLineChars="200"/>
              <w:jc w:val="center"/>
              <w:rPr>
                <w:rFonts w:ascii="仿宋" w:hAnsi="仿宋" w:eastAsia="仿宋" w:cs="宋体"/>
                <w:b/>
                <w:bCs/>
                <w:kern w:val="0"/>
                <w:sz w:val="32"/>
                <w:szCs w:val="32"/>
              </w:rPr>
            </w:pPr>
            <w:r>
              <w:rPr>
                <w:rFonts w:hint="eastAsia" w:ascii="仿宋" w:hAnsi="仿宋" w:eastAsia="仿宋" w:cs="宋体"/>
                <w:b/>
                <w:bCs/>
                <w:kern w:val="0"/>
                <w:sz w:val="32"/>
                <w:szCs w:val="32"/>
              </w:rPr>
              <w:t>无极县商务局固定资产占用情况表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640" w:firstLineChars="200"/>
              <w:jc w:val="left"/>
              <w:rPr>
                <w:rFonts w:ascii="仿宋" w:hAnsi="仿宋" w:eastAsia="仿宋" w:cs="仿宋_GB2312"/>
                <w:bCs/>
                <w:sz w:val="32"/>
                <w:szCs w:val="32"/>
              </w:rPr>
            </w:pPr>
            <w:r>
              <w:rPr>
                <w:rFonts w:hint="eastAsia" w:ascii="仿宋" w:hAnsi="仿宋" w:eastAsia="仿宋" w:cs="宋体"/>
                <w:kern w:val="0"/>
                <w:sz w:val="32"/>
                <w:szCs w:val="32"/>
              </w:rPr>
              <w:t>编制部门：</w:t>
            </w:r>
            <w:r>
              <w:rPr>
                <w:rFonts w:hint="eastAsia" w:ascii="仿宋" w:hAnsi="仿宋" w:eastAsia="仿宋" w:cs="仿宋_GB2312"/>
                <w:bCs/>
                <w:sz w:val="32"/>
                <w:szCs w:val="32"/>
              </w:rPr>
              <w:t>无极县商务局</w:t>
            </w:r>
          </w:p>
        </w:tc>
        <w:tc>
          <w:tcPr>
            <w:tcW w:w="5103" w:type="dxa"/>
            <w:tcBorders>
              <w:top w:val="nil"/>
              <w:left w:val="nil"/>
              <w:bottom w:val="nil"/>
              <w:right w:val="nil"/>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 xml:space="preserve">截止时间：2019年12月31日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643" w:firstLineChars="200"/>
              <w:jc w:val="center"/>
              <w:rPr>
                <w:rFonts w:ascii="仿宋" w:hAnsi="仿宋" w:eastAsia="仿宋" w:cs="宋体"/>
                <w:b/>
                <w:bCs/>
                <w:kern w:val="0"/>
                <w:sz w:val="32"/>
                <w:szCs w:val="32"/>
              </w:rPr>
            </w:pPr>
            <w:r>
              <w:rPr>
                <w:rFonts w:hint="eastAsia" w:ascii="仿宋" w:hAnsi="仿宋" w:eastAsia="仿宋"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 w:hAnsi="仿宋" w:eastAsia="仿宋" w:cs="宋体"/>
                <w:b/>
                <w:bCs/>
                <w:kern w:val="0"/>
                <w:sz w:val="32"/>
                <w:szCs w:val="32"/>
              </w:rPr>
            </w:pPr>
            <w:r>
              <w:rPr>
                <w:rFonts w:hint="eastAsia" w:ascii="仿宋" w:hAnsi="仿宋" w:eastAsia="仿宋"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 w:hAnsi="仿宋" w:eastAsia="仿宋" w:cs="宋体"/>
                <w:b/>
                <w:bCs/>
                <w:kern w:val="0"/>
                <w:sz w:val="32"/>
                <w:szCs w:val="32"/>
              </w:rPr>
            </w:pPr>
            <w:r>
              <w:rPr>
                <w:rFonts w:hint="eastAsia" w:ascii="仿宋" w:hAnsi="仿宋" w:eastAsia="仿宋"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192.25</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680</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63.31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680</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63.31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1</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14.5</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2</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77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 w:hAnsi="仿宋" w:eastAsia="仿宋" w:cs="宋体"/>
                <w:kern w:val="0"/>
                <w:sz w:val="32"/>
                <w:szCs w:val="32"/>
              </w:rPr>
            </w:pPr>
            <w:r>
              <w:rPr>
                <w:rFonts w:hint="eastAsia" w:ascii="仿宋" w:hAnsi="仿宋" w:eastAsia="仿宋" w:cs="宋体"/>
                <w:kern w:val="0"/>
                <w:sz w:val="32"/>
                <w:szCs w:val="32"/>
              </w:rPr>
              <w:t>37.44</w:t>
            </w:r>
          </w:p>
        </w:tc>
      </w:tr>
    </w:tbl>
    <w:p>
      <w:pPr>
        <w:pStyle w:val="3"/>
        <w:ind w:firstLine="640" w:firstLineChars="200"/>
        <w:jc w:val="left"/>
        <w:rPr>
          <w:rFonts w:ascii="仿宋" w:hAnsi="仿宋" w:eastAsia="仿宋"/>
          <w:sz w:val="32"/>
        </w:rPr>
      </w:pPr>
      <w:bookmarkStart w:id="9" w:name="_Toc62828924"/>
      <w:r>
        <w:rPr>
          <w:rFonts w:hint="eastAsia" w:ascii="仿宋" w:hAnsi="仿宋" w:eastAsia="仿宋"/>
          <w:sz w:val="32"/>
        </w:rPr>
        <w:t>八、名词解释</w:t>
      </w:r>
      <w:bookmarkEnd w:id="9"/>
    </w:p>
    <w:p>
      <w:pPr>
        <w:ind w:firstLine="640" w:firstLineChars="200"/>
        <w:rPr>
          <w:rFonts w:ascii="仿宋" w:hAnsi="仿宋" w:eastAsia="仿宋"/>
          <w:sz w:val="32"/>
          <w:szCs w:val="32"/>
        </w:rPr>
      </w:pPr>
      <w:bookmarkStart w:id="10" w:name="_Toc62828925"/>
      <w:r>
        <w:rPr>
          <w:rFonts w:hint="eastAsia" w:ascii="仿宋" w:hAnsi="仿宋" w:eastAsia="仿宋"/>
          <w:sz w:val="32"/>
          <w:szCs w:val="32"/>
        </w:rPr>
        <w:t>1、一般公共预算拨款收入：指县级财政当年拨付的资金。</w:t>
      </w:r>
    </w:p>
    <w:p>
      <w:pPr>
        <w:ind w:firstLine="640" w:firstLineChars="200"/>
        <w:rPr>
          <w:rFonts w:ascii="仿宋" w:hAnsi="仿宋" w:eastAsia="仿宋"/>
          <w:sz w:val="32"/>
          <w:szCs w:val="32"/>
        </w:rPr>
      </w:pPr>
      <w:r>
        <w:rPr>
          <w:rFonts w:hint="eastAsia" w:ascii="仿宋" w:hAnsi="仿宋" w:eastAsia="仿宋"/>
          <w:sz w:val="32"/>
          <w:szCs w:val="32"/>
        </w:rPr>
        <w:t>2、事业收入：指事业单位开展专业业务活动及辅助活动所取得的收入。</w:t>
      </w:r>
    </w:p>
    <w:p>
      <w:pPr>
        <w:ind w:firstLine="640" w:firstLineChars="200"/>
        <w:rPr>
          <w:rFonts w:ascii="仿宋" w:hAnsi="仿宋" w:eastAsia="仿宋"/>
          <w:sz w:val="32"/>
          <w:szCs w:val="32"/>
        </w:rPr>
      </w:pPr>
      <w:r>
        <w:rPr>
          <w:rFonts w:hint="eastAsia" w:ascii="仿宋" w:hAnsi="仿宋" w:eastAsia="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sz w:val="32"/>
          <w:szCs w:val="32"/>
        </w:rPr>
      </w:pPr>
      <w:r>
        <w:rPr>
          <w:rFonts w:hint="eastAsia" w:ascii="仿宋" w:hAnsi="仿宋" w:eastAsia="仿宋"/>
          <w:sz w:val="32"/>
          <w:szCs w:val="32"/>
        </w:rPr>
        <w:t>4、基本支出：指为保障机构正常运转、完成日常工作任务而发生的人员支出和公用支出。</w:t>
      </w:r>
    </w:p>
    <w:p>
      <w:pPr>
        <w:ind w:firstLine="640" w:firstLineChars="200"/>
        <w:rPr>
          <w:rFonts w:ascii="仿宋" w:hAnsi="仿宋" w:eastAsia="仿宋"/>
          <w:sz w:val="32"/>
          <w:szCs w:val="32"/>
        </w:rPr>
      </w:pPr>
      <w:r>
        <w:rPr>
          <w:rFonts w:hint="eastAsia" w:ascii="仿宋" w:hAnsi="仿宋" w:eastAsia="仿宋"/>
          <w:sz w:val="32"/>
          <w:szCs w:val="32"/>
        </w:rPr>
        <w:t>5、项目支出：指在基本支出之外为完成特定行政任务和事业发展目标所发生的支出。</w:t>
      </w:r>
    </w:p>
    <w:p>
      <w:pPr>
        <w:ind w:firstLine="640" w:firstLineChars="200"/>
        <w:rPr>
          <w:rFonts w:ascii="仿宋" w:hAnsi="仿宋" w:eastAsia="仿宋"/>
          <w:sz w:val="32"/>
          <w:szCs w:val="32"/>
        </w:rPr>
      </w:pPr>
      <w:r>
        <w:rPr>
          <w:rFonts w:hint="eastAsia" w:ascii="仿宋" w:hAnsi="仿宋" w:eastAsia="仿宋"/>
          <w:sz w:val="32"/>
          <w:szCs w:val="32"/>
        </w:rPr>
        <w:t>6、上缴上级支出：指下级单位上缴上级的支出。</w:t>
      </w:r>
    </w:p>
    <w:p>
      <w:pPr>
        <w:ind w:firstLine="640" w:firstLineChars="200"/>
        <w:rPr>
          <w:rFonts w:ascii="仿宋" w:hAnsi="仿宋" w:eastAsia="仿宋"/>
          <w:sz w:val="32"/>
          <w:szCs w:val="32"/>
        </w:rPr>
      </w:pPr>
      <w:r>
        <w:rPr>
          <w:rFonts w:hint="eastAsia" w:ascii="仿宋" w:hAnsi="仿宋" w:eastAsia="仿宋"/>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sz w:val="32"/>
          <w:szCs w:val="32"/>
        </w:rPr>
      </w:pPr>
      <w:r>
        <w:rPr>
          <w:rFonts w:hint="eastAsia" w:ascii="仿宋" w:hAnsi="仿宋"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sz w:val="32"/>
          <w:szCs w:val="32"/>
        </w:rPr>
      </w:pPr>
      <w:r>
        <w:rPr>
          <w:rFonts w:hint="eastAsia" w:ascii="仿宋" w:hAnsi="仿宋" w:eastAsia="仿宋"/>
          <w:sz w:val="32"/>
          <w:szCs w:val="32"/>
        </w:rPr>
        <w:t>9、上年结转：指以前年度尚未完成、结转到本年仍按原规定用途继续使用的资金。</w:t>
      </w:r>
    </w:p>
    <w:p>
      <w:pPr>
        <w:ind w:firstLine="640" w:firstLineChars="200"/>
        <w:rPr>
          <w:rFonts w:ascii="仿宋" w:hAnsi="仿宋" w:eastAsia="仿宋"/>
          <w:sz w:val="32"/>
          <w:szCs w:val="32"/>
        </w:rPr>
      </w:pPr>
      <w:r>
        <w:rPr>
          <w:rFonts w:hint="eastAsia" w:ascii="仿宋" w:hAnsi="仿宋" w:eastAsia="仿宋"/>
          <w:sz w:val="32"/>
          <w:szCs w:val="32"/>
        </w:rPr>
        <w:t>10、事业单位经营支出：指事业单位在专业业务活动及其辅助活动之外开展非独立核算经营活动发生的支出。</w:t>
      </w:r>
    </w:p>
    <w:p>
      <w:pPr>
        <w:pStyle w:val="3"/>
        <w:ind w:firstLine="640" w:firstLineChars="200"/>
        <w:jc w:val="left"/>
        <w:rPr>
          <w:rFonts w:ascii="仿宋" w:hAnsi="仿宋" w:eastAsia="仿宋"/>
          <w:sz w:val="32"/>
        </w:rPr>
      </w:pPr>
      <w:r>
        <w:rPr>
          <w:rFonts w:hint="eastAsia" w:ascii="仿宋" w:hAnsi="仿宋" w:eastAsia="仿宋"/>
          <w:sz w:val="32"/>
        </w:rPr>
        <w:t>九、其他需要说明的事项</w:t>
      </w:r>
      <w:bookmarkEnd w:id="10"/>
    </w:p>
    <w:p>
      <w:pPr>
        <w:ind w:firstLine="640" w:firstLineChars="200"/>
        <w:rPr>
          <w:rFonts w:eastAsia="仿宋"/>
          <w:sz w:val="32"/>
          <w:szCs w:val="32"/>
        </w:rPr>
      </w:pPr>
      <w:r>
        <w:rPr>
          <w:rFonts w:hint="eastAsia" w:eastAsia="仿宋"/>
          <w:sz w:val="32"/>
          <w:szCs w:val="32"/>
        </w:rPr>
        <w:t>我部门无其他需要说明的事项。</w:t>
      </w:r>
    </w:p>
    <w:p>
      <w:pPr>
        <w:autoSpaceDE w:val="0"/>
        <w:autoSpaceDN w:val="0"/>
        <w:adjustRightInd w:val="0"/>
        <w:ind w:firstLine="480" w:firstLineChars="200"/>
        <w:jc w:val="left"/>
        <w:rPr>
          <w:rFonts w:ascii="仿宋" w:hAnsi="仿宋" w:eastAsia="仿宋" w:cs="仿宋_GB2312"/>
          <w:sz w:val="24"/>
          <w:highlight w:val="green"/>
        </w:rPr>
      </w:pPr>
    </w:p>
    <w:p>
      <w:pPr>
        <w:widowControl/>
        <w:jc w:val="left"/>
        <w:rPr>
          <w:rFonts w:ascii="仿宋" w:hAnsi="仿宋" w:eastAsia="仿宋" w:cs="仿宋_GB2312"/>
          <w:sz w:val="24"/>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Cambria">
    <w:panose1 w:val="02040503050406030204"/>
    <w:charset w:val="00"/>
    <w:family w:val="roman"/>
    <w:pitch w:val="default"/>
    <w:sig w:usb0="E00006FF" w:usb1="420024FF" w:usb2="02000000" w:usb3="00000000" w:csb0="2000019F" w:csb1="00000000"/>
  </w:font>
  <w:font w:name="方正黑体_GBK">
    <w:panose1 w:val="02000000000000000000"/>
    <w:charset w:val="86"/>
    <w:family w:val="roman"/>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D16E8"/>
    <w:rsid w:val="00063202"/>
    <w:rsid w:val="000A7A5B"/>
    <w:rsid w:val="000D387C"/>
    <w:rsid w:val="000E491A"/>
    <w:rsid w:val="00132815"/>
    <w:rsid w:val="001328A5"/>
    <w:rsid w:val="0015503B"/>
    <w:rsid w:val="00155D13"/>
    <w:rsid w:val="00163CA4"/>
    <w:rsid w:val="00177242"/>
    <w:rsid w:val="00193103"/>
    <w:rsid w:val="00195E0D"/>
    <w:rsid w:val="001A3132"/>
    <w:rsid w:val="001C00AC"/>
    <w:rsid w:val="001C0FCE"/>
    <w:rsid w:val="001C523F"/>
    <w:rsid w:val="001D3B53"/>
    <w:rsid w:val="001D6107"/>
    <w:rsid w:val="001E402D"/>
    <w:rsid w:val="001E5253"/>
    <w:rsid w:val="001E5BF9"/>
    <w:rsid w:val="00215311"/>
    <w:rsid w:val="00215D26"/>
    <w:rsid w:val="00276C5F"/>
    <w:rsid w:val="00280154"/>
    <w:rsid w:val="002C2E6F"/>
    <w:rsid w:val="002D0F9D"/>
    <w:rsid w:val="002F0476"/>
    <w:rsid w:val="003269A0"/>
    <w:rsid w:val="00341D30"/>
    <w:rsid w:val="003B00D5"/>
    <w:rsid w:val="003F1435"/>
    <w:rsid w:val="00402381"/>
    <w:rsid w:val="004075EE"/>
    <w:rsid w:val="0043461C"/>
    <w:rsid w:val="00454AE4"/>
    <w:rsid w:val="004707A2"/>
    <w:rsid w:val="00472193"/>
    <w:rsid w:val="004C2122"/>
    <w:rsid w:val="004C698A"/>
    <w:rsid w:val="004E0EBB"/>
    <w:rsid w:val="005017D7"/>
    <w:rsid w:val="00501D51"/>
    <w:rsid w:val="0050380C"/>
    <w:rsid w:val="005300B8"/>
    <w:rsid w:val="00534794"/>
    <w:rsid w:val="00577659"/>
    <w:rsid w:val="005864E6"/>
    <w:rsid w:val="005B1CBC"/>
    <w:rsid w:val="005B40C7"/>
    <w:rsid w:val="005E1058"/>
    <w:rsid w:val="005E67E1"/>
    <w:rsid w:val="005E7901"/>
    <w:rsid w:val="005F17F0"/>
    <w:rsid w:val="006213F2"/>
    <w:rsid w:val="00622ED3"/>
    <w:rsid w:val="00652D6F"/>
    <w:rsid w:val="00655140"/>
    <w:rsid w:val="00656BB2"/>
    <w:rsid w:val="0067588B"/>
    <w:rsid w:val="00680BB7"/>
    <w:rsid w:val="006A17A8"/>
    <w:rsid w:val="006B53F5"/>
    <w:rsid w:val="006D0A18"/>
    <w:rsid w:val="006D1E4E"/>
    <w:rsid w:val="006E5EE5"/>
    <w:rsid w:val="006E6813"/>
    <w:rsid w:val="006F5AF7"/>
    <w:rsid w:val="00706EA3"/>
    <w:rsid w:val="0072058E"/>
    <w:rsid w:val="00721B2D"/>
    <w:rsid w:val="00734D71"/>
    <w:rsid w:val="007410B9"/>
    <w:rsid w:val="00761A4F"/>
    <w:rsid w:val="0076434F"/>
    <w:rsid w:val="007924BE"/>
    <w:rsid w:val="007B1A95"/>
    <w:rsid w:val="007B1B2E"/>
    <w:rsid w:val="007D5E58"/>
    <w:rsid w:val="007D70B2"/>
    <w:rsid w:val="007E2BA3"/>
    <w:rsid w:val="00823BE7"/>
    <w:rsid w:val="0086471E"/>
    <w:rsid w:val="00887FCB"/>
    <w:rsid w:val="008C0365"/>
    <w:rsid w:val="008C5DD9"/>
    <w:rsid w:val="008F2A99"/>
    <w:rsid w:val="0091056C"/>
    <w:rsid w:val="00932607"/>
    <w:rsid w:val="00937B92"/>
    <w:rsid w:val="00940B45"/>
    <w:rsid w:val="00946EC6"/>
    <w:rsid w:val="00971837"/>
    <w:rsid w:val="00974459"/>
    <w:rsid w:val="00980307"/>
    <w:rsid w:val="00987F98"/>
    <w:rsid w:val="009A039E"/>
    <w:rsid w:val="009B2D5C"/>
    <w:rsid w:val="009C23D5"/>
    <w:rsid w:val="009C518A"/>
    <w:rsid w:val="009D12D4"/>
    <w:rsid w:val="009F1ED1"/>
    <w:rsid w:val="009F2266"/>
    <w:rsid w:val="009F71EB"/>
    <w:rsid w:val="00A15753"/>
    <w:rsid w:val="00A71E4D"/>
    <w:rsid w:val="00A77CBA"/>
    <w:rsid w:val="00A81F4C"/>
    <w:rsid w:val="00A82331"/>
    <w:rsid w:val="00AB4D66"/>
    <w:rsid w:val="00AB4F26"/>
    <w:rsid w:val="00AD12DC"/>
    <w:rsid w:val="00AF4A2D"/>
    <w:rsid w:val="00AF4DFA"/>
    <w:rsid w:val="00AF6D2A"/>
    <w:rsid w:val="00B32958"/>
    <w:rsid w:val="00B45E52"/>
    <w:rsid w:val="00B90114"/>
    <w:rsid w:val="00BC0C45"/>
    <w:rsid w:val="00BE2804"/>
    <w:rsid w:val="00BE2A51"/>
    <w:rsid w:val="00BE7053"/>
    <w:rsid w:val="00BE7CBB"/>
    <w:rsid w:val="00C1358A"/>
    <w:rsid w:val="00C4247D"/>
    <w:rsid w:val="00C43E54"/>
    <w:rsid w:val="00C6590A"/>
    <w:rsid w:val="00C80CA4"/>
    <w:rsid w:val="00CB00B3"/>
    <w:rsid w:val="00CD2E65"/>
    <w:rsid w:val="00CD3E20"/>
    <w:rsid w:val="00CF32C2"/>
    <w:rsid w:val="00CF75B4"/>
    <w:rsid w:val="00D54D55"/>
    <w:rsid w:val="00DB09FC"/>
    <w:rsid w:val="00DD13CD"/>
    <w:rsid w:val="00DD16E8"/>
    <w:rsid w:val="00DD674E"/>
    <w:rsid w:val="00DE482D"/>
    <w:rsid w:val="00E271E3"/>
    <w:rsid w:val="00E80683"/>
    <w:rsid w:val="00EE35EF"/>
    <w:rsid w:val="00F13B90"/>
    <w:rsid w:val="00F42899"/>
    <w:rsid w:val="00F8763C"/>
    <w:rsid w:val="00FB0612"/>
    <w:rsid w:val="00FD274B"/>
    <w:rsid w:val="00FF2EEA"/>
    <w:rsid w:val="6C00224A"/>
    <w:rsid w:val="74C257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7"/>
    <w:qFormat/>
    <w:uiPriority w:val="9"/>
    <w:pPr>
      <w:keepNext/>
      <w:keepLines/>
      <w:spacing w:before="340" w:after="330" w:line="578" w:lineRule="auto"/>
      <w:jc w:val="center"/>
      <w:outlineLvl w:val="0"/>
    </w:pPr>
    <w:rPr>
      <w:rFonts w:eastAsia="方正小标宋_GBK"/>
      <w:bCs/>
      <w:kern w:val="44"/>
      <w:sz w:val="44"/>
      <w:szCs w:val="44"/>
    </w:rPr>
  </w:style>
  <w:style w:type="paragraph" w:styleId="3">
    <w:name w:val="heading 2"/>
    <w:basedOn w:val="1"/>
    <w:next w:val="1"/>
    <w:link w:val="21"/>
    <w:unhideWhenUsed/>
    <w:qFormat/>
    <w:uiPriority w:val="9"/>
    <w:pPr>
      <w:keepNext/>
      <w:keepLines/>
      <w:spacing w:before="260" w:after="260" w:line="416" w:lineRule="auto"/>
      <w:jc w:val="center"/>
      <w:outlineLvl w:val="1"/>
    </w:pPr>
    <w:rPr>
      <w:rFonts w:eastAsia="方正小标宋_GBK" w:asciiTheme="majorHAnsi" w:hAnsiTheme="majorHAnsi" w:cstheme="majorBidi"/>
      <w:bCs/>
      <w:sz w:val="36"/>
      <w:szCs w:val="32"/>
    </w:rPr>
  </w:style>
  <w:style w:type="paragraph" w:styleId="4">
    <w:name w:val="heading 3"/>
    <w:basedOn w:val="1"/>
    <w:next w:val="1"/>
    <w:link w:val="22"/>
    <w:unhideWhenUsed/>
    <w:qFormat/>
    <w:uiPriority w:val="9"/>
    <w:pPr>
      <w:keepNext/>
      <w:keepLines/>
      <w:spacing w:before="260" w:after="260" w:line="416" w:lineRule="auto"/>
      <w:outlineLvl w:val="2"/>
    </w:pPr>
    <w:rPr>
      <w:rFonts w:eastAsia="方正黑体_GBK"/>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6"/>
    <w:semiHidden/>
    <w:unhideWhenUsed/>
    <w:qFormat/>
    <w:uiPriority w:val="99"/>
    <w:rPr>
      <w:sz w:val="18"/>
      <w:szCs w:val="18"/>
    </w:rPr>
  </w:style>
  <w:style w:type="paragraph" w:styleId="6">
    <w:name w:val="footer"/>
    <w:basedOn w:val="1"/>
    <w:link w:val="19"/>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13948"/>
      </w:tabs>
    </w:pPr>
    <w:rPr>
      <w:rFonts w:ascii="方正楷体_GBK" w:eastAsia="方正楷体_GBK"/>
      <w:b/>
      <w:sz w:val="28"/>
      <w:szCs w:val="28"/>
    </w:rPr>
  </w:style>
  <w:style w:type="paragraph" w:styleId="9">
    <w:name w:val="toc 2"/>
    <w:basedOn w:val="1"/>
    <w:next w:val="1"/>
    <w:unhideWhenUsed/>
    <w:qFormat/>
    <w:uiPriority w:val="39"/>
    <w:pPr>
      <w:tabs>
        <w:tab w:val="right" w:leader="dot" w:pos="13948"/>
      </w:tabs>
      <w:ind w:left="420" w:leftChars="200"/>
    </w:pPr>
    <w:rPr>
      <w:rFonts w:ascii="方正仿宋_GBK" w:eastAsia="方正仿宋_GBK"/>
      <w:sz w:val="28"/>
      <w:szCs w:val="28"/>
    </w:rPr>
  </w:style>
  <w:style w:type="paragraph" w:styleId="10">
    <w:name w:val="Title"/>
    <w:basedOn w:val="1"/>
    <w:next w:val="1"/>
    <w:link w:val="20"/>
    <w:qFormat/>
    <w:uiPriority w:val="10"/>
    <w:pPr>
      <w:spacing w:before="240" w:after="60"/>
      <w:jc w:val="center"/>
      <w:outlineLvl w:val="0"/>
    </w:pPr>
    <w:rPr>
      <w:rFonts w:asciiTheme="majorHAnsi" w:hAnsiTheme="majorHAnsi" w:cstheme="majorBidi"/>
      <w:b/>
      <w:bCs/>
      <w:sz w:val="32"/>
      <w:szCs w:val="32"/>
    </w:rPr>
  </w:style>
  <w:style w:type="table" w:styleId="12">
    <w:name w:val="Table Grid"/>
    <w:basedOn w:val="1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Hyperlink"/>
    <w:basedOn w:val="13"/>
    <w:unhideWhenUsed/>
    <w:uiPriority w:val="99"/>
    <w:rPr>
      <w:color w:val="0000FF" w:themeColor="hyperlink"/>
      <w:u w:val="single"/>
    </w:rPr>
  </w:style>
  <w:style w:type="paragraph" w:styleId="15">
    <w:name w:val="List Paragraph"/>
    <w:basedOn w:val="1"/>
    <w:qFormat/>
    <w:uiPriority w:val="34"/>
    <w:pPr>
      <w:ind w:firstLine="420" w:firstLineChars="200"/>
    </w:pPr>
  </w:style>
  <w:style w:type="character" w:customStyle="1" w:styleId="16">
    <w:name w:val="批注框文本 Char"/>
    <w:basedOn w:val="13"/>
    <w:link w:val="5"/>
    <w:semiHidden/>
    <w:qFormat/>
    <w:uiPriority w:val="99"/>
    <w:rPr>
      <w:rFonts w:ascii="Times New Roman" w:hAnsi="Times New Roman" w:eastAsia="宋体" w:cs="Times New Roman"/>
      <w:sz w:val="18"/>
      <w:szCs w:val="18"/>
    </w:rPr>
  </w:style>
  <w:style w:type="character" w:customStyle="1" w:styleId="17">
    <w:name w:val="标题 1 Char"/>
    <w:basedOn w:val="13"/>
    <w:link w:val="2"/>
    <w:qFormat/>
    <w:uiPriority w:val="9"/>
    <w:rPr>
      <w:rFonts w:ascii="Times New Roman" w:hAnsi="Times New Roman" w:eastAsia="方正小标宋_GBK" w:cs="Times New Roman"/>
      <w:bCs/>
      <w:kern w:val="44"/>
      <w:sz w:val="44"/>
      <w:szCs w:val="44"/>
    </w:rPr>
  </w:style>
  <w:style w:type="character" w:customStyle="1" w:styleId="18">
    <w:name w:val="页眉 Char"/>
    <w:basedOn w:val="13"/>
    <w:link w:val="7"/>
    <w:qFormat/>
    <w:uiPriority w:val="99"/>
    <w:rPr>
      <w:rFonts w:ascii="Times New Roman" w:hAnsi="Times New Roman" w:eastAsia="宋体" w:cs="Times New Roman"/>
      <w:sz w:val="18"/>
      <w:szCs w:val="18"/>
    </w:rPr>
  </w:style>
  <w:style w:type="character" w:customStyle="1" w:styleId="19">
    <w:name w:val="页脚 Char"/>
    <w:basedOn w:val="13"/>
    <w:link w:val="6"/>
    <w:qFormat/>
    <w:uiPriority w:val="99"/>
    <w:rPr>
      <w:rFonts w:ascii="Times New Roman" w:hAnsi="Times New Roman" w:eastAsia="宋体" w:cs="Times New Roman"/>
      <w:sz w:val="18"/>
      <w:szCs w:val="18"/>
    </w:rPr>
  </w:style>
  <w:style w:type="character" w:customStyle="1" w:styleId="20">
    <w:name w:val="标题 Char"/>
    <w:basedOn w:val="13"/>
    <w:link w:val="10"/>
    <w:qFormat/>
    <w:uiPriority w:val="10"/>
    <w:rPr>
      <w:rFonts w:eastAsia="宋体" w:asciiTheme="majorHAnsi" w:hAnsiTheme="majorHAnsi" w:cstheme="majorBidi"/>
      <w:b/>
      <w:bCs/>
      <w:sz w:val="32"/>
      <w:szCs w:val="32"/>
    </w:rPr>
  </w:style>
  <w:style w:type="character" w:customStyle="1" w:styleId="21">
    <w:name w:val="标题 2 Char"/>
    <w:basedOn w:val="13"/>
    <w:link w:val="3"/>
    <w:qFormat/>
    <w:uiPriority w:val="9"/>
    <w:rPr>
      <w:rFonts w:eastAsia="方正小标宋_GBK" w:asciiTheme="majorHAnsi" w:hAnsiTheme="majorHAnsi" w:cstheme="majorBidi"/>
      <w:bCs/>
      <w:sz w:val="36"/>
      <w:szCs w:val="32"/>
    </w:rPr>
  </w:style>
  <w:style w:type="character" w:customStyle="1" w:styleId="22">
    <w:name w:val="标题 3 Char"/>
    <w:basedOn w:val="13"/>
    <w:link w:val="4"/>
    <w:qFormat/>
    <w:uiPriority w:val="9"/>
    <w:rPr>
      <w:rFonts w:ascii="Times New Roman" w:hAnsi="Times New Roman" w:eastAsia="方正黑体_GBK" w:cs="Times New Roman"/>
      <w:bCs/>
      <w:sz w:val="32"/>
      <w:szCs w:val="32"/>
    </w:rPr>
  </w:style>
  <w:style w:type="paragraph" w:styleId="23">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4">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b/>
      <w:color w:val="366091" w:themeColor="accent1" w:themeShade="BF"/>
      <w:kern w:val="0"/>
      <w:sz w:val="28"/>
      <w:szCs w:val="28"/>
    </w:rPr>
  </w:style>
  <w:style w:type="paragraph" w:customStyle="1" w:styleId="25">
    <w:name w:val="p0"/>
    <w:basedOn w:val="1"/>
    <w:qFormat/>
    <w:uiPriority w:val="0"/>
    <w:pPr>
      <w:widowControl/>
    </w:pPr>
    <w:rPr>
      <w:rFonts w:ascii="Calibri" w:hAnsi="Calibri" w:cs="宋体"/>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F6895-EE2F-490E-A498-EA0790C7567F}">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1388</Words>
  <Characters>7914</Characters>
  <Lines>65</Lines>
  <Paragraphs>18</Paragraphs>
  <TotalTime>2</TotalTime>
  <ScaleCrop>false</ScaleCrop>
  <LinksUpToDate>false</LinksUpToDate>
  <CharactersWithSpaces>9284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2021-05-22T03:11:00Z</dcterms:created>
  <dc:creator>user</dc:creator>
  <cp:lastModifiedBy>Administrator</cp:lastModifiedBy>
  <dcterms:modified xsi:type="dcterms:W3CDTF">2024-06-20T15:02:50Z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95F860140F9E401E917F9764E4BC3E0F</vt:lpwstr>
  </property>
</Properties>
</file>