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4996" w:firstLineChars="1131"/>
        <w:rPr>
          <w:rFonts w:ascii="宋体" w:cs="宋体"/>
          <w:b/>
          <w:bCs/>
          <w:sz w:val="44"/>
          <w:szCs w:val="44"/>
        </w:rPr>
      </w:pPr>
      <w:bookmarkStart w:id="2" w:name="_GoBack"/>
      <w:bookmarkEnd w:id="2"/>
      <w:r>
        <w:rPr>
          <w:rFonts w:hint="eastAsia" w:ascii="宋体" w:hAnsi="宋体" w:cs="宋体"/>
          <w:b/>
          <w:bCs/>
          <w:sz w:val="44"/>
          <w:szCs w:val="44"/>
        </w:rPr>
        <w:t>无极县商务局</w:t>
      </w:r>
    </w:p>
    <w:p>
      <w:pPr>
        <w:jc w:val="center"/>
        <w:rPr>
          <w:rFonts w:ascii="宋体" w:cs="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、《地方预决算公开操作规程》和《河北省省级预算公开办法》规定，现将无极县商务局</w:t>
      </w:r>
      <w:r>
        <w:rPr>
          <w:rFonts w:ascii="仿宋_GB2312" w:hAnsi="仿宋" w:eastAsia="仿宋_GB2312" w:cs="仿宋"/>
          <w:sz w:val="32"/>
          <w:szCs w:val="32"/>
        </w:rPr>
        <w:t>201</w:t>
      </w:r>
      <w:r>
        <w:rPr>
          <w:rFonts w:hint="eastAsia" w:ascii="仿宋_GB2312" w:hAnsi="仿宋" w:eastAsia="仿宋_GB2312" w:cs="仿宋"/>
          <w:sz w:val="32"/>
          <w:szCs w:val="32"/>
        </w:rPr>
        <w:t>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800" w:firstLineChars="250"/>
        <w:rPr>
          <w:rFonts w:ascii="仿宋_GB2312" w:hAnsi="仿宋" w:eastAsia="仿宋_GB2312" w:cs="仿宋"/>
          <w:sz w:val="32"/>
          <w:szCs w:val="32"/>
        </w:rPr>
      </w:pPr>
      <w:r>
        <w:rPr>
          <w:rFonts w:hint="eastAsia" w:ascii="仿宋_GB2312" w:hAnsi="仿宋" w:eastAsia="仿宋_GB2312" w:cs="仿宋"/>
          <w:sz w:val="32"/>
          <w:szCs w:val="32"/>
        </w:rPr>
        <w:t>主要负责外贸、内贸、外经、外资;双打（打击侵权假冒，打击假冒伪劣）；市场整顿规范等。</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r>
        <w:rPr>
          <w:rFonts w:ascii="楷体" w:hAnsi="楷体" w:eastAsia="楷体" w:cs="仿宋_GB2312"/>
          <w:sz w:val="32"/>
          <w:szCs w:val="32"/>
        </w:rPr>
        <w:t xml:space="preserve">        </w:t>
      </w: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4"/>
        <w:tblW w:w="11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28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rPr>
                <w:rFonts w:ascii="仿宋_GB2312" w:eastAsia="仿宋_GB2312"/>
                <w:sz w:val="32"/>
                <w:szCs w:val="32"/>
              </w:rPr>
            </w:pPr>
            <w:r>
              <w:rPr>
                <w:rFonts w:hint="eastAsia" w:ascii="仿宋_GB2312" w:hAnsi="仿宋" w:eastAsia="仿宋_GB2312" w:cs="仿宋"/>
                <w:b/>
                <w:sz w:val="32"/>
                <w:szCs w:val="32"/>
              </w:rPr>
              <w:tab/>
            </w:r>
            <w:r>
              <w:rPr>
                <w:rFonts w:hint="eastAsia" w:ascii="仿宋_GB2312" w:hAnsi="仿宋" w:eastAsia="仿宋_GB2312" w:cs="仿宋"/>
                <w:b/>
                <w:sz w:val="32"/>
                <w:szCs w:val="32"/>
              </w:rPr>
              <w:tab/>
            </w:r>
            <w:r>
              <w:rPr>
                <w:rFonts w:hint="eastAsia" w:ascii="仿宋_GB2312" w:hAnsi="仿宋" w:eastAsia="仿宋_GB2312" w:cs="仿宋"/>
                <w:b/>
                <w:sz w:val="32"/>
                <w:szCs w:val="32"/>
              </w:rPr>
              <w:t>单位名称</w:t>
            </w:r>
          </w:p>
        </w:tc>
        <w:tc>
          <w:tcPr>
            <w:tcW w:w="2220" w:type="dxa"/>
            <w:vAlign w:val="center"/>
          </w:tcPr>
          <w:p>
            <w:pPr>
              <w:spacing w:line="300" w:lineRule="exact"/>
              <w:jc w:val="center"/>
              <w:rPr>
                <w:rFonts w:ascii="仿宋_GB2312" w:hAnsi="仿宋" w:eastAsia="仿宋_GB2312" w:cs="仿宋"/>
                <w:b/>
                <w:sz w:val="32"/>
                <w:szCs w:val="32"/>
              </w:rPr>
            </w:pPr>
            <w:r>
              <w:rPr>
                <w:rFonts w:hint="eastAsia" w:ascii="仿宋_GB2312" w:hAnsi="仿宋" w:eastAsia="仿宋_GB2312" w:cs="仿宋"/>
                <w:b/>
                <w:sz w:val="32"/>
                <w:szCs w:val="32"/>
              </w:rPr>
              <w:t>单位性质</w:t>
            </w:r>
          </w:p>
        </w:tc>
        <w:tc>
          <w:tcPr>
            <w:tcW w:w="1965" w:type="dxa"/>
            <w:vAlign w:val="center"/>
          </w:tcPr>
          <w:p>
            <w:pPr>
              <w:spacing w:line="300" w:lineRule="exact"/>
              <w:jc w:val="center"/>
              <w:rPr>
                <w:rFonts w:ascii="仿宋_GB2312" w:hAnsi="仿宋" w:eastAsia="仿宋_GB2312" w:cs="仿宋"/>
                <w:b/>
                <w:sz w:val="32"/>
                <w:szCs w:val="32"/>
              </w:rPr>
            </w:pPr>
            <w:r>
              <w:rPr>
                <w:rFonts w:hint="eastAsia" w:ascii="仿宋_GB2312" w:hAnsi="仿宋" w:eastAsia="仿宋_GB2312" w:cs="仿宋"/>
                <w:b/>
                <w:sz w:val="32"/>
                <w:szCs w:val="32"/>
              </w:rPr>
              <w:t>单位规格</w:t>
            </w:r>
          </w:p>
        </w:tc>
        <w:tc>
          <w:tcPr>
            <w:tcW w:w="2834" w:type="dxa"/>
            <w:vAlign w:val="center"/>
          </w:tcPr>
          <w:p>
            <w:pPr>
              <w:spacing w:line="300" w:lineRule="exact"/>
              <w:jc w:val="center"/>
              <w:rPr>
                <w:rFonts w:ascii="仿宋_GB2312" w:hAnsi="仿宋" w:eastAsia="仿宋_GB2312" w:cs="仿宋"/>
                <w:b/>
                <w:sz w:val="32"/>
                <w:szCs w:val="32"/>
              </w:rPr>
            </w:pPr>
            <w:r>
              <w:rPr>
                <w:rFonts w:hint="eastAsia" w:ascii="仿宋_GB2312" w:hAnsi="仿宋" w:eastAsia="仿宋_GB2312" w:cs="仿宋"/>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4068" w:type="dxa"/>
            <w:vAlign w:val="center"/>
          </w:tcPr>
          <w:p>
            <w:pPr>
              <w:spacing w:line="300" w:lineRule="exact"/>
              <w:jc w:val="left"/>
              <w:rPr>
                <w:rFonts w:ascii="仿宋_GB2312" w:eastAsia="仿宋_GB2312"/>
                <w:sz w:val="32"/>
                <w:szCs w:val="32"/>
              </w:rPr>
            </w:pPr>
            <w:r>
              <w:rPr>
                <w:rFonts w:hint="eastAsia" w:ascii="仿宋_GB2312" w:hAnsi="仿宋" w:eastAsia="仿宋_GB2312" w:cs="仿宋"/>
                <w:sz w:val="32"/>
                <w:szCs w:val="32"/>
              </w:rPr>
              <w:t>无极县商务局</w:t>
            </w:r>
          </w:p>
        </w:tc>
        <w:tc>
          <w:tcPr>
            <w:tcW w:w="2220" w:type="dxa"/>
            <w:vAlign w:val="center"/>
          </w:tcPr>
          <w:p>
            <w:pPr>
              <w:spacing w:line="300" w:lineRule="exact"/>
              <w:jc w:val="center"/>
              <w:rPr>
                <w:rFonts w:ascii="仿宋_GB2312" w:hAnsi="仿宋" w:eastAsia="仿宋_GB2312" w:cs="仿宋"/>
                <w:sz w:val="32"/>
                <w:szCs w:val="32"/>
              </w:rPr>
            </w:pPr>
            <w:r>
              <w:rPr>
                <w:rFonts w:hint="eastAsia" w:ascii="仿宋_GB2312" w:hAnsi="仿宋" w:eastAsia="仿宋_GB2312" w:cs="仿宋"/>
                <w:sz w:val="32"/>
                <w:szCs w:val="32"/>
              </w:rPr>
              <w:t>行政</w:t>
            </w:r>
          </w:p>
        </w:tc>
        <w:tc>
          <w:tcPr>
            <w:tcW w:w="1965" w:type="dxa"/>
            <w:vAlign w:val="center"/>
          </w:tcPr>
          <w:p>
            <w:pPr>
              <w:spacing w:line="300" w:lineRule="exact"/>
              <w:jc w:val="center"/>
              <w:rPr>
                <w:rFonts w:ascii="仿宋_GB2312" w:hAnsi="仿宋" w:eastAsia="仿宋_GB2312" w:cs="仿宋"/>
                <w:sz w:val="32"/>
                <w:szCs w:val="32"/>
              </w:rPr>
            </w:pPr>
            <w:r>
              <w:rPr>
                <w:rFonts w:hint="eastAsia" w:ascii="仿宋_GB2312" w:hAnsi="仿宋" w:eastAsia="仿宋_GB2312" w:cs="仿宋"/>
                <w:sz w:val="32"/>
                <w:szCs w:val="32"/>
              </w:rPr>
              <w:t>正科级</w:t>
            </w:r>
          </w:p>
        </w:tc>
        <w:tc>
          <w:tcPr>
            <w:tcW w:w="2834" w:type="dxa"/>
            <w:vAlign w:val="center"/>
          </w:tcPr>
          <w:p>
            <w:pPr>
              <w:spacing w:line="300" w:lineRule="exact"/>
              <w:jc w:val="left"/>
              <w:rPr>
                <w:rFonts w:ascii="仿宋_GB2312" w:hAnsi="仿宋" w:eastAsia="仿宋_GB2312" w:cs="仿宋"/>
                <w:sz w:val="32"/>
                <w:szCs w:val="32"/>
              </w:rPr>
            </w:pPr>
            <w:r>
              <w:rPr>
                <w:rFonts w:hint="eastAsia" w:ascii="仿宋_GB2312" w:hAnsi="仿宋" w:eastAsia="仿宋_GB2312" w:cs="仿宋"/>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jc w:val="center"/>
        </w:trPr>
        <w:tc>
          <w:tcPr>
            <w:tcW w:w="4068" w:type="dxa"/>
            <w:vAlign w:val="center"/>
          </w:tcPr>
          <w:p>
            <w:pPr>
              <w:spacing w:line="300" w:lineRule="exact"/>
              <w:jc w:val="left"/>
              <w:rPr>
                <w:rFonts w:ascii="仿宋_GB2312" w:eastAsia="仿宋_GB2312"/>
                <w:sz w:val="32"/>
                <w:szCs w:val="32"/>
              </w:rPr>
            </w:pPr>
            <w:r>
              <w:rPr>
                <w:rFonts w:hint="eastAsia" w:ascii="仿宋_GB2312" w:hAnsi="仿宋" w:eastAsia="仿宋_GB2312" w:cs="仿宋"/>
                <w:sz w:val="32"/>
                <w:szCs w:val="32"/>
              </w:rPr>
              <w:t>无极县成品油服务中心</w:t>
            </w:r>
          </w:p>
        </w:tc>
        <w:tc>
          <w:tcPr>
            <w:tcW w:w="2220" w:type="dxa"/>
            <w:vAlign w:val="center"/>
          </w:tcPr>
          <w:p>
            <w:pPr>
              <w:spacing w:line="300" w:lineRule="exact"/>
              <w:jc w:val="center"/>
              <w:rPr>
                <w:rFonts w:ascii="仿宋_GB2312" w:hAnsi="仿宋" w:eastAsia="仿宋_GB2312" w:cs="仿宋"/>
                <w:sz w:val="32"/>
                <w:szCs w:val="32"/>
              </w:rPr>
            </w:pPr>
            <w:r>
              <w:rPr>
                <w:rFonts w:hint="eastAsia" w:ascii="仿宋_GB2312" w:hAnsi="仿宋" w:eastAsia="仿宋_GB2312" w:cs="仿宋"/>
                <w:sz w:val="32"/>
                <w:szCs w:val="32"/>
              </w:rPr>
              <w:t>事业</w:t>
            </w:r>
          </w:p>
        </w:tc>
        <w:tc>
          <w:tcPr>
            <w:tcW w:w="1965" w:type="dxa"/>
            <w:vAlign w:val="center"/>
          </w:tcPr>
          <w:p>
            <w:pPr>
              <w:spacing w:line="300" w:lineRule="exact"/>
              <w:jc w:val="center"/>
              <w:rPr>
                <w:rFonts w:ascii="仿宋_GB2312" w:hAnsi="仿宋" w:eastAsia="仿宋_GB2312" w:cs="仿宋"/>
                <w:sz w:val="32"/>
                <w:szCs w:val="32"/>
              </w:rPr>
            </w:pPr>
            <w:r>
              <w:rPr>
                <w:rFonts w:hint="eastAsia" w:ascii="仿宋_GB2312" w:hAnsi="仿宋" w:eastAsia="仿宋_GB2312" w:cs="仿宋"/>
                <w:sz w:val="32"/>
                <w:szCs w:val="32"/>
              </w:rPr>
              <w:t>股级</w:t>
            </w:r>
          </w:p>
        </w:tc>
        <w:tc>
          <w:tcPr>
            <w:tcW w:w="2834" w:type="dxa"/>
            <w:vAlign w:val="center"/>
          </w:tcPr>
          <w:p>
            <w:pPr>
              <w:spacing w:line="300" w:lineRule="exact"/>
              <w:jc w:val="left"/>
              <w:rPr>
                <w:rFonts w:ascii="仿宋_GB2312" w:hAnsi="仿宋" w:eastAsia="仿宋_GB2312" w:cs="仿宋"/>
                <w:sz w:val="32"/>
                <w:szCs w:val="32"/>
              </w:rPr>
            </w:pPr>
            <w:r>
              <w:rPr>
                <w:rFonts w:hint="eastAsia" w:ascii="方正书宋_GBK" w:eastAsia="方正书宋_GBK"/>
              </w:rPr>
              <w:t>财政性资金基本保证</w:t>
            </w:r>
          </w:p>
        </w:tc>
      </w:tr>
    </w:tbl>
    <w:p>
      <w:pPr>
        <w:rPr>
          <w:rFonts w:ascii="黑体" w:hAnsi="黑体" w:eastAsia="黑体" w:cs="仿宋_GB2312"/>
          <w:bCs/>
          <w:sz w:val="30"/>
          <w:szCs w:val="30"/>
        </w:rPr>
      </w:pPr>
      <w:r>
        <w:rPr>
          <w:rFonts w:ascii="仿宋_GB2312" w:hAnsi="仿宋_GB2312" w:eastAsia="仿宋_GB2312" w:cs="仿宋_GB2312"/>
          <w:b/>
          <w:bCs/>
          <w:sz w:val="30"/>
          <w:szCs w:val="30"/>
        </w:rPr>
        <w:t xml:space="preserve">  </w:t>
      </w:r>
      <w:r>
        <w:rPr>
          <w:rFonts w:hint="eastAsia" w:ascii="仿宋_GB2312" w:hAnsi="仿宋_GB2312" w:eastAsia="仿宋_GB2312" w:cs="仿宋_GB2312"/>
          <w:b/>
          <w:bCs/>
          <w:sz w:val="30"/>
          <w:szCs w:val="30"/>
        </w:rPr>
        <w:t xml:space="preserve">   </w:t>
      </w:r>
      <w:r>
        <w:rPr>
          <w:rFonts w:hint="eastAsia" w:ascii="黑体" w:hAnsi="黑体" w:eastAsia="黑体" w:cs="仿宋_GB2312"/>
          <w:bCs/>
          <w:sz w:val="30"/>
          <w:szCs w:val="30"/>
        </w:rPr>
        <w:t xml:space="preserve"> 二、部门预算安排的总体情况</w:t>
      </w:r>
    </w:p>
    <w:p>
      <w:pPr>
        <w:ind w:left="160" w:leftChars="76" w:firstLine="640" w:firstLineChars="200"/>
        <w:rPr>
          <w:rFonts w:ascii="仿宋_GB2312" w:hAnsi="仿宋_GB2312" w:eastAsia="仿宋_GB2312" w:cs="仿宋_GB2312"/>
          <w:sz w:val="32"/>
          <w:szCs w:val="32"/>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1"/>
        </w:numPr>
        <w:adjustRightInd w:val="0"/>
        <w:snapToGrid w:val="0"/>
        <w:spacing w:line="600" w:lineRule="exact"/>
        <w:jc w:val="left"/>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8年预算收入反映本部门当年全部收入，</w:t>
      </w: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8年预算收入</w:t>
      </w:r>
      <w:r>
        <w:rPr>
          <w:rFonts w:hint="eastAsia" w:ascii="仿宋_GB2312" w:eastAsia="仿宋_GB2312" w:cs="仿宋_GB2312"/>
          <w:bCs/>
          <w:sz w:val="32"/>
          <w:szCs w:val="32"/>
        </w:rPr>
        <w:t>849.65</w:t>
      </w:r>
      <w:r>
        <w:rPr>
          <w:rFonts w:hint="eastAsia" w:ascii="仿宋_GB2312" w:hAnsi="仿宋_GB2312" w:eastAsia="仿宋_GB2312" w:cs="仿宋_GB2312"/>
          <w:sz w:val="32"/>
          <w:szCs w:val="32"/>
        </w:rPr>
        <w:t>万元，其中一般公共预算收入</w:t>
      </w:r>
      <w:r>
        <w:rPr>
          <w:rFonts w:hint="eastAsia" w:ascii="仿宋_GB2312" w:eastAsia="仿宋_GB2312" w:cs="仿宋_GB2312"/>
          <w:bCs/>
          <w:sz w:val="32"/>
          <w:szCs w:val="32"/>
        </w:rPr>
        <w:t>849.65</w:t>
      </w:r>
      <w:r>
        <w:rPr>
          <w:rFonts w:hint="eastAsia" w:ascii="仿宋_GB2312" w:hAnsi="仿宋_GB2312" w:eastAsia="仿宋_GB2312" w:cs="仿宋_GB2312"/>
          <w:sz w:val="32"/>
          <w:szCs w:val="32"/>
        </w:rPr>
        <w:t>万元，</w:t>
      </w:r>
      <w:r>
        <w:rPr>
          <w:rFonts w:hint="eastAsia" w:ascii="仿宋_GB2312" w:eastAsia="仿宋_GB2312" w:cs="仿宋_GB2312"/>
          <w:bCs/>
          <w:sz w:val="32"/>
          <w:szCs w:val="32"/>
        </w:rPr>
        <w:t>政府性基金收入</w:t>
      </w:r>
      <w:r>
        <w:rPr>
          <w:rFonts w:ascii="仿宋_GB2312" w:eastAsia="仿宋_GB2312" w:cs="仿宋_GB2312"/>
          <w:bCs/>
          <w:sz w:val="32"/>
          <w:szCs w:val="32"/>
        </w:rPr>
        <w:t>0</w:t>
      </w:r>
      <w:r>
        <w:rPr>
          <w:rFonts w:hint="eastAsia" w:ascii="仿宋_GB2312" w:eastAsia="仿宋_GB2312" w:cs="仿宋_GB2312"/>
          <w:bCs/>
          <w:sz w:val="32"/>
          <w:szCs w:val="32"/>
        </w:rPr>
        <w:t>万元、财政专户核拨收入</w:t>
      </w:r>
      <w:r>
        <w:rPr>
          <w:rFonts w:ascii="仿宋_GB2312" w:eastAsia="仿宋_GB2312" w:cs="仿宋_GB2312"/>
          <w:bCs/>
          <w:sz w:val="32"/>
          <w:szCs w:val="32"/>
        </w:rPr>
        <w:t>0</w:t>
      </w:r>
      <w:r>
        <w:rPr>
          <w:rFonts w:hint="eastAsia" w:ascii="仿宋_GB2312" w:eastAsia="仿宋_GB2312" w:cs="仿宋_GB2312"/>
          <w:bCs/>
          <w:sz w:val="32"/>
          <w:szCs w:val="32"/>
        </w:rPr>
        <w:t>万元。</w:t>
      </w:r>
    </w:p>
    <w:p>
      <w:pPr>
        <w:adjustRightInd w:val="0"/>
        <w:snapToGrid w:val="0"/>
        <w:spacing w:line="600" w:lineRule="exact"/>
        <w:ind w:left="600"/>
        <w:jc w:val="left"/>
        <w:rPr>
          <w:rFonts w:ascii="仿宋_GB2312" w:eastAsia="仿宋_GB2312" w:cs="仿宋_GB2312"/>
          <w:bCs/>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w:t>
      </w:r>
      <w:r>
        <w:rPr>
          <w:rFonts w:ascii="仿宋_GB2312" w:eastAsia="仿宋_GB2312" w:cs="仿宋_GB2312"/>
          <w:bCs/>
          <w:sz w:val="32"/>
          <w:szCs w:val="32"/>
        </w:rPr>
        <w:t>01</w:t>
      </w:r>
      <w:r>
        <w:rPr>
          <w:rFonts w:hint="eastAsia" w:ascii="仿宋_GB2312" w:eastAsia="仿宋_GB2312" w:cs="仿宋_GB2312"/>
          <w:bCs/>
          <w:sz w:val="32"/>
          <w:szCs w:val="32"/>
        </w:rPr>
        <w:t>8年预算支出849.65万元。其中，人员经费支出363.05万元，正常公用经费34万元，项目支出452.6万元。</w:t>
      </w:r>
    </w:p>
    <w:p>
      <w:pPr>
        <w:pStyle w:val="9"/>
        <w:ind w:firstLine="640" w:firstLineChars="200"/>
        <w:rPr>
          <w:rFonts w:ascii="仿宋_GB2312" w:hAnsi="Times New Roman" w:eastAsia="仿宋_GB2312" w:cs="Times New Roman"/>
          <w:sz w:val="32"/>
          <w:szCs w:val="32"/>
        </w:rPr>
      </w:pPr>
      <w:r>
        <w:rPr>
          <w:rFonts w:hint="eastAsia" w:ascii="楷体" w:hAnsi="楷体" w:eastAsia="楷体"/>
          <w:sz w:val="32"/>
          <w:szCs w:val="32"/>
        </w:rPr>
        <w:t>（三）比上年增减情况</w:t>
      </w:r>
      <w:r>
        <w:rPr>
          <w:rFonts w:hint="eastAsia" w:ascii="仿宋_GB2312" w:hAnsi="Times New Roman" w:eastAsia="仿宋_GB2312" w:cs="Times New Roman"/>
          <w:sz w:val="32"/>
          <w:szCs w:val="32"/>
        </w:rPr>
        <w:t>：</w:t>
      </w:r>
    </w:p>
    <w:p>
      <w:pPr>
        <w:pStyle w:val="9"/>
        <w:spacing w:line="360" w:lineRule="auto"/>
        <w:ind w:firstLine="640" w:firstLineChars="200"/>
        <w:rPr>
          <w:rFonts w:ascii="仿宋_GB2312" w:eastAsia="仿宋_GB2312"/>
          <w:sz w:val="32"/>
          <w:szCs w:val="32"/>
        </w:rPr>
      </w:pPr>
      <w:r>
        <w:rPr>
          <w:rFonts w:ascii="仿宋_GB2312" w:eastAsia="仿宋_GB2312"/>
          <w:sz w:val="32"/>
          <w:szCs w:val="32"/>
        </w:rPr>
        <w:t>201</w:t>
      </w:r>
      <w:r>
        <w:rPr>
          <w:rFonts w:hint="eastAsia" w:ascii="仿宋_GB2312" w:eastAsia="仿宋_GB2312"/>
          <w:sz w:val="32"/>
          <w:szCs w:val="32"/>
        </w:rPr>
        <w:t>8年部门预算较</w:t>
      </w:r>
      <w:r>
        <w:rPr>
          <w:rFonts w:ascii="仿宋_GB2312" w:eastAsia="仿宋_GB2312"/>
          <w:sz w:val="32"/>
          <w:szCs w:val="32"/>
        </w:rPr>
        <w:t>201</w:t>
      </w:r>
      <w:r>
        <w:rPr>
          <w:rFonts w:hint="eastAsia" w:ascii="仿宋_GB2312" w:eastAsia="仿宋_GB2312"/>
          <w:sz w:val="32"/>
          <w:szCs w:val="32"/>
        </w:rPr>
        <w:t>7年增加391.05万元，其中：基本支出增加33.45万元，主要是人员流动和公用经费标准定额调整；项目支出增加357.6万元，主要是由于项目调整增加。</w:t>
      </w:r>
    </w:p>
    <w:p>
      <w:pPr>
        <w:ind w:firstLine="800" w:firstLineChars="25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8年机关运行经费共计安排</w:t>
      </w:r>
      <w:r>
        <w:rPr>
          <w:rFonts w:hint="eastAsia" w:ascii="仿宋_GB2312" w:eastAsia="仿宋_GB2312" w:cs="仿宋_GB2312"/>
          <w:bCs/>
          <w:sz w:val="32"/>
          <w:szCs w:val="32"/>
        </w:rPr>
        <w:t>34</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ind w:firstLine="960" w:firstLineChars="300"/>
        <w:outlineLvl w:val="0"/>
        <w:rPr>
          <w:rFonts w:ascii="仿宋_GB2312" w:hAnsi="仿宋" w:eastAsia="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ascii="仿宋_GB2312" w:hAnsi="仿宋" w:eastAsia="仿宋_GB2312"/>
          <w:sz w:val="32"/>
          <w:szCs w:val="32"/>
        </w:rPr>
        <w:t>20</w:t>
      </w:r>
      <w:r>
        <w:rPr>
          <w:rFonts w:hint="eastAsia" w:ascii="仿宋_GB2312" w:hAnsi="仿宋" w:eastAsia="仿宋_GB2312"/>
          <w:sz w:val="32"/>
          <w:szCs w:val="32"/>
        </w:rPr>
        <w:t>18年本部门安排“三公”经费5万元，2017年三公经费与上年相比减少</w:t>
      </w:r>
      <w:r>
        <w:rPr>
          <w:rFonts w:ascii="仿宋_GB2312" w:hAnsi="仿宋" w:eastAsia="仿宋_GB2312"/>
          <w:sz w:val="32"/>
          <w:szCs w:val="32"/>
        </w:rPr>
        <w:t xml:space="preserve"> 0.</w:t>
      </w:r>
      <w:r>
        <w:rPr>
          <w:rFonts w:hint="eastAsia" w:ascii="仿宋_GB2312" w:hAnsi="仿宋" w:eastAsia="仿宋_GB2312"/>
          <w:sz w:val="32"/>
          <w:szCs w:val="32"/>
        </w:rPr>
        <w:t>6</w:t>
      </w:r>
      <w:r>
        <w:rPr>
          <w:rFonts w:ascii="仿宋_GB2312" w:hAnsi="仿宋" w:eastAsia="仿宋_GB2312"/>
          <w:sz w:val="32"/>
          <w:szCs w:val="32"/>
        </w:rPr>
        <w:t xml:space="preserve">5 </w:t>
      </w:r>
      <w:r>
        <w:rPr>
          <w:rFonts w:hint="eastAsia" w:ascii="仿宋_GB2312" w:hAnsi="仿宋" w:eastAsia="仿宋_GB2312"/>
          <w:sz w:val="32"/>
          <w:szCs w:val="32"/>
        </w:rPr>
        <w:t>万元，主要公务用车运行经费减少。其中：</w:t>
      </w:r>
    </w:p>
    <w:p>
      <w:pPr>
        <w:ind w:firstLine="640" w:firstLineChars="200"/>
        <w:outlineLvl w:val="0"/>
        <w:rPr>
          <w:rFonts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、因公出国（境）费</w:t>
      </w:r>
      <w:r>
        <w:rPr>
          <w:rFonts w:ascii="仿宋_GB2312" w:hAnsi="仿宋" w:eastAsia="仿宋_GB2312"/>
          <w:sz w:val="32"/>
          <w:szCs w:val="32"/>
        </w:rPr>
        <w:t>0</w:t>
      </w:r>
      <w:r>
        <w:rPr>
          <w:rFonts w:hint="eastAsia" w:ascii="仿宋_GB2312" w:hAnsi="仿宋" w:eastAsia="仿宋_GB2312"/>
          <w:sz w:val="32"/>
          <w:szCs w:val="32"/>
        </w:rPr>
        <w:t>万元，与上年持平，无增减变化。</w:t>
      </w:r>
    </w:p>
    <w:p>
      <w:pPr>
        <w:ind w:firstLine="640" w:firstLineChars="200"/>
        <w:outlineLvl w:val="0"/>
        <w:rPr>
          <w:rFonts w:ascii="仿宋_GB2312" w:hAnsi="仿宋" w:eastAsia="仿宋_GB2312"/>
          <w:sz w:val="32"/>
          <w:szCs w:val="32"/>
        </w:rPr>
      </w:pPr>
      <w:r>
        <w:rPr>
          <w:rFonts w:ascii="仿宋_GB2312" w:hAnsi="仿宋" w:eastAsia="仿宋_GB2312"/>
          <w:sz w:val="32"/>
          <w:szCs w:val="32"/>
        </w:rPr>
        <w:t>2</w:t>
      </w:r>
      <w:r>
        <w:rPr>
          <w:rFonts w:hint="eastAsia" w:ascii="仿宋_GB2312" w:hAnsi="仿宋" w:eastAsia="仿宋_GB2312"/>
          <w:sz w:val="32"/>
          <w:szCs w:val="32"/>
        </w:rPr>
        <w:t>、公务用车购置0万元，与上年持平，无增减变化；公务用车运行维护费</w:t>
      </w:r>
      <w:r>
        <w:rPr>
          <w:rFonts w:ascii="仿宋_GB2312" w:hAnsi="仿宋" w:eastAsia="仿宋_GB2312"/>
          <w:sz w:val="32"/>
          <w:szCs w:val="32"/>
        </w:rPr>
        <w:t>5</w:t>
      </w:r>
      <w:r>
        <w:rPr>
          <w:rFonts w:hint="eastAsia" w:ascii="仿宋_GB2312" w:hAnsi="仿宋" w:eastAsia="仿宋_GB2312"/>
          <w:sz w:val="32"/>
          <w:szCs w:val="32"/>
        </w:rPr>
        <w:t>万元年减少0.65万元，主要是压减运行经费。</w:t>
      </w:r>
    </w:p>
    <w:p>
      <w:pPr>
        <w:ind w:firstLine="640" w:firstLineChars="200"/>
        <w:outlineLvl w:val="0"/>
        <w:rPr>
          <w:rFonts w:ascii="仿宋_GB2312" w:hAnsi="仿宋" w:eastAsia="仿宋_GB2312"/>
          <w:sz w:val="32"/>
          <w:szCs w:val="32"/>
        </w:rPr>
      </w:pPr>
      <w:r>
        <w:rPr>
          <w:rFonts w:ascii="仿宋_GB2312" w:hAnsi="仿宋" w:eastAsia="仿宋_GB2312"/>
          <w:sz w:val="32"/>
          <w:szCs w:val="32"/>
        </w:rPr>
        <w:t>3</w:t>
      </w:r>
      <w:r>
        <w:rPr>
          <w:rFonts w:hint="eastAsia" w:ascii="仿宋_GB2312" w:hAnsi="仿宋" w:eastAsia="仿宋_GB2312"/>
          <w:sz w:val="32"/>
          <w:szCs w:val="32"/>
        </w:rPr>
        <w:t>、公务接待费</w:t>
      </w:r>
      <w:r>
        <w:rPr>
          <w:rFonts w:ascii="仿宋_GB2312" w:hAnsi="仿宋" w:eastAsia="仿宋_GB2312"/>
          <w:sz w:val="32"/>
          <w:szCs w:val="32"/>
        </w:rPr>
        <w:t>0</w:t>
      </w:r>
      <w:r>
        <w:rPr>
          <w:rFonts w:hint="eastAsia" w:ascii="仿宋_GB2312" w:hAnsi="仿宋" w:eastAsia="仿宋_GB2312"/>
          <w:sz w:val="32"/>
          <w:szCs w:val="32"/>
        </w:rPr>
        <w:t>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仿宋_GB2312" w:hAnsi="楷体" w:eastAsia="仿宋_GB2312"/>
          <w:sz w:val="32"/>
          <w:szCs w:val="32"/>
        </w:rPr>
      </w:pPr>
      <w:r>
        <w:rPr>
          <w:rFonts w:hint="eastAsia" w:ascii="仿宋_GB2312" w:hAnsi="楷体" w:eastAsia="仿宋_GB2312"/>
          <w:sz w:val="32"/>
          <w:szCs w:val="32"/>
        </w:rPr>
        <w:t xml:space="preserve">（一）总体绩效目标： </w:t>
      </w:r>
    </w:p>
    <w:p>
      <w:pPr>
        <w:ind w:firstLine="960" w:firstLineChars="300"/>
        <w:rPr>
          <w:rFonts w:ascii="仿宋_GB2312" w:hAnsi="楷体" w:eastAsia="仿宋_GB2312"/>
          <w:sz w:val="32"/>
          <w:szCs w:val="32"/>
        </w:rPr>
      </w:pPr>
      <w:r>
        <w:rPr>
          <w:rFonts w:hint="eastAsia" w:ascii="仿宋_GB2312" w:hAnsi="仿宋" w:eastAsia="仿宋_GB2312" w:cs="仿宋"/>
          <w:sz w:val="32"/>
          <w:szCs w:val="32"/>
        </w:rPr>
        <w:t>外贸、内贸、外经、外资;双打（打击侵权假冒，打击假冒伪劣）；市场整顿规范等</w:t>
      </w:r>
    </w:p>
    <w:p>
      <w:pPr>
        <w:ind w:firstLine="560"/>
        <w:rPr>
          <w:rFonts w:ascii="仿宋_GB2312" w:hAnsi="楷体" w:eastAsia="仿宋_GB2312"/>
          <w:sz w:val="32"/>
          <w:szCs w:val="32"/>
        </w:rPr>
      </w:pPr>
      <w:r>
        <w:rPr>
          <w:rFonts w:hint="eastAsia" w:ascii="仿宋_GB2312" w:hAnsi="楷体" w:eastAsia="仿宋_GB2312"/>
          <w:sz w:val="32"/>
          <w:szCs w:val="32"/>
        </w:rPr>
        <w:t>（二）职责分类绩效目</w:t>
      </w:r>
      <w:bookmarkStart w:id="0" w:name="_Toc480377512"/>
      <w:r>
        <w:rPr>
          <w:rFonts w:hint="eastAsia" w:ascii="仿宋_GB2312" w:hAnsi="楷体" w:eastAsia="仿宋_GB2312"/>
          <w:sz w:val="32"/>
          <w:szCs w:val="32"/>
        </w:rPr>
        <w:t>：</w:t>
      </w:r>
    </w:p>
    <w:p>
      <w:pPr>
        <w:ind w:firstLine="560"/>
        <w:rPr>
          <w:rFonts w:ascii="仿宋_GB2312" w:hAnsi="仿宋" w:eastAsia="仿宋_GB2312" w:cs="仿宋"/>
          <w:sz w:val="32"/>
          <w:szCs w:val="32"/>
        </w:rPr>
      </w:pPr>
      <w:r>
        <w:rPr>
          <w:rFonts w:hint="eastAsia" w:ascii="仿宋_GB2312" w:hAnsi="仿宋" w:eastAsia="仿宋_GB2312" w:cs="仿宋"/>
          <w:sz w:val="32"/>
          <w:szCs w:val="32"/>
        </w:rPr>
        <w:t>（1）加强组织领导。</w:t>
      </w:r>
    </w:p>
    <w:p>
      <w:pPr>
        <w:ind w:firstLine="560"/>
        <w:rPr>
          <w:rFonts w:ascii="仿宋_GB2312" w:hAnsi="仿宋" w:eastAsia="仿宋_GB2312" w:cs="仿宋"/>
          <w:sz w:val="32"/>
          <w:szCs w:val="32"/>
        </w:rPr>
      </w:pPr>
      <w:r>
        <w:rPr>
          <w:rFonts w:hint="eastAsia" w:ascii="仿宋_GB2312" w:hAnsi="仿宋" w:eastAsia="仿宋_GB2312" w:cs="仿宋"/>
          <w:sz w:val="32"/>
          <w:szCs w:val="32"/>
        </w:rPr>
        <w:t>（2）使用网格化管理，责任到组，任务到人。</w:t>
      </w:r>
    </w:p>
    <w:p>
      <w:pPr>
        <w:ind w:firstLine="560"/>
        <w:rPr>
          <w:rFonts w:ascii="仿宋_GB2312" w:hAnsi="仿宋" w:eastAsia="仿宋_GB2312" w:cs="仿宋"/>
          <w:sz w:val="32"/>
          <w:szCs w:val="32"/>
        </w:rPr>
      </w:pPr>
      <w:r>
        <w:rPr>
          <w:rFonts w:hint="eastAsia" w:ascii="仿宋_GB2312" w:hAnsi="仿宋" w:eastAsia="仿宋_GB2312" w:cs="仿宋"/>
          <w:sz w:val="32"/>
          <w:szCs w:val="32"/>
        </w:rPr>
        <w:t>（3）充分利用上级政策，支持内外贸企业。</w:t>
      </w:r>
      <w:bookmarkEnd w:id="0"/>
    </w:p>
    <w:p>
      <w:pPr>
        <w:ind w:firstLine="645"/>
        <w:rPr>
          <w:rFonts w:ascii="仿宋_GB2312" w:hAnsi="楷体" w:eastAsia="仿宋_GB2312"/>
          <w:sz w:val="32"/>
          <w:szCs w:val="32"/>
        </w:rPr>
      </w:pPr>
      <w:r>
        <w:rPr>
          <w:rFonts w:hint="eastAsia" w:ascii="仿宋_GB2312" w:hAnsi="楷体" w:eastAsia="仿宋_GB2312"/>
          <w:sz w:val="32"/>
          <w:szCs w:val="32"/>
        </w:rPr>
        <w:t>（三）部门职责-工作活动绩效目标</w:t>
      </w:r>
    </w:p>
    <w:p>
      <w:pPr>
        <w:jc w:val="center"/>
        <w:outlineLvl w:val="0"/>
        <w:rPr>
          <w:rFonts w:ascii="方正小标宋_GBK" w:eastAsia="方正小标宋_GBK"/>
          <w:sz w:val="32"/>
        </w:rPr>
      </w:pPr>
    </w:p>
    <w:p>
      <w:pPr>
        <w:jc w:val="center"/>
        <w:outlineLvl w:val="0"/>
        <w:rPr>
          <w:rFonts w:ascii="方正小标宋_GBK" w:eastAsia="方正小标宋_GBK"/>
          <w:sz w:val="32"/>
        </w:rPr>
      </w:pPr>
      <w:bookmarkStart w:id="1" w:name="_Toc478551508"/>
      <w:r>
        <w:rPr>
          <w:rFonts w:hint="eastAsia" w:ascii="方正小标宋_GBK" w:eastAsia="方正小标宋_GBK"/>
          <w:sz w:val="32"/>
        </w:rPr>
        <w:t>部门职责</w:t>
      </w:r>
      <w:r>
        <w:rPr>
          <w:rFonts w:ascii="方正小标宋_GBK" w:eastAsia="方正小标宋_GBK"/>
          <w:sz w:val="32"/>
        </w:rPr>
        <w:t>-</w:t>
      </w:r>
      <w:r>
        <w:rPr>
          <w:rFonts w:hint="eastAsia" w:ascii="方正小标宋_GBK" w:eastAsia="方正小标宋_GBK"/>
          <w:sz w:val="32"/>
        </w:rPr>
        <w:t>工作活动绩效目标</w:t>
      </w:r>
      <w:bookmarkEnd w:id="1"/>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322</w:t>
            </w:r>
            <w:r>
              <w:rPr>
                <w:rFonts w:hint="eastAsia" w:ascii="方正小标宋_GBK" w:eastAsia="方正小标宋_GBK"/>
                <w:sz w:val="24"/>
              </w:rPr>
              <w:t>商务局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对内商贸管理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拟定全县国内贸易发展规划，推进农村市场体系建设，推动流通标准化和现代流通方式的发展，组织实施重要生产资料流通管理的责任。</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按照县委、县政府关于搞活商贸流通的相关要求，完成任务分解、资金安排等相关工作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开拓国内市场</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组织我县企业参加省市组织的商贸洽谈活动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推进我县商贸企业工贸、农贸和内外贸结合，扩大我县产品的知名度，增加国内市场份额</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参展企业数量</w:t>
            </w:r>
            <w:r>
              <w:rPr>
                <w:rFonts w:ascii="方正书宋_GBK" w:eastAsia="方正书宋_GBK"/>
              </w:rPr>
              <w:t>(</w:t>
            </w:r>
            <w:r>
              <w:rPr>
                <w:rFonts w:hint="eastAsia" w:ascii="方正书宋_GBK" w:eastAsia="方正书宋_GBK"/>
              </w:rPr>
              <w:t>家</w:t>
            </w:r>
            <w:r>
              <w:rPr>
                <w:rFonts w:ascii="方正书宋_GBK" w:eastAsia="方正书宋_GBK"/>
              </w:rPr>
              <w:t>)</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参加国内展会次数（次）</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促进商贸流通</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扶持商贸流通领域，支持大型商贸企业、商贸连锁经营企业或第三方商贸物流企业的标准化配送中心建设及改造、物流信息平台建设；推动开展乡镇集贸市场试点示范建设，引导全县乡镇集贸市场向规范化、标准化、现代化方向发展，促进农村消费。对贫困地区的农村市场和农产品流通基础设施进行帮扶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统筹城乡商贸物流配送中心建设，提高共同配送率。通过试点建设带动试点早餐工程标准化、连锁化发展。用于农村市场和农产品流通基础设施建设，完善农产品流通和农村市场体系。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投资农产品流通和农村市场体系项目数量（个</w:t>
            </w:r>
            <w:r>
              <w:rPr>
                <w:rFonts w:ascii="方正书宋_GBK" w:eastAsia="方正书宋_GBK"/>
              </w:rPr>
              <w:t>)</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投资的农产品市场或农村市场销售额增长率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商贸物流配送中心家数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商贸物流配送中心家数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农村电子商务建设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支持农村电子商务基础设施建设，完善服务体系。</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提高农村电子商务应用，扩大网络消费规模。推动农村电子商务基础设施建设，提高电子商务执业人员素质；建立与我县农村电子商务发展相适应的机制和体系。</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农村电商企业营业额增长率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电子商务交易增长额</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新增农村电商项目数量（个）</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培训农村电子商务人员数量（人）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消费市场调控</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组织实施重要消费品、生产资料市场调控和流通管理</w:t>
            </w:r>
            <w:r>
              <w:rPr>
                <w:rFonts w:ascii="方正书宋_GBK" w:eastAsia="方正书宋_GBK"/>
              </w:rPr>
              <w:t>,</w:t>
            </w:r>
            <w:r>
              <w:rPr>
                <w:rFonts w:hint="eastAsia" w:ascii="方正书宋_GBK" w:eastAsia="方正书宋_GBK"/>
              </w:rPr>
              <w:t>承担</w:t>
            </w:r>
            <w:r>
              <w:rPr>
                <w:rFonts w:hint="eastAsia" w:ascii="方正书宋_GBK" w:eastAsia="方正书宋_GBK"/>
                <w:lang w:eastAsia="zh-CN"/>
              </w:rPr>
              <w:t>生活必需品</w:t>
            </w:r>
            <w:r>
              <w:rPr>
                <w:rFonts w:hint="eastAsia" w:ascii="方正书宋_GBK" w:eastAsia="方正书宋_GBK"/>
              </w:rPr>
              <w:t>、肉菜等储备任务，组织开展消费促进活动，监测市场运行、商品供求状况，进行预测预警。</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确保储备商品质量完好，数量充足，准确监测全县市场运行情况，及时预测预警，指导生产经营。</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监测信息报送率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监测信息报送率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对外贸易管理</w:t>
            </w:r>
          </w:p>
        </w:tc>
        <w:tc>
          <w:tcPr>
            <w:tcW w:w="1276" w:type="dxa"/>
            <w:vAlign w:val="center"/>
          </w:tcPr>
          <w:p>
            <w:pPr>
              <w:spacing w:line="300" w:lineRule="exact"/>
              <w:jc w:val="left"/>
              <w:rPr>
                <w:rFonts w:ascii="方正书宋_GBK" w:eastAsia="方正书宋_GBK"/>
              </w:rPr>
            </w:pPr>
            <w:r>
              <w:rPr>
                <w:rFonts w:ascii="方正书宋_GBK" w:eastAsia="方正书宋_GBK"/>
              </w:rPr>
              <w:t>66.00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实施对外经济合作及外商投资计划，协调大宗进出口商品，依法监督技术引进、设备进口等工作，拟订全县服务贸易发展规划并组织实施。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促进对外贸易稳定增长，优化产品结构。</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招商引资</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66.00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规范全县对外招商引资活动，组织实施投资贸易洽谈会等活动。组织我县企业走出去，开展贸易洽谈、招商合作等活动，促进贸易往来。</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瞄准重点区域、重点客商和商务机构，加强企业对接、园区对接，项目对接，宣传本县投资环境，力争在重点产业引进一批战略支撑项目、龙头企业和协力配套企业。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赴外地开展招商引资地区数量</w:t>
            </w:r>
            <w:r>
              <w:rPr>
                <w:rFonts w:ascii="方正书宋_GBK" w:eastAsia="方正书宋_GBK"/>
              </w:rPr>
              <w:t>(</w:t>
            </w:r>
            <w:r>
              <w:rPr>
                <w:rFonts w:hint="eastAsia" w:ascii="方正书宋_GBK" w:eastAsia="方正书宋_GBK"/>
              </w:rPr>
              <w:t>个）</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招商引资规模增长率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举办活动数量（场）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到会客商人数（人）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高新产品进出口管理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积极开拓国内外两个市场，推动全县高新技术产品对外贸易快速发展，促进全县产业结构调整和增长方式转变。</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组织高新技术企业参加中国国际高新技术成果交易会和国际专业展会。积极开拓国际、国内两个市场，不断优化产品结构和市场结构，稳步推进全县高新技术产业国际化。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参加国内外展会数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参加国内外展会数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促进对外</w:t>
            </w:r>
            <w:r>
              <w:rPr>
                <w:rFonts w:ascii="方正书宋_GBK" w:eastAsia="方正书宋_GBK"/>
                <w:b/>
              </w:rPr>
              <w:t xml:space="preserve">   </w:t>
            </w:r>
            <w:r>
              <w:rPr>
                <w:rFonts w:hint="eastAsia" w:ascii="方正书宋_GBK" w:eastAsia="方正书宋_GBK"/>
                <w:b/>
              </w:rPr>
              <w:t>经贸服务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做好进出口数据采集、贸易救济措施调查、产业损害预警、开发区利用外资管理等工作。完善开发区建设发展管理体系。</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确保对外经济合作业务稳定增长</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中小企业出口额增长率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0.1%</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商贸政务管理</w:t>
            </w:r>
          </w:p>
        </w:tc>
        <w:tc>
          <w:tcPr>
            <w:tcW w:w="1276" w:type="dxa"/>
            <w:vAlign w:val="center"/>
          </w:tcPr>
          <w:p>
            <w:pPr>
              <w:spacing w:line="300" w:lineRule="exact"/>
              <w:jc w:val="left"/>
              <w:rPr>
                <w:rFonts w:ascii="方正书宋_GBK" w:eastAsia="方正书宋_GBK"/>
              </w:rPr>
            </w:pPr>
            <w:r>
              <w:rPr>
                <w:rFonts w:ascii="方正书宋_GBK" w:eastAsia="方正书宋_GBK"/>
              </w:rPr>
              <w:t>29.00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负责机关综合业务管理和机关综合事务管理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统筹协调全县打击侵权假冒工作，完善开发区建设发展管理体系，增强网上办事能力，确保商务顺利完成</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29.00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落实商贸领域政策，推进改革，加强新闻宣传和信息管理等工作，统筹协调全县打击侵犯假冒工作，对拍卖、典当行业进行监督管理。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保障各项业务工作畅通</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做好会议培训组织，内部信息化建设与维护，财务和资产管理，标准化建设，基础设施维修，大型设备购置，人事、党务以及老干部管理等工作。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保障机关正常工作有效运转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_GB2312" w:eastAsia="仿宋_GB2312"/>
          <w:sz w:val="32"/>
          <w:szCs w:val="32"/>
        </w:rPr>
      </w:pPr>
      <w:r>
        <w:rPr>
          <w:rFonts w:ascii="仿宋_GB2312" w:eastAsia="仿宋_GB2312"/>
          <w:sz w:val="32"/>
          <w:szCs w:val="32"/>
        </w:rPr>
        <w:t>2017</w:t>
      </w:r>
      <w:r>
        <w:rPr>
          <w:rFonts w:hint="eastAsia" w:ascii="仿宋_GB2312" w:eastAsia="仿宋_GB2312"/>
          <w:sz w:val="32"/>
          <w:szCs w:val="32"/>
        </w:rPr>
        <w:t>年我部门安排政府采购预算</w:t>
      </w:r>
      <w:r>
        <w:rPr>
          <w:rFonts w:ascii="仿宋_GB2312" w:eastAsia="仿宋_GB2312"/>
          <w:sz w:val="32"/>
          <w:szCs w:val="32"/>
        </w:rPr>
        <w:t>0</w:t>
      </w:r>
      <w:r>
        <w:rPr>
          <w:rFonts w:hint="eastAsia" w:ascii="仿宋_GB2312" w:eastAsia="仿宋_GB2312"/>
          <w:sz w:val="32"/>
          <w:szCs w:val="32"/>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无极县商务局上年末固定资产金额为</w:t>
      </w:r>
      <w:r>
        <w:rPr>
          <w:rFonts w:hint="eastAsia" w:ascii="仿宋_GB2312" w:hAnsi="Calibri" w:eastAsia="仿宋_GB2312" w:cs="宋体"/>
          <w:kern w:val="0"/>
          <w:sz w:val="32"/>
          <w:szCs w:val="32"/>
        </w:rPr>
        <w:t>96.4</w:t>
      </w:r>
      <w:r>
        <w:rPr>
          <w:rFonts w:hint="eastAsia" w:ascii="仿宋_GB2312" w:hAnsi="仿宋" w:eastAsia="仿宋_GB2312" w:cs="仿宋"/>
          <w:sz w:val="32"/>
          <w:szCs w:val="32"/>
        </w:rPr>
        <w:t xml:space="preserve"> 万元（详见下表）。本年度拟购置固定资产金额为0万元。</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无极县商务局固定资产占用情况表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640" w:firstLineChars="200"/>
              <w:jc w:val="left"/>
              <w:rPr>
                <w:rFonts w:ascii="仿宋_GB2312" w:eastAsia="仿宋_GB2312" w:cs="仿宋_GB2312"/>
                <w:bCs/>
                <w:sz w:val="32"/>
                <w:szCs w:val="32"/>
              </w:rPr>
            </w:pPr>
            <w:r>
              <w:rPr>
                <w:rFonts w:hint="eastAsia" w:ascii="仿宋_GB2312" w:hAnsi="宋体" w:eastAsia="仿宋_GB2312" w:cs="宋体"/>
                <w:kern w:val="0"/>
                <w:sz w:val="32"/>
                <w:szCs w:val="32"/>
              </w:rPr>
              <w:t>编制部门：</w:t>
            </w:r>
            <w:r>
              <w:rPr>
                <w:rFonts w:hint="eastAsia" w:ascii="仿宋_GB2312" w:eastAsia="仿宋_GB2312" w:cs="仿宋_GB2312"/>
                <w:bCs/>
                <w:sz w:val="32"/>
                <w:szCs w:val="32"/>
              </w:rPr>
              <w:t>无极县商务局</w:t>
            </w:r>
          </w:p>
        </w:tc>
        <w:tc>
          <w:tcPr>
            <w:tcW w:w="5103" w:type="dxa"/>
            <w:tcBorders>
              <w:top w:val="nil"/>
              <w:left w:val="nil"/>
              <w:bottom w:val="nil"/>
              <w:right w:val="nil"/>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截止时间：2017年12月31日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96.4</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680</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16.2</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680</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16.2</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22.8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57.4</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130F1"/>
    <w:rsid w:val="003D1D58"/>
    <w:rsid w:val="00532838"/>
    <w:rsid w:val="00A130F1"/>
    <w:rsid w:val="00DF4CA1"/>
    <w:rsid w:val="28E7471C"/>
    <w:rsid w:val="50A625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qFormat/>
    <w:uiPriority w:val="0"/>
    <w:rPr>
      <w:rFonts w:ascii="Times New Roman" w:hAnsi="Times New Roman" w:eastAsia="宋体" w:cs="Times New Roman"/>
      <w:sz w:val="18"/>
      <w:szCs w:val="18"/>
    </w:rPr>
  </w:style>
  <w:style w:type="character" w:customStyle="1" w:styleId="7">
    <w:name w:val="页眉 字符"/>
    <w:link w:val="3"/>
    <w:semiHidden/>
    <w:qFormat/>
    <w:uiPriority w:val="0"/>
    <w:rPr>
      <w:rFonts w:ascii="Times New Roman" w:hAnsi="Times New Roman" w:eastAsia="宋体" w:cs="Times New Roman"/>
      <w:sz w:val="18"/>
      <w:szCs w:val="18"/>
    </w:rPr>
  </w:style>
  <w:style w:type="paragraph" w:customStyle="1" w:styleId="8">
    <w:name w:val="列表段落1"/>
    <w:basedOn w:val="1"/>
    <w:qFormat/>
    <w:uiPriority w:val="0"/>
    <w:pPr>
      <w:ind w:firstLine="420" w:firstLineChars="200"/>
    </w:pPr>
  </w:style>
  <w:style w:type="paragraph" w:customStyle="1" w:styleId="9">
    <w:name w:val="p0"/>
    <w:basedOn w:val="1"/>
    <w:qFormat/>
    <w:uiPriority w:val="0"/>
    <w:pPr>
      <w:widowControl/>
    </w:pPr>
    <w:rPr>
      <w:rFonts w:ascii="Calibri" w:hAnsi="Calibri" w:cs="宋体"/>
      <w:kern w:val="0"/>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11</Pages>
  <Words>588</Words>
  <Characters>3354</Characters>
  <Lines>27</Lines>
  <Paragraphs>7</Paragraphs>
  <TotalTime>4</TotalTime>
  <ScaleCrop>false</ScaleCrop>
  <LinksUpToDate>false</LinksUpToDate>
  <CharactersWithSpaces>3935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cp:lastPrinted>2018-04-04T15:15:00Z</cp:lastPrinted>
  <dcterms:modified xsi:type="dcterms:W3CDTF">2024-06-20T15:03:30Z</dcterms:modified>
  <dc:title>Administrator</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7AFDD091C4134D09A7720F0E5C8D1532</vt:lpwstr>
  </property>
</Properties>
</file>