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cs="宋体"/>
          <w:b/>
          <w:bCs/>
          <w:sz w:val="44"/>
          <w:szCs w:val="44"/>
        </w:rPr>
      </w:pPr>
      <w:bookmarkStart w:id="0" w:name="_GoBack"/>
      <w:bookmarkEnd w:id="0"/>
    </w:p>
    <w:p>
      <w:pPr>
        <w:ind w:firstLine="4996" w:firstLineChars="1131"/>
        <w:rPr>
          <w:rFonts w:ascii="宋体" w:cs="宋体"/>
          <w:b/>
          <w:bCs/>
          <w:sz w:val="44"/>
          <w:szCs w:val="44"/>
        </w:rPr>
      </w:pPr>
      <w:r>
        <w:rPr>
          <w:rFonts w:hint="eastAsia" w:ascii="宋体" w:hAnsi="宋体" w:cs="宋体"/>
          <w:b/>
          <w:bCs/>
          <w:sz w:val="44"/>
          <w:szCs w:val="44"/>
        </w:rPr>
        <w:t>无极县审计局</w:t>
      </w:r>
      <w:r>
        <w:rPr>
          <w:rFonts w:ascii="宋体" w:hAnsi="宋体" w:cs="宋体"/>
          <w:b/>
          <w:bCs/>
          <w:sz w:val="44"/>
          <w:szCs w:val="44"/>
        </w:rPr>
        <w:t xml:space="preserve">    </w:t>
      </w:r>
    </w:p>
    <w:p>
      <w:pPr>
        <w:jc w:val="center"/>
        <w:rPr>
          <w:rFonts w:ascii="宋体" w:cs="宋体"/>
          <w:b/>
          <w:bCs/>
          <w:sz w:val="44"/>
          <w:szCs w:val="44"/>
        </w:rPr>
      </w:pPr>
      <w:r>
        <w:rPr>
          <w:rFonts w:ascii="宋体" w:hAnsi="宋体" w:cs="宋体"/>
          <w:b/>
          <w:bCs/>
          <w:sz w:val="44"/>
          <w:szCs w:val="44"/>
        </w:rPr>
        <w:t>2017</w:t>
      </w:r>
      <w:r>
        <w:rPr>
          <w:rFonts w:hint="eastAsia" w:ascii="宋体" w:hAnsi="宋体" w:cs="宋体"/>
          <w:b/>
          <w:bCs/>
          <w:sz w:val="44"/>
          <w:szCs w:val="44"/>
        </w:rPr>
        <w:t>年部门预算信息公开说明目录</w:t>
      </w:r>
    </w:p>
    <w:p/>
    <w:p/>
    <w:p>
      <w:pPr>
        <w:ind w:firstLine="640" w:firstLineChars="200"/>
        <w:rPr>
          <w:rFonts w:asci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九、其他需要说明的事项</w:t>
      </w:r>
    </w:p>
    <w:p>
      <w:pPr>
        <w:autoSpaceDE w:val="0"/>
        <w:autoSpaceDN w:val="0"/>
        <w:adjustRightInd w:val="0"/>
        <w:ind w:firstLine="640" w:firstLineChars="200"/>
        <w:jc w:val="left"/>
        <w:rPr>
          <w:rFonts w:ascii="宋体" w:hAnsi="宋体" w:cs="仿宋_GB2312"/>
          <w:sz w:val="32"/>
          <w:szCs w:val="32"/>
        </w:rPr>
      </w:pPr>
    </w:p>
    <w:p>
      <w:pPr>
        <w:autoSpaceDE w:val="0"/>
        <w:autoSpaceDN w:val="0"/>
        <w:adjustRightInd w:val="0"/>
        <w:ind w:firstLine="640" w:firstLineChars="200"/>
        <w:jc w:val="left"/>
        <w:rPr>
          <w:rFonts w:ascii="宋体" w:hAnsi="宋体" w:cs="仿宋_GB2312"/>
          <w:sz w:val="32"/>
          <w:szCs w:val="32"/>
        </w:rPr>
      </w:pPr>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w:t>
      </w:r>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、《地方预决算公开操作规程》和《河北省省级预算公开办法》规定，现将无极县审计局</w:t>
      </w:r>
      <w:r>
        <w:rPr>
          <w:rFonts w:ascii="仿宋_GB2312" w:hAnsi="仿宋" w:eastAsia="仿宋_GB2312" w:cs="仿宋"/>
          <w:sz w:val="32"/>
          <w:szCs w:val="32"/>
        </w:rPr>
        <w:t>2017</w:t>
      </w:r>
      <w:r>
        <w:rPr>
          <w:rFonts w:hint="eastAsia" w:ascii="仿宋_GB2312" w:hAnsi="仿宋" w:eastAsia="仿宋_GB2312" w:cs="仿宋"/>
          <w:sz w:val="32"/>
          <w:szCs w:val="32"/>
        </w:rPr>
        <w:t>年部门预算公开如下：</w:t>
      </w:r>
    </w:p>
    <w:p>
      <w:pPr>
        <w:rPr>
          <w:rFonts w:ascii="黑体" w:hAnsi="黑体" w:eastAsia="黑体" w:cs="仿宋_GB2312"/>
          <w:sz w:val="32"/>
          <w:szCs w:val="32"/>
        </w:rPr>
      </w:pPr>
      <w:r>
        <w:rPr>
          <w:rFonts w:hint="eastAsia" w:ascii="黑体" w:hAnsi="黑体" w:eastAsia="黑体" w:cs="仿宋_GB2312"/>
          <w:sz w:val="32"/>
          <w:szCs w:val="32"/>
        </w:rPr>
        <w:t xml:space="preserve">    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 xml:space="preserve"> 1、部门职责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hAnsi="仿宋_GB2312" w:eastAsia="仿宋_GB2312"/>
          <w:sz w:val="32"/>
          <w:szCs w:val="32"/>
        </w:rPr>
        <w:t>（一）对县直各部门（含直属单位）和乡镇政府预算执行情况和决算以及预算外资金的管理和使用情况进行审计监督。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hAnsi="仿宋_GB2312" w:eastAsia="仿宋_GB2312"/>
          <w:sz w:val="32"/>
          <w:szCs w:val="32"/>
        </w:rPr>
        <w:t>（二）对县级财政预算执行情况进行审计，并代表县政府向人大常委会提交审计工作报告。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hAnsi="仿宋_GB2312" w:eastAsia="仿宋_GB2312"/>
          <w:sz w:val="32"/>
          <w:szCs w:val="32"/>
        </w:rPr>
        <w:t>（三）对全县国有企业的资产、负债、损益情况进行审计。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hAnsi="仿宋_GB2312" w:eastAsia="仿宋_GB2312"/>
          <w:sz w:val="32"/>
          <w:szCs w:val="32"/>
        </w:rPr>
        <w:t>（四）对全县国有事业组织的财务收支进行审计监督。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hAnsi="仿宋_GB2312" w:eastAsia="仿宋_GB2312"/>
          <w:sz w:val="32"/>
          <w:szCs w:val="32"/>
        </w:rPr>
        <w:t>（五）对全县基建项目预算的执行情况和决算进行审计监督。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hAnsi="仿宋_GB2312" w:eastAsia="仿宋_GB2312"/>
          <w:sz w:val="32"/>
          <w:szCs w:val="32"/>
        </w:rPr>
        <w:t>（六）对政府部门管理和社会团体受政府委托管理的社会保障基金以及其他有关基金、资金的财务收支进行审计监督。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hAnsi="仿宋_GB2312" w:eastAsia="仿宋_GB2312"/>
          <w:sz w:val="32"/>
          <w:szCs w:val="32"/>
        </w:rPr>
        <w:t>（七）对全县国际组织和外国政府援助、贷款项目的财务收支进行审计监督。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hAnsi="仿宋_GB2312" w:eastAsia="仿宋_GB2312"/>
          <w:sz w:val="32"/>
          <w:szCs w:val="32"/>
        </w:rPr>
        <w:t>（八）受政府委托，对地方非银行金融机构的财务收支及资产、负债、损益情况进行审计监督。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hAnsi="仿宋_GB2312" w:eastAsia="仿宋_GB2312"/>
          <w:sz w:val="32"/>
          <w:szCs w:val="32"/>
        </w:rPr>
        <w:t>（九）受县委、县政府、纪检、组织部门委托进行领导干部任期经济责任审计。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hAnsi="仿宋_GB2312" w:eastAsia="仿宋_GB2312"/>
          <w:sz w:val="32"/>
          <w:szCs w:val="32"/>
        </w:rPr>
        <w:t>（十）对社会审计组织进行审计质量执业检查。</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sz w:val="32"/>
          <w:szCs w:val="32"/>
        </w:rPr>
      </w:pPr>
      <w:r>
        <w:rPr>
          <w:rFonts w:ascii="仿宋_GB2312" w:hAnsi="仿宋_GB2312" w:eastAsia="仿宋_GB2312"/>
          <w:sz w:val="32"/>
          <w:szCs w:val="32"/>
        </w:rPr>
        <w:t>（十一）指导和监督内部审计工作。</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仿宋_GB2312" w:hAnsi="仿宋_GB2312" w:eastAsia="仿宋_GB2312"/>
          <w:sz w:val="32"/>
          <w:szCs w:val="32"/>
        </w:rPr>
      </w:pPr>
      <w:r>
        <w:rPr>
          <w:rFonts w:ascii="仿宋_GB2312" w:hAnsi="仿宋_GB2312" w:eastAsia="仿宋_GB2312"/>
          <w:sz w:val="32"/>
          <w:szCs w:val="32"/>
        </w:rPr>
        <w:t>（十二）对其他法律、法规规定应当进行审计的事项进行审计监督。</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rPr>
          <w:rFonts w:ascii="楷体" w:hAnsi="楷体" w:eastAsia="楷体" w:cs="仿宋_GB2312"/>
          <w:sz w:val="32"/>
          <w:szCs w:val="32"/>
        </w:rPr>
      </w:pPr>
      <w:r>
        <w:rPr>
          <w:rFonts w:hint="eastAsia" w:ascii="仿宋_GB2312" w:hAnsi="仿宋_GB2312" w:eastAsia="仿宋_GB2312"/>
          <w:sz w:val="32"/>
          <w:szCs w:val="32"/>
        </w:rPr>
        <w:t xml:space="preserve"> </w:t>
      </w:r>
      <w:r>
        <w:rPr>
          <w:rFonts w:hint="eastAsia" w:ascii="楷体" w:hAnsi="楷体" w:eastAsia="楷体" w:cs="仿宋_GB2312"/>
          <w:sz w:val="32"/>
          <w:szCs w:val="32"/>
        </w:rPr>
        <w:t>2、机构设置</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jc w:val="center"/>
        <w:rPr>
          <w:rFonts w:ascii="仿宋" w:hAnsi="仿宋" w:eastAsia="仿宋" w:cs="仿宋"/>
          <w:b/>
          <w:bCs/>
          <w:sz w:val="32"/>
          <w:szCs w:val="32"/>
        </w:rPr>
      </w:pPr>
      <w:r>
        <w:rPr>
          <w:rFonts w:hint="eastAsia" w:ascii="仿宋" w:hAnsi="仿宋" w:eastAsia="仿宋" w:cs="仿宋"/>
          <w:b/>
          <w:bCs/>
          <w:sz w:val="32"/>
          <w:szCs w:val="32"/>
        </w:rPr>
        <w:t>部门机构设置情况</w:t>
      </w:r>
    </w:p>
    <w:tbl>
      <w:tblPr>
        <w:tblStyle w:val="4"/>
        <w:tblW w:w="102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68"/>
        <w:gridCol w:w="2220"/>
        <w:gridCol w:w="1965"/>
        <w:gridCol w:w="19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tblHeader/>
          <w:jc w:val="center"/>
        </w:trPr>
        <w:tc>
          <w:tcPr>
            <w:tcW w:w="4068" w:type="dxa"/>
            <w:vAlign w:val="center"/>
          </w:tcPr>
          <w:p>
            <w:pPr>
              <w:tabs>
                <w:tab w:val="left" w:pos="1035"/>
                <w:tab w:val="center" w:pos="2173"/>
              </w:tabs>
              <w:spacing w:line="300" w:lineRule="exact"/>
              <w:jc w:val="left"/>
            </w:pPr>
            <w:r>
              <w:rPr>
                <w:rFonts w:hint="eastAsia" w:ascii="仿宋" w:hAnsi="仿宋" w:eastAsia="仿宋" w:cs="仿宋"/>
                <w:b/>
                <w:sz w:val="28"/>
                <w:szCs w:val="28"/>
              </w:rPr>
              <w:tab/>
            </w:r>
            <w:r>
              <w:rPr>
                <w:rFonts w:hint="eastAsia" w:ascii="仿宋" w:hAnsi="仿宋" w:eastAsia="仿宋" w:cs="仿宋"/>
                <w:b/>
                <w:sz w:val="28"/>
                <w:szCs w:val="28"/>
              </w:rPr>
              <w:tab/>
            </w:r>
            <w:r>
              <w:rPr>
                <w:rFonts w:hint="eastAsia" w:ascii="仿宋" w:hAnsi="仿宋" w:eastAsia="仿宋" w:cs="仿宋"/>
                <w:b/>
                <w:sz w:val="28"/>
                <w:szCs w:val="28"/>
              </w:rPr>
              <w:t>单位名称</w:t>
            </w:r>
          </w:p>
        </w:tc>
        <w:tc>
          <w:tcPr>
            <w:tcW w:w="2220" w:type="dxa"/>
            <w:vAlign w:val="center"/>
          </w:tcPr>
          <w:p>
            <w:pPr>
              <w:spacing w:line="300" w:lineRule="exact"/>
              <w:jc w:val="center"/>
              <w:rPr>
                <w:rFonts w:ascii="仿宋" w:hAnsi="仿宋" w:eastAsia="仿宋" w:cs="仿宋"/>
                <w:b/>
                <w:sz w:val="28"/>
                <w:szCs w:val="28"/>
              </w:rPr>
            </w:pPr>
            <w:r>
              <w:rPr>
                <w:rFonts w:hint="eastAsia" w:ascii="仿宋" w:hAnsi="仿宋" w:eastAsia="仿宋" w:cs="仿宋"/>
                <w:b/>
                <w:sz w:val="28"/>
                <w:szCs w:val="28"/>
              </w:rPr>
              <w:t>单位性质</w:t>
            </w:r>
          </w:p>
        </w:tc>
        <w:tc>
          <w:tcPr>
            <w:tcW w:w="1965" w:type="dxa"/>
            <w:vAlign w:val="center"/>
          </w:tcPr>
          <w:p>
            <w:pPr>
              <w:spacing w:line="300" w:lineRule="exact"/>
              <w:jc w:val="center"/>
              <w:rPr>
                <w:rFonts w:ascii="仿宋" w:hAnsi="仿宋" w:eastAsia="仿宋" w:cs="仿宋"/>
                <w:b/>
                <w:sz w:val="28"/>
                <w:szCs w:val="28"/>
              </w:rPr>
            </w:pPr>
            <w:r>
              <w:rPr>
                <w:rFonts w:hint="eastAsia" w:ascii="仿宋" w:hAnsi="仿宋" w:eastAsia="仿宋" w:cs="仿宋"/>
                <w:b/>
                <w:sz w:val="28"/>
                <w:szCs w:val="28"/>
              </w:rPr>
              <w:t>单位规格</w:t>
            </w:r>
          </w:p>
        </w:tc>
        <w:tc>
          <w:tcPr>
            <w:tcW w:w="1956" w:type="dxa"/>
            <w:vAlign w:val="center"/>
          </w:tcPr>
          <w:p>
            <w:pPr>
              <w:spacing w:line="300" w:lineRule="exact"/>
              <w:jc w:val="center"/>
              <w:rPr>
                <w:rFonts w:ascii="仿宋" w:hAnsi="仿宋" w:eastAsia="仿宋" w:cs="仿宋"/>
                <w:b/>
                <w:sz w:val="28"/>
                <w:szCs w:val="28"/>
              </w:rPr>
            </w:pPr>
            <w:r>
              <w:rPr>
                <w:rFonts w:hint="eastAsia" w:ascii="仿宋" w:hAnsi="仿宋" w:eastAsia="仿宋" w:cs="仿宋"/>
                <w:b/>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5" w:hRule="atLeast"/>
          <w:jc w:val="center"/>
        </w:trPr>
        <w:tc>
          <w:tcPr>
            <w:tcW w:w="4068" w:type="dxa"/>
            <w:vAlign w:val="center"/>
          </w:tcPr>
          <w:p>
            <w:pPr>
              <w:spacing w:line="300" w:lineRule="exact"/>
              <w:jc w:val="left"/>
            </w:pPr>
            <w:r>
              <w:rPr>
                <w:rFonts w:hint="eastAsia" w:ascii="仿宋" w:hAnsi="仿宋" w:eastAsia="仿宋" w:cs="仿宋"/>
                <w:sz w:val="32"/>
                <w:szCs w:val="32"/>
              </w:rPr>
              <w:t>无极县审计局</w:t>
            </w:r>
          </w:p>
        </w:tc>
        <w:tc>
          <w:tcPr>
            <w:tcW w:w="2220"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行政</w:t>
            </w:r>
          </w:p>
        </w:tc>
        <w:tc>
          <w:tcPr>
            <w:tcW w:w="1965"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正科级</w:t>
            </w:r>
          </w:p>
        </w:tc>
        <w:tc>
          <w:tcPr>
            <w:tcW w:w="195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0" w:hRule="atLeast"/>
          <w:jc w:val="center"/>
        </w:trPr>
        <w:tc>
          <w:tcPr>
            <w:tcW w:w="4068" w:type="dxa"/>
            <w:vAlign w:val="center"/>
          </w:tcPr>
          <w:p>
            <w:pPr>
              <w:spacing w:line="300" w:lineRule="exact"/>
              <w:jc w:val="left"/>
            </w:pPr>
            <w:r>
              <w:rPr>
                <w:rFonts w:hint="eastAsia" w:ascii="仿宋" w:hAnsi="仿宋" w:eastAsia="仿宋" w:cs="仿宋"/>
                <w:sz w:val="32"/>
                <w:szCs w:val="32"/>
              </w:rPr>
              <w:t xml:space="preserve">无极县审计局经济责任审计分局 </w:t>
            </w:r>
          </w:p>
        </w:tc>
        <w:tc>
          <w:tcPr>
            <w:tcW w:w="2220"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事业</w:t>
            </w:r>
          </w:p>
        </w:tc>
        <w:tc>
          <w:tcPr>
            <w:tcW w:w="1965"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副科</w:t>
            </w:r>
          </w:p>
        </w:tc>
        <w:tc>
          <w:tcPr>
            <w:tcW w:w="195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财政性资金基本保证</w:t>
            </w:r>
          </w:p>
        </w:tc>
      </w:tr>
    </w:tbl>
    <w:p>
      <w:pPr>
        <w:rPr>
          <w:rFonts w:ascii="黑体" w:hAnsi="黑体" w:eastAsia="黑体" w:cs="仿宋_GB2312"/>
          <w:sz w:val="32"/>
          <w:szCs w:val="32"/>
        </w:rPr>
      </w:pPr>
      <w:r>
        <w:rPr>
          <w:rFonts w:hint="eastAsia" w:ascii="黑体" w:hAnsi="黑体" w:eastAsia="黑体" w:cs="仿宋_GB2312"/>
          <w:sz w:val="32"/>
          <w:szCs w:val="32"/>
        </w:rPr>
        <w:t xml:space="preserve">    二、部门预算安排的总体情况</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按照预算管理有关规定，目前我县部门预算的编制实行综合预算制度，即全部收入和支出都反映在预算里，我部门及所属单位所有收支都包含在部门预算中。</w:t>
      </w:r>
    </w:p>
    <w:p>
      <w:pPr>
        <w:numPr>
          <w:ilvl w:val="0"/>
          <w:numId w:val="1"/>
        </w:numPr>
        <w:ind w:firstLine="640" w:firstLineChars="200"/>
        <w:rPr>
          <w:rFonts w:ascii="楷体" w:hAnsi="楷体" w:eastAsia="楷体" w:cs="仿宋_GB2312"/>
          <w:sz w:val="32"/>
          <w:szCs w:val="32"/>
        </w:rPr>
      </w:pPr>
      <w:r>
        <w:rPr>
          <w:rFonts w:hint="eastAsia" w:ascii="楷体" w:hAnsi="楷体" w:eastAsia="楷体" w:cs="仿宋_GB2312"/>
          <w:sz w:val="32"/>
          <w:szCs w:val="32"/>
        </w:rPr>
        <w:t>收入说明</w:t>
      </w:r>
    </w:p>
    <w:p>
      <w:pPr>
        <w:adjustRightInd w:val="0"/>
        <w:snapToGrid w:val="0"/>
        <w:spacing w:line="600" w:lineRule="exact"/>
        <w:ind w:firstLine="640" w:firstLineChars="200"/>
        <w:jc w:val="left"/>
        <w:rPr>
          <w:rFonts w:ascii="楷体" w:hAnsi="楷体" w:eastAsia="楷体" w:cs="仿宋_GB2312"/>
          <w:sz w:val="30"/>
          <w:szCs w:val="30"/>
        </w:rPr>
      </w:pPr>
      <w:r>
        <w:rPr>
          <w:rFonts w:hint="eastAsia" w:ascii="仿宋_GB2312" w:eastAsia="仿宋_GB2312" w:cs="仿宋_GB2312"/>
          <w:bCs/>
          <w:sz w:val="32"/>
          <w:szCs w:val="32"/>
        </w:rPr>
        <w:t>无极县审计局2017年预算收入总计399.45万元,与2016年相比增加60.68万元,增加原因为专项审计项目支出增加。其中，一般公共预算收入399.45万元、政府性基金收入0万元、财政专户核拨收入0万元，其他来源收入0万元。</w:t>
      </w:r>
    </w:p>
    <w:p>
      <w:pPr>
        <w:numPr>
          <w:ilvl w:val="0"/>
          <w:numId w:val="2"/>
        </w:numPr>
        <w:ind w:firstLine="645"/>
        <w:rPr>
          <w:rFonts w:ascii="楷体" w:hAnsi="楷体" w:eastAsia="楷体"/>
          <w:sz w:val="32"/>
          <w:szCs w:val="32"/>
        </w:rPr>
      </w:pPr>
      <w:r>
        <w:rPr>
          <w:rFonts w:hint="eastAsia" w:ascii="楷体" w:hAnsi="楷体" w:eastAsia="楷体"/>
          <w:sz w:val="32"/>
          <w:szCs w:val="32"/>
        </w:rPr>
        <w:t>支出说明</w:t>
      </w:r>
    </w:p>
    <w:p>
      <w:pPr>
        <w:adjustRightInd w:val="0"/>
        <w:snapToGrid w:val="0"/>
        <w:spacing w:line="600" w:lineRule="exact"/>
        <w:ind w:firstLine="640" w:firstLineChars="200"/>
        <w:jc w:val="left"/>
        <w:rPr>
          <w:rFonts w:ascii="仿宋_GB2312" w:eastAsia="仿宋_GB2312" w:cs="仿宋_GB2312"/>
          <w:bCs/>
          <w:sz w:val="32"/>
          <w:szCs w:val="32"/>
        </w:rPr>
      </w:pPr>
      <w:r>
        <w:rPr>
          <w:rFonts w:hint="eastAsia" w:ascii="仿宋_GB2312" w:eastAsia="仿宋_GB2312" w:cs="仿宋_GB2312"/>
          <w:bCs/>
          <w:sz w:val="32"/>
          <w:szCs w:val="32"/>
        </w:rPr>
        <w:t>2017年预算支出399.45万元。其中，人员经费支出215.95万元，正常公用经费63.5万元，项目支出120万元。</w:t>
      </w:r>
    </w:p>
    <w:p>
      <w:pPr>
        <w:numPr>
          <w:ilvl w:val="0"/>
          <w:numId w:val="3"/>
        </w:numPr>
        <w:ind w:firstLine="645"/>
        <w:rPr>
          <w:rFonts w:ascii="楷体" w:hAnsi="楷体" w:eastAsia="楷体"/>
          <w:sz w:val="32"/>
          <w:szCs w:val="32"/>
        </w:rPr>
      </w:pPr>
      <w:r>
        <w:rPr>
          <w:rFonts w:hint="eastAsia" w:ascii="楷体" w:hAnsi="楷体" w:eastAsia="楷体"/>
          <w:sz w:val="32"/>
          <w:szCs w:val="32"/>
        </w:rPr>
        <w:t>比上年增减情况</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2017年预算收支安排399.45万元，较2016年预算增加60.68万元，其中基本支出减少 9.32万元，主要原因为压缩办公支出。项目支出增加70万元，主要为增加专项审计项目。</w:t>
      </w:r>
    </w:p>
    <w:p>
      <w:pPr>
        <w:rPr>
          <w:rFonts w:ascii="黑体" w:hAnsi="黑体" w:eastAsia="黑体" w:cs="仿宋_GB2312"/>
          <w:sz w:val="32"/>
          <w:szCs w:val="32"/>
        </w:rPr>
      </w:pPr>
      <w:r>
        <w:rPr>
          <w:rFonts w:hint="eastAsia" w:ascii="仿宋_GB2312" w:hAnsi="仿宋_GB2312" w:eastAsia="仿宋_GB2312" w:cs="仿宋_GB2312"/>
          <w:sz w:val="32"/>
          <w:szCs w:val="32"/>
        </w:rPr>
        <w:t xml:space="preserve">    </w:t>
      </w:r>
      <w:r>
        <w:rPr>
          <w:rFonts w:hint="eastAsia" w:ascii="黑体" w:hAnsi="黑体" w:eastAsia="黑体" w:cs="仿宋_GB2312"/>
          <w:sz w:val="32"/>
          <w:szCs w:val="32"/>
        </w:rPr>
        <w:t>三、机关运行经费安排情况</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2017年机关运行经费共计安排34万元，主要用于我部门日常办公、邮电费及公务用车运行维护费等日常运行支出。</w:t>
      </w:r>
    </w:p>
    <w:p>
      <w:pPr>
        <w:numPr>
          <w:ilvl w:val="0"/>
          <w:numId w:val="4"/>
        </w:num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财政拨款“三公”经费预算情况及增减变化原因</w:t>
      </w:r>
    </w:p>
    <w:p>
      <w:pPr>
        <w:adjustRightInd w:val="0"/>
        <w:snapToGrid w:val="0"/>
        <w:spacing w:line="600" w:lineRule="exact"/>
        <w:ind w:firstLine="640" w:firstLineChars="200"/>
        <w:jc w:val="left"/>
        <w:rPr>
          <w:rFonts w:ascii="仿宋_GB2312" w:eastAsia="仿宋_GB2312" w:cs="仿宋_GB2312"/>
          <w:bCs/>
          <w:sz w:val="32"/>
          <w:szCs w:val="32"/>
          <w:highlight w:val="yellow"/>
        </w:rPr>
      </w:pPr>
      <w:r>
        <w:rPr>
          <w:rFonts w:hint="eastAsia" w:ascii="仿宋_GB2312" w:eastAsia="仿宋_GB2312" w:cs="仿宋_GB2312"/>
          <w:bCs/>
          <w:sz w:val="32"/>
          <w:szCs w:val="32"/>
        </w:rPr>
        <w:t>2017年“三公”经费支出4.5万元。其中，因公出国（境）费0万元；公务用车购置0万元，公务用车运行维护费3万元；公务接待费1.5万元。</w:t>
      </w:r>
      <w:r>
        <w:rPr>
          <w:rFonts w:hint="eastAsia" w:ascii="仿宋_GB2312" w:hAnsi="仿宋_GB2312" w:eastAsia="仿宋_GB2312" w:cs="仿宋_GB2312"/>
          <w:sz w:val="32"/>
          <w:szCs w:val="32"/>
        </w:rPr>
        <w:t>与2016年相比减少2.7万元。原因是公务用车改革。</w:t>
      </w:r>
    </w:p>
    <w:p>
      <w:pPr>
        <w:autoSpaceDE w:val="0"/>
        <w:autoSpaceDN w:val="0"/>
        <w:adjustRightInd w:val="0"/>
        <w:jc w:val="left"/>
        <w:rPr>
          <w:rFonts w:ascii="黑体" w:hAnsi="黑体" w:eastAsia="黑体" w:cs="仿宋_GB2312"/>
          <w:sz w:val="32"/>
          <w:szCs w:val="32"/>
        </w:rPr>
      </w:pPr>
      <w:r>
        <w:rPr>
          <w:rFonts w:hint="eastAsia" w:ascii="黑体" w:hAnsi="黑体" w:eastAsia="黑体" w:cs="仿宋_GB2312"/>
          <w:sz w:val="32"/>
          <w:szCs w:val="32"/>
        </w:rPr>
        <w:t xml:space="preserve">    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一是加大对政府性投资项目资金和重点民生资金的跟踪审计力度，保障资金安全使用，确保项目建设优质、高效、节约、廉洁。 </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二是加大经济责任审计力度，加强对权力运行的制约和监督，促进领导干部更好地依法依规履职尽责,推动审计为国家治理发展进程。</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三是推进绩效审计，促进经济结构调整，建立有利于科学发展的体制机制。</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四是充分发挥审计监督在县政府宏观决策和管理中的参谋助手作用，揭示和分析研究问题，提出建设性的审计意见，为党委、政府提供决策依据。</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五是加大对重大违法违规问题的查处力度，密切关注存在的安全隐患和潜在风险，提出防范和化解风险的对策性建议，促进廉政建设。</w:t>
      </w:r>
    </w:p>
    <w:p>
      <w:pPr>
        <w:numPr>
          <w:ilvl w:val="0"/>
          <w:numId w:val="5"/>
        </w:numPr>
        <w:ind w:firstLine="645"/>
        <w:rPr>
          <w:rFonts w:ascii="方正仿宋_GBK" w:eastAsia="方正仿宋_GBK"/>
          <w:sz w:val="28"/>
        </w:rPr>
      </w:pPr>
      <w:r>
        <w:rPr>
          <w:rFonts w:hint="eastAsia" w:ascii="楷体" w:hAnsi="楷体" w:eastAsia="楷体"/>
          <w:sz w:val="32"/>
          <w:szCs w:val="32"/>
        </w:rPr>
        <w:t>职责分类绩效目标</w:t>
      </w:r>
    </w:p>
    <w:p>
      <w:pPr>
        <w:rPr>
          <w:rFonts w:ascii="仿宋_GB2312" w:hAnsi="仿宋_GB2312" w:eastAsia="仿宋_GB2312" w:cs="仿宋_GB2312"/>
          <w:sz w:val="32"/>
          <w:szCs w:val="32"/>
        </w:rPr>
      </w:pPr>
      <w:r>
        <w:rPr>
          <w:rFonts w:hint="eastAsia" w:ascii="楷体" w:hAnsi="楷体" w:eastAsia="楷体"/>
          <w:sz w:val="32"/>
          <w:szCs w:val="32"/>
        </w:rPr>
        <w:t xml:space="preserve">   </w:t>
      </w:r>
      <w:r>
        <w:rPr>
          <w:rFonts w:hint="eastAsia" w:ascii="仿宋_GB2312" w:hAnsi="仿宋_GB2312" w:eastAsia="仿宋_GB2312" w:cs="仿宋_GB2312"/>
          <w:sz w:val="32"/>
          <w:szCs w:val="32"/>
        </w:rPr>
        <w:t xml:space="preserve">  1、主管全县审计工作。通过财政财务收支审计真实、合法和效益情况，维护国家财政经济秩序，促进廉政建设，保障国民经济的健康运行。</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2、进行内部审计管理和审计法制管理。贯彻落实相关法律法规及大内部审计管理制度提高审计质量和审计机关法制管理水平。</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3、包括系统综合业务管理和机关综合事务管理。充分发挥参谋助手作用和综合协调作用，推进审计事业科学协调发展。</w:t>
      </w:r>
    </w:p>
    <w:p>
      <w:pPr>
        <w:ind w:firstLine="645"/>
        <w:rPr>
          <w:rFonts w:ascii="楷体" w:hAnsi="楷体" w:eastAsia="楷体"/>
          <w:sz w:val="32"/>
          <w:szCs w:val="32"/>
        </w:rPr>
      </w:pPr>
      <w:r>
        <w:rPr>
          <w:rFonts w:hint="eastAsia" w:ascii="楷体" w:hAnsi="楷体" w:eastAsia="楷体"/>
          <w:sz w:val="32"/>
          <w:szCs w:val="32"/>
        </w:rPr>
        <w:t>（三）部门职责</w:t>
      </w:r>
      <w:r>
        <w:rPr>
          <w:rFonts w:ascii="楷体" w:hAnsi="楷体" w:eastAsia="楷体"/>
          <w:sz w:val="32"/>
          <w:szCs w:val="32"/>
        </w:rPr>
        <w:t>-</w:t>
      </w:r>
      <w:r>
        <w:rPr>
          <w:rFonts w:hint="eastAsia" w:ascii="楷体" w:hAnsi="楷体" w:eastAsia="楷体"/>
          <w:sz w:val="32"/>
          <w:szCs w:val="32"/>
        </w:rPr>
        <w:t>工作活动绩效目标</w:t>
      </w:r>
    </w:p>
    <w:p>
      <w:pPr>
        <w:ind w:firstLine="645"/>
        <w:jc w:val="center"/>
        <w:rPr>
          <w:rFonts w:ascii="仿宋" w:hAnsi="仿宋" w:eastAsia="仿宋"/>
          <w:sz w:val="32"/>
          <w:szCs w:val="32"/>
        </w:rPr>
      </w:pPr>
      <w:r>
        <w:rPr>
          <w:rFonts w:hint="eastAsia" w:ascii="仿宋" w:hAnsi="仿宋" w:eastAsia="仿宋"/>
          <w:sz w:val="32"/>
          <w:szCs w:val="32"/>
        </w:rPr>
        <w:t>部门职责</w:t>
      </w:r>
      <w:r>
        <w:rPr>
          <w:rFonts w:ascii="仿宋" w:hAnsi="仿宋" w:eastAsia="仿宋"/>
          <w:sz w:val="32"/>
          <w:szCs w:val="32"/>
        </w:rPr>
        <w:t>-</w:t>
      </w:r>
      <w:r>
        <w:rPr>
          <w:rFonts w:hint="eastAsia" w:ascii="仿宋" w:hAnsi="仿宋" w:eastAsia="仿宋"/>
          <w:sz w:val="32"/>
          <w:szCs w:val="32"/>
        </w:rPr>
        <w:t>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319</w:t>
            </w:r>
            <w:r>
              <w:rPr>
                <w:rFonts w:hint="eastAsia" w:ascii="方正小标宋_GBK" w:eastAsia="方正小标宋_GBK"/>
                <w:sz w:val="24"/>
              </w:rPr>
              <w:t>审计局</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xml:space="preserve">    审计业务</w:t>
            </w:r>
          </w:p>
        </w:tc>
        <w:tc>
          <w:tcPr>
            <w:tcW w:w="1276" w:type="dxa"/>
            <w:vAlign w:val="center"/>
          </w:tcPr>
          <w:p>
            <w:pPr>
              <w:spacing w:line="300" w:lineRule="exact"/>
              <w:jc w:val="left"/>
              <w:rPr>
                <w:rFonts w:ascii="方正书宋_GBK" w:eastAsia="方正书宋_GBK"/>
              </w:rPr>
            </w:pPr>
            <w:r>
              <w:rPr>
                <w:rFonts w:ascii="方正书宋_GBK" w:eastAsia="方正书宋_GBK"/>
              </w:rPr>
              <w:t>110.00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主管全县审计工作。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主管全县审计工作。通过财政财务收支审计真实、合法和效益情况，维护国家财政经济秩序，促进廉政建设，保障国民经济的健康运行。</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审计业务</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110.00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审计本级财政部门组织本级预算执行情况，审计下级人民政府的预算执行和决算情况，审计其他财政收支情况，审计其他取得财政资金的单位和项目接受、运用财政资金的真实、合法和效益情况</w:t>
            </w:r>
            <w:r>
              <w:rPr>
                <w:rFonts w:ascii="方正书宋_GBK" w:eastAsia="方正书宋_GBK"/>
              </w:rPr>
              <w:t>,</w:t>
            </w:r>
            <w:r>
              <w:rPr>
                <w:rFonts w:hint="eastAsia" w:ascii="方正书宋_GBK" w:eastAsia="方正书宋_GBK"/>
              </w:rPr>
              <w:t>实施领导干部经济责任审计等审计。</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通过审计财政、财务收支真实、合法和效益，维护国家财政经济秩序、促进廉政建设、保障国民经济的健康发展。</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审计决定落实率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审计计划完成率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专项审计调查</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对经济领域中带有全局性、普遍性、倾向性的特定事项进行系统调查了解并向县政府报告情况和结果。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通过专项审计调查，综合分析，向有关部门反映情况，揭露问题、提出解决问题的建议，为政府决策提供依据。</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政策建议采纳率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专项审计工作完成率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xml:space="preserve">     审计管理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进行内部审计管理和审计法制管理。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进行内部审计管理和审计法制管理。贯彻落实相关法律法规及大内部审计管理制度提高审计质量和审计机关法制管理水平。</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内部审计管理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制定内部审计措施并组织落实；制定内部审计业务规章、制度、管理办法等并开展监督检查；开展内部审计业务，受理内部审计业务咨询；提供内部审计成果；协调内部审计和国家审计间工作等。</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受理内审业务咨询，提高内部审计质量；协调内部审计和国家审计间工作，保障内部审计工作的顺利进行；控制费用标准严格。</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内审业务指导、监督检查率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内审业务办结率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审计法制管理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对审计项目、规范性文件进行审核，依法核查社会审计机构相关审计报告，做好审计机关的质量检查等。</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通过审计项目审理来保障审计质量，提高县级审计法制管理水平。</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审计项目报告合格率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审计项目审理覆盖率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审计政务管理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包括系统综合业务管理和机关综合事务管理。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包括系统综合业务管理和机关综合事务管理。充分发挥参谋助手作用和综合协调作用，推进审计事业科学协调发展。</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综合业务管理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组织开展信息化建设、教育培训、审计理论研究，抓好新闻宣传和文化建设、政务信息公开，开展审计服务和业务咨询。</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信息保障安全有效，信息化建设稳步推进；加强宣传引导；提高人员业务水平，推动审计事业发展。</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综合事务管理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抓好干部队伍建设、基础设施建设及其它综合事务。</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提高人员业务水平，不断提高审计业务质量；保障机关正常运转。</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bl>
    <w:p>
      <w:pPr>
        <w:autoSpaceDE w:val="0"/>
        <w:autoSpaceDN w:val="0"/>
        <w:adjustRightInd w:val="0"/>
        <w:jc w:val="left"/>
        <w:rPr>
          <w:rFonts w:ascii="黑体" w:hAnsi="黑体" w:eastAsia="黑体" w:cs="仿宋_GB2312"/>
          <w:sz w:val="32"/>
          <w:szCs w:val="32"/>
        </w:rPr>
      </w:pPr>
      <w:r>
        <w:rPr>
          <w:rFonts w:hint="eastAsia" w:ascii="黑体" w:hAnsi="黑体" w:eastAsia="黑体" w:cs="仿宋_GB2312"/>
          <w:sz w:val="32"/>
          <w:szCs w:val="32"/>
        </w:rPr>
        <w:t xml:space="preserve">    六、政府采购预算情况</w:t>
      </w:r>
    </w:p>
    <w:p>
      <w:pPr>
        <w:ind w:firstLine="688" w:firstLineChars="215"/>
        <w:rPr>
          <w:rFonts w:ascii="仿宋_GB2312" w:eastAsia="仿宋_GB2312"/>
          <w:sz w:val="30"/>
          <w:szCs w:val="30"/>
        </w:rPr>
      </w:pPr>
      <w:r>
        <w:rPr>
          <w:rFonts w:ascii="仿宋_GB2312" w:eastAsia="仿宋_GB2312"/>
          <w:sz w:val="32"/>
          <w:szCs w:val="32"/>
        </w:rPr>
        <w:t>2017</w:t>
      </w:r>
      <w:r>
        <w:rPr>
          <w:rFonts w:hint="eastAsia" w:ascii="仿宋_GB2312" w:eastAsia="仿宋_GB2312"/>
          <w:sz w:val="32"/>
          <w:szCs w:val="32"/>
        </w:rPr>
        <w:t>年我部门安排政府采购预算</w:t>
      </w:r>
      <w:r>
        <w:rPr>
          <w:rFonts w:ascii="仿宋_GB2312" w:eastAsia="仿宋_GB2312"/>
          <w:sz w:val="32"/>
          <w:szCs w:val="32"/>
        </w:rPr>
        <w:t>0</w:t>
      </w:r>
      <w:r>
        <w:rPr>
          <w:rFonts w:hint="eastAsia" w:ascii="仿宋_GB2312" w:eastAsia="仿宋_GB2312"/>
          <w:sz w:val="32"/>
          <w:szCs w:val="32"/>
        </w:rPr>
        <w:t>万元</w:t>
      </w:r>
      <w:r>
        <w:rPr>
          <w:rFonts w:hint="eastAsia" w:ascii="仿宋_GB2312" w:eastAsia="仿宋_GB2312"/>
          <w:sz w:val="30"/>
          <w:szCs w:val="30"/>
        </w:rPr>
        <w:t>。</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pStyle w:val="7"/>
        <w:ind w:firstLine="640" w:firstLineChars="200"/>
        <w:rPr>
          <w:rFonts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无极县审计局上年末固定资产为89万元（详见下表）。本年度拟购置固定资产为0万元。</w:t>
      </w:r>
    </w:p>
    <w:p>
      <w:pPr>
        <w:pStyle w:val="7"/>
        <w:ind w:firstLine="640" w:firstLineChars="200"/>
        <w:rPr>
          <w:rFonts w:ascii="仿宋_GB2312" w:hAnsi="仿宋_GB2312" w:eastAsia="仿宋_GB2312" w:cs="仿宋_GB2312"/>
          <w:sz w:val="32"/>
          <w:szCs w:val="32"/>
          <w:lang w:eastAsia="zh-CN"/>
        </w:rPr>
      </w:pPr>
    </w:p>
    <w:p>
      <w:pPr>
        <w:ind w:firstLine="640"/>
        <w:jc w:val="center"/>
        <w:rPr>
          <w:rFonts w:ascii="宋体" w:hAnsi="宋体" w:cs="宋体"/>
          <w:sz w:val="32"/>
          <w:szCs w:val="32"/>
        </w:rPr>
      </w:pPr>
      <w:r>
        <w:rPr>
          <w:rFonts w:hint="eastAsia" w:ascii="宋体" w:hAnsi="宋体" w:cs="宋体"/>
          <w:sz w:val="32"/>
          <w:szCs w:val="32"/>
        </w:rPr>
        <w:t>无极县审计局固定资产占用情况表</w:t>
      </w:r>
    </w:p>
    <w:tbl>
      <w:tblPr>
        <w:tblStyle w:val="4"/>
        <w:tblpPr w:leftFromText="180" w:rightFromText="180" w:vertAnchor="text" w:horzAnchor="page" w:tblpX="4156" w:tblpY="698"/>
        <w:tblOverlap w:val="never"/>
        <w:tblW w:w="9180" w:type="dxa"/>
        <w:tblInd w:w="0" w:type="dxa"/>
        <w:tblLayout w:type="fixed"/>
        <w:tblCellMar>
          <w:top w:w="0" w:type="dxa"/>
          <w:left w:w="108" w:type="dxa"/>
          <w:bottom w:w="0" w:type="dxa"/>
          <w:right w:w="108" w:type="dxa"/>
        </w:tblCellMar>
      </w:tblPr>
      <w:tblGrid>
        <w:gridCol w:w="3791"/>
        <w:gridCol w:w="1785"/>
        <w:gridCol w:w="3604"/>
      </w:tblGrid>
      <w:tr>
        <w:tblPrEx>
          <w:tblCellMar>
            <w:top w:w="0" w:type="dxa"/>
            <w:left w:w="108" w:type="dxa"/>
            <w:bottom w:w="0" w:type="dxa"/>
            <w:right w:w="108" w:type="dxa"/>
          </w:tblCellMar>
        </w:tblPrEx>
        <w:trPr>
          <w:trHeight w:val="705" w:hRule="atLeast"/>
        </w:trPr>
        <w:tc>
          <w:tcPr>
            <w:tcW w:w="9180" w:type="dxa"/>
            <w:gridSpan w:val="3"/>
            <w:tcBorders>
              <w:top w:val="nil"/>
              <w:left w:val="nil"/>
              <w:bottom w:val="nil"/>
              <w:right w:val="nil"/>
            </w:tcBorders>
            <w:vAlign w:val="center"/>
          </w:tcPr>
          <w:p>
            <w:pPr>
              <w:widowControl/>
              <w:jc w:val="left"/>
              <w:rPr>
                <w:rFonts w:ascii="宋体"/>
                <w:b/>
                <w:bCs/>
                <w:kern w:val="0"/>
                <w:sz w:val="32"/>
                <w:szCs w:val="32"/>
              </w:rPr>
            </w:pPr>
            <w:r>
              <w:rPr>
                <w:rFonts w:hint="eastAsia" w:ascii="宋体" w:hAnsi="宋体" w:cs="宋体"/>
                <w:kern w:val="0"/>
                <w:sz w:val="22"/>
              </w:rPr>
              <w:t>编制部门：</w:t>
            </w:r>
            <w:r>
              <w:rPr>
                <w:rFonts w:hint="eastAsia" w:cs="宋体"/>
              </w:rPr>
              <w:t>无极县审计局</w:t>
            </w:r>
          </w:p>
        </w:tc>
      </w:tr>
      <w:tr>
        <w:tblPrEx>
          <w:tblCellMar>
            <w:top w:w="0" w:type="dxa"/>
            <w:left w:w="108" w:type="dxa"/>
            <w:bottom w:w="0" w:type="dxa"/>
            <w:right w:w="108" w:type="dxa"/>
          </w:tblCellMar>
        </w:tblPrEx>
        <w:trPr>
          <w:trHeight w:val="510" w:hRule="atLeast"/>
        </w:trPr>
        <w:tc>
          <w:tcPr>
            <w:tcW w:w="5576"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宋体"/>
                <w:kern w:val="0"/>
                <w:sz w:val="22"/>
              </w:rPr>
            </w:pPr>
            <w:r>
              <w:rPr>
                <w:rFonts w:hint="eastAsia" w:ascii="宋体" w:hAnsi="宋体" w:cs="宋体"/>
                <w:b/>
                <w:bCs/>
                <w:kern w:val="0"/>
                <w:sz w:val="22"/>
              </w:rPr>
              <w:t>项</w:t>
            </w:r>
            <w:r>
              <w:rPr>
                <w:rFonts w:ascii="宋体" w:hAnsi="宋体" w:cs="宋体"/>
                <w:b/>
                <w:bCs/>
                <w:kern w:val="0"/>
                <w:sz w:val="22"/>
              </w:rPr>
              <w:t xml:space="preserve">   </w:t>
            </w:r>
            <w:r>
              <w:rPr>
                <w:rFonts w:hint="eastAsia" w:ascii="宋体" w:hAnsi="宋体" w:cs="宋体"/>
                <w:b/>
                <w:bCs/>
                <w:kern w:val="0"/>
                <w:sz w:val="22"/>
              </w:rPr>
              <w:t>目</w:t>
            </w:r>
          </w:p>
        </w:tc>
        <w:tc>
          <w:tcPr>
            <w:tcW w:w="3604" w:type="dxa"/>
            <w:tcBorders>
              <w:top w:val="single" w:color="auto" w:sz="4" w:space="0"/>
              <w:left w:val="nil"/>
              <w:bottom w:val="single" w:color="auto" w:sz="4" w:space="0"/>
              <w:right w:val="single" w:color="auto" w:sz="4" w:space="0"/>
            </w:tcBorders>
            <w:vAlign w:val="center"/>
          </w:tcPr>
          <w:p>
            <w:pPr>
              <w:widowControl/>
              <w:jc w:val="left"/>
              <w:rPr>
                <w:rFonts w:ascii="宋体"/>
                <w:kern w:val="0"/>
                <w:sz w:val="22"/>
              </w:rPr>
            </w:pPr>
            <w:r>
              <w:rPr>
                <w:rFonts w:hint="eastAsia" w:ascii="宋体" w:hAnsi="宋体" w:cs="宋体"/>
                <w:kern w:val="0"/>
                <w:sz w:val="22"/>
              </w:rPr>
              <w:t>截止时间：</w:t>
            </w:r>
            <w:r>
              <w:rPr>
                <w:rFonts w:ascii="宋体" w:hAnsi="宋体" w:cs="宋体"/>
                <w:kern w:val="0"/>
                <w:sz w:val="22"/>
              </w:rPr>
              <w:t>2016</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r>
              <w:rPr>
                <w:rFonts w:ascii="宋体" w:hAnsi="宋体" w:cs="宋体"/>
                <w:kern w:val="0"/>
                <w:sz w:val="22"/>
              </w:rPr>
              <w:t xml:space="preserve">  </w:t>
            </w:r>
          </w:p>
        </w:tc>
      </w:tr>
      <w:tr>
        <w:tblPrEx>
          <w:tblCellMar>
            <w:top w:w="0" w:type="dxa"/>
            <w:left w:w="108" w:type="dxa"/>
            <w:bottom w:w="0" w:type="dxa"/>
            <w:right w:w="108" w:type="dxa"/>
          </w:tblCellMar>
        </w:tblPrEx>
        <w:trPr>
          <w:trHeight w:val="645" w:hRule="atLeast"/>
        </w:trPr>
        <w:tc>
          <w:tcPr>
            <w:tcW w:w="3791" w:type="dxa"/>
            <w:tcBorders>
              <w:top w:val="nil"/>
              <w:left w:val="single" w:color="auto" w:sz="4" w:space="0"/>
              <w:bottom w:val="single" w:color="auto" w:sz="4" w:space="0"/>
              <w:right w:val="single" w:color="auto" w:sz="4" w:space="0"/>
            </w:tcBorders>
            <w:vAlign w:val="center"/>
          </w:tcPr>
          <w:p>
            <w:pPr>
              <w:widowControl/>
              <w:jc w:val="center"/>
              <w:rPr>
                <w:rFonts w:ascii="宋体"/>
                <w:b/>
                <w:bCs/>
                <w:kern w:val="0"/>
                <w:sz w:val="22"/>
              </w:rPr>
            </w:pPr>
            <w:r>
              <w:rPr>
                <w:rFonts w:hint="eastAsia" w:ascii="宋体" w:hAnsi="宋体" w:cs="宋体"/>
                <w:kern w:val="0"/>
                <w:sz w:val="22"/>
              </w:rPr>
              <w:t>资产总额</w:t>
            </w:r>
          </w:p>
        </w:tc>
        <w:tc>
          <w:tcPr>
            <w:tcW w:w="1785"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rPr>
            </w:pPr>
            <w:r>
              <w:rPr>
                <w:rFonts w:hint="eastAsia" w:ascii="宋体" w:hAnsi="宋体" w:cs="宋体"/>
                <w:b/>
                <w:bCs/>
                <w:kern w:val="0"/>
                <w:sz w:val="22"/>
              </w:rPr>
              <w:t>数量</w:t>
            </w:r>
          </w:p>
        </w:tc>
        <w:tc>
          <w:tcPr>
            <w:tcW w:w="3604"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3791"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1</w:t>
            </w:r>
            <w:r>
              <w:rPr>
                <w:rFonts w:hint="eastAsia" w:ascii="宋体" w:hAnsi="宋体" w:cs="宋体"/>
                <w:kern w:val="0"/>
                <w:sz w:val="22"/>
              </w:rPr>
              <w:t>、房屋（平方米）</w:t>
            </w:r>
          </w:p>
        </w:tc>
        <w:tc>
          <w:tcPr>
            <w:tcW w:w="1785"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hAnsi="宋体" w:cs="宋体"/>
                <w:kern w:val="0"/>
                <w:sz w:val="22"/>
              </w:rPr>
              <w:t>——</w:t>
            </w:r>
          </w:p>
        </w:tc>
        <w:tc>
          <w:tcPr>
            <w:tcW w:w="3604"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hint="eastAsia" w:ascii="宋体"/>
                <w:kern w:val="0"/>
                <w:sz w:val="22"/>
              </w:rPr>
              <w:t>89</w:t>
            </w:r>
          </w:p>
        </w:tc>
      </w:tr>
      <w:tr>
        <w:tblPrEx>
          <w:tblCellMar>
            <w:top w:w="0" w:type="dxa"/>
            <w:left w:w="108" w:type="dxa"/>
            <w:bottom w:w="0" w:type="dxa"/>
            <w:right w:w="108" w:type="dxa"/>
          </w:tblCellMar>
        </w:tblPrEx>
        <w:trPr>
          <w:trHeight w:val="645" w:hRule="atLeast"/>
        </w:trPr>
        <w:tc>
          <w:tcPr>
            <w:tcW w:w="3791"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 xml:space="preserve">  </w:t>
            </w:r>
            <w:r>
              <w:rPr>
                <w:rFonts w:hint="eastAsia" w:ascii="宋体" w:hAnsi="宋体" w:cs="宋体"/>
                <w:kern w:val="0"/>
                <w:sz w:val="22"/>
              </w:rPr>
              <w:t>其中：办公用房（平方米）</w:t>
            </w:r>
          </w:p>
        </w:tc>
        <w:tc>
          <w:tcPr>
            <w:tcW w:w="1785" w:type="dxa"/>
            <w:tcBorders>
              <w:top w:val="nil"/>
              <w:left w:val="nil"/>
              <w:bottom w:val="single" w:color="auto" w:sz="4" w:space="0"/>
              <w:right w:val="single" w:color="auto" w:sz="4" w:space="0"/>
            </w:tcBorders>
            <w:vAlign w:val="center"/>
          </w:tcPr>
          <w:p>
            <w:pPr>
              <w:widowControl/>
              <w:jc w:val="center"/>
              <w:rPr>
                <w:rFonts w:ascii="宋体"/>
                <w:kern w:val="0"/>
                <w:sz w:val="22"/>
              </w:rPr>
            </w:pPr>
          </w:p>
        </w:tc>
        <w:tc>
          <w:tcPr>
            <w:tcW w:w="3604" w:type="dxa"/>
            <w:tcBorders>
              <w:top w:val="nil"/>
              <w:left w:val="nil"/>
              <w:bottom w:val="single" w:color="auto" w:sz="4" w:space="0"/>
              <w:right w:val="single" w:color="auto" w:sz="4" w:space="0"/>
            </w:tcBorders>
            <w:vAlign w:val="center"/>
          </w:tcPr>
          <w:p>
            <w:pPr>
              <w:widowControl/>
              <w:jc w:val="center"/>
              <w:rPr>
                <w:rFonts w:ascii="宋体"/>
                <w:kern w:val="0"/>
                <w:sz w:val="22"/>
              </w:rPr>
            </w:pPr>
          </w:p>
        </w:tc>
      </w:tr>
      <w:tr>
        <w:tblPrEx>
          <w:tblCellMar>
            <w:top w:w="0" w:type="dxa"/>
            <w:left w:w="108" w:type="dxa"/>
            <w:bottom w:w="0" w:type="dxa"/>
            <w:right w:w="108" w:type="dxa"/>
          </w:tblCellMar>
        </w:tblPrEx>
        <w:trPr>
          <w:trHeight w:val="645" w:hRule="atLeast"/>
        </w:trPr>
        <w:tc>
          <w:tcPr>
            <w:tcW w:w="3791"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2</w:t>
            </w:r>
            <w:r>
              <w:rPr>
                <w:rFonts w:hint="eastAsia" w:ascii="宋体" w:hAnsi="宋体" w:cs="宋体"/>
                <w:kern w:val="0"/>
                <w:sz w:val="22"/>
              </w:rPr>
              <w:t>、车辆（台、辆）</w:t>
            </w:r>
          </w:p>
        </w:tc>
        <w:tc>
          <w:tcPr>
            <w:tcW w:w="1785" w:type="dxa"/>
            <w:tcBorders>
              <w:top w:val="nil"/>
              <w:left w:val="nil"/>
              <w:bottom w:val="single" w:color="auto" w:sz="4" w:space="0"/>
              <w:right w:val="single" w:color="auto" w:sz="4" w:space="0"/>
            </w:tcBorders>
            <w:vAlign w:val="center"/>
          </w:tcPr>
          <w:p>
            <w:pPr>
              <w:widowControl/>
              <w:jc w:val="center"/>
              <w:rPr>
                <w:rFonts w:ascii="宋体"/>
                <w:kern w:val="0"/>
                <w:sz w:val="22"/>
              </w:rPr>
            </w:pPr>
          </w:p>
        </w:tc>
        <w:tc>
          <w:tcPr>
            <w:tcW w:w="3604" w:type="dxa"/>
            <w:tcBorders>
              <w:top w:val="nil"/>
              <w:left w:val="nil"/>
              <w:bottom w:val="single" w:color="auto" w:sz="4" w:space="0"/>
              <w:right w:val="single" w:color="auto" w:sz="4" w:space="0"/>
            </w:tcBorders>
            <w:vAlign w:val="center"/>
          </w:tcPr>
          <w:p>
            <w:pPr>
              <w:widowControl/>
              <w:jc w:val="center"/>
              <w:rPr>
                <w:rFonts w:ascii="宋体"/>
                <w:kern w:val="0"/>
                <w:sz w:val="22"/>
              </w:rPr>
            </w:pPr>
          </w:p>
        </w:tc>
      </w:tr>
      <w:tr>
        <w:tblPrEx>
          <w:tblCellMar>
            <w:top w:w="0" w:type="dxa"/>
            <w:left w:w="108" w:type="dxa"/>
            <w:bottom w:w="0" w:type="dxa"/>
            <w:right w:w="108" w:type="dxa"/>
          </w:tblCellMar>
        </w:tblPrEx>
        <w:trPr>
          <w:trHeight w:val="645" w:hRule="atLeast"/>
        </w:trPr>
        <w:tc>
          <w:tcPr>
            <w:tcW w:w="3791"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万元以上设备</w:t>
            </w:r>
          </w:p>
        </w:tc>
        <w:tc>
          <w:tcPr>
            <w:tcW w:w="1785"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hint="eastAsia" w:ascii="宋体"/>
                <w:kern w:val="0"/>
                <w:sz w:val="22"/>
              </w:rPr>
              <w:t>1</w:t>
            </w:r>
          </w:p>
        </w:tc>
        <w:tc>
          <w:tcPr>
            <w:tcW w:w="3604"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hint="eastAsia" w:ascii="宋体"/>
                <w:kern w:val="0"/>
                <w:sz w:val="22"/>
              </w:rPr>
              <w:t>15</w:t>
            </w:r>
          </w:p>
        </w:tc>
      </w:tr>
      <w:tr>
        <w:tblPrEx>
          <w:tblCellMar>
            <w:top w:w="0" w:type="dxa"/>
            <w:left w:w="108" w:type="dxa"/>
            <w:bottom w:w="0" w:type="dxa"/>
            <w:right w:w="108" w:type="dxa"/>
          </w:tblCellMar>
        </w:tblPrEx>
        <w:trPr>
          <w:trHeight w:val="645" w:hRule="atLeast"/>
        </w:trPr>
        <w:tc>
          <w:tcPr>
            <w:tcW w:w="3791"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4</w:t>
            </w:r>
            <w:r>
              <w:rPr>
                <w:rFonts w:hint="eastAsia" w:ascii="宋体" w:hAnsi="宋体" w:cs="宋体"/>
                <w:kern w:val="0"/>
                <w:sz w:val="22"/>
              </w:rPr>
              <w:t>、其他固定资产</w:t>
            </w:r>
          </w:p>
        </w:tc>
        <w:tc>
          <w:tcPr>
            <w:tcW w:w="1785"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hAnsi="宋体" w:cs="宋体"/>
                <w:kern w:val="0"/>
                <w:sz w:val="22"/>
              </w:rPr>
              <w:t>——</w:t>
            </w:r>
          </w:p>
        </w:tc>
        <w:tc>
          <w:tcPr>
            <w:tcW w:w="3604" w:type="dxa"/>
            <w:tcBorders>
              <w:top w:val="nil"/>
              <w:left w:val="nil"/>
              <w:bottom w:val="single" w:color="auto" w:sz="4" w:space="0"/>
              <w:right w:val="single" w:color="auto" w:sz="4" w:space="0"/>
            </w:tcBorders>
            <w:vAlign w:val="center"/>
          </w:tcPr>
          <w:p>
            <w:pPr>
              <w:widowControl/>
              <w:jc w:val="center"/>
              <w:rPr>
                <w:rFonts w:ascii="宋体"/>
                <w:kern w:val="0"/>
                <w:sz w:val="22"/>
              </w:rPr>
            </w:pPr>
          </w:p>
        </w:tc>
      </w:tr>
      <w:tr>
        <w:tblPrEx>
          <w:tblCellMar>
            <w:top w:w="0" w:type="dxa"/>
            <w:left w:w="108" w:type="dxa"/>
            <w:bottom w:w="0" w:type="dxa"/>
            <w:right w:w="108" w:type="dxa"/>
          </w:tblCellMar>
        </w:tblPrEx>
        <w:trPr>
          <w:trHeight w:val="645" w:hRule="atLeast"/>
        </w:trPr>
        <w:tc>
          <w:tcPr>
            <w:tcW w:w="3791"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p>
        </w:tc>
        <w:tc>
          <w:tcPr>
            <w:tcW w:w="1785"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hAnsi="宋体" w:cs="宋体"/>
                <w:kern w:val="0"/>
                <w:sz w:val="22"/>
              </w:rPr>
              <w:t>——</w:t>
            </w:r>
          </w:p>
        </w:tc>
        <w:tc>
          <w:tcPr>
            <w:tcW w:w="3604"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hint="eastAsia" w:ascii="宋体"/>
                <w:kern w:val="0"/>
                <w:sz w:val="22"/>
              </w:rPr>
              <w:t>74</w:t>
            </w:r>
          </w:p>
        </w:tc>
      </w:tr>
    </w:tbl>
    <w:p>
      <w:pPr>
        <w:autoSpaceDE w:val="0"/>
        <w:autoSpaceDN w:val="0"/>
        <w:adjustRightInd w:val="0"/>
        <w:jc w:val="left"/>
        <w:rPr>
          <w:rFonts w:hint="eastAsia" w:ascii="黑体" w:hAnsi="黑体" w:eastAsia="黑体" w:cs="仿宋_GB2312"/>
          <w:sz w:val="32"/>
          <w:szCs w:val="32"/>
        </w:rPr>
      </w:pPr>
    </w:p>
    <w:p>
      <w:pPr>
        <w:autoSpaceDE w:val="0"/>
        <w:autoSpaceDN w:val="0"/>
        <w:adjustRightInd w:val="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_GB2312" w:hAnsi="仿宋_GB2312" w:eastAsia="仿宋_GB2312" w:cs="仿宋_GB2312"/>
          <w:b/>
          <w:sz w:val="32"/>
          <w:szCs w:val="32"/>
        </w:rPr>
      </w:pPr>
      <w:r>
        <w:rPr>
          <w:rFonts w:hint="eastAsia" w:ascii="仿宋_GB2312" w:hAnsi="仿宋_GB2312" w:eastAsia="仿宋_GB2312" w:cs="仿宋_GB2312"/>
          <w:b/>
          <w:sz w:val="32"/>
          <w:szCs w:val="32"/>
        </w:rPr>
        <w:t>1.财政拨款收入</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财政拨款收入是指财政部门按照批复的预算核拨给单位的财政预算资金。</w:t>
      </w:r>
    </w:p>
    <w:p>
      <w:pPr>
        <w:ind w:firstLine="720"/>
        <w:rPr>
          <w:rFonts w:ascii="仿宋_GB2312" w:hAnsi="仿宋_GB2312" w:eastAsia="仿宋_GB2312" w:cs="仿宋_GB2312"/>
          <w:b/>
          <w:sz w:val="32"/>
          <w:szCs w:val="32"/>
        </w:rPr>
      </w:pPr>
      <w:r>
        <w:rPr>
          <w:rFonts w:hint="eastAsia" w:ascii="仿宋_GB2312" w:hAnsi="仿宋_GB2312" w:eastAsia="仿宋_GB2312" w:cs="仿宋_GB2312"/>
          <w:b/>
          <w:sz w:val="32"/>
          <w:szCs w:val="32"/>
        </w:rPr>
        <w:t>2.基本支出、项目支出</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基本支出是指预算单位为保障机构正常运转和完成日常工作而发生的各项支出，包括人员经费和日常公用经费。</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项目支出是指在基本支出之外完成特定行政任务和事业发展目标所发生的支出。</w:t>
      </w:r>
    </w:p>
    <w:p>
      <w:pPr>
        <w:ind w:firstLine="720"/>
        <w:rPr>
          <w:rFonts w:ascii="仿宋_GB2312" w:hAnsi="仿宋_GB2312" w:eastAsia="仿宋_GB2312" w:cs="仿宋_GB2312"/>
          <w:b/>
          <w:sz w:val="32"/>
          <w:szCs w:val="32"/>
        </w:rPr>
      </w:pPr>
      <w:r>
        <w:rPr>
          <w:rFonts w:hint="eastAsia" w:ascii="仿宋_GB2312" w:hAnsi="仿宋_GB2312" w:eastAsia="仿宋_GB2312" w:cs="仿宋_GB2312"/>
          <w:b/>
          <w:sz w:val="32"/>
          <w:szCs w:val="32"/>
        </w:rPr>
        <w:t>3.一般公共服务支出</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一般公共服务支出是指反映预算单位一般公共服务的支出。</w:t>
      </w:r>
    </w:p>
    <w:p>
      <w:pPr>
        <w:ind w:firstLine="720"/>
        <w:rPr>
          <w:rFonts w:ascii="仿宋_GB2312" w:hAnsi="仿宋_GB2312" w:eastAsia="仿宋_GB2312" w:cs="仿宋_GB2312"/>
          <w:b/>
          <w:sz w:val="32"/>
          <w:szCs w:val="32"/>
        </w:rPr>
      </w:pPr>
      <w:r>
        <w:rPr>
          <w:rFonts w:hint="eastAsia" w:ascii="仿宋_GB2312" w:hAnsi="仿宋_GB2312" w:eastAsia="仿宋_GB2312" w:cs="仿宋_GB2312"/>
          <w:b/>
          <w:sz w:val="32"/>
          <w:szCs w:val="32"/>
        </w:rPr>
        <w:t>4.文化体育与传媒支出</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文化体育与传媒支出是指反映预算单位在文化、文物、体育、广播影视、新闻出版等方面的支出。</w:t>
      </w:r>
    </w:p>
    <w:p>
      <w:pPr>
        <w:ind w:firstLine="720"/>
        <w:rPr>
          <w:rFonts w:ascii="仿宋_GB2312" w:hAnsi="仿宋_GB2312" w:eastAsia="仿宋_GB2312" w:cs="仿宋_GB2312"/>
          <w:b/>
          <w:sz w:val="32"/>
          <w:szCs w:val="32"/>
        </w:rPr>
      </w:pPr>
      <w:r>
        <w:rPr>
          <w:rFonts w:hint="eastAsia" w:ascii="仿宋_GB2312" w:hAnsi="仿宋_GB2312" w:eastAsia="仿宋_GB2312" w:cs="仿宋_GB2312"/>
          <w:b/>
          <w:sz w:val="32"/>
          <w:szCs w:val="32"/>
        </w:rPr>
        <w:t>5.社会保障和就业支出</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社会保障和就业支出是指预算单位在社会保障和就业方面的支出。</w:t>
      </w:r>
    </w:p>
    <w:p>
      <w:pPr>
        <w:ind w:firstLine="720"/>
        <w:rPr>
          <w:rFonts w:ascii="仿宋_GB2312" w:hAnsi="仿宋_GB2312" w:eastAsia="仿宋_GB2312" w:cs="仿宋_GB2312"/>
          <w:b/>
          <w:sz w:val="32"/>
          <w:szCs w:val="32"/>
        </w:rPr>
      </w:pPr>
      <w:r>
        <w:rPr>
          <w:rFonts w:hint="eastAsia" w:ascii="仿宋_GB2312" w:hAnsi="仿宋_GB2312" w:eastAsia="仿宋_GB2312" w:cs="仿宋_GB2312"/>
          <w:b/>
          <w:sz w:val="32"/>
          <w:szCs w:val="32"/>
        </w:rPr>
        <w:t>6.机关运行经费</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_GB2312" w:hAnsi="仿宋_GB2312" w:eastAsia="仿宋_GB2312" w:cs="仿宋_GB2312"/>
          <w:b/>
          <w:sz w:val="32"/>
          <w:szCs w:val="32"/>
        </w:rPr>
      </w:pPr>
      <w:r>
        <w:rPr>
          <w:rFonts w:hint="eastAsia" w:ascii="仿宋_GB2312" w:hAnsi="仿宋_GB2312" w:eastAsia="仿宋_GB2312" w:cs="仿宋_GB2312"/>
          <w:b/>
          <w:sz w:val="32"/>
          <w:szCs w:val="32"/>
        </w:rPr>
        <w:t>7.“三公”经费</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“三公”经费是指因公出国（境）费、公务用车购置及运行维护费和公务接待费。</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因公出国（境）费是指单位公务出国（境）的国际旅费、国外城市间交通费、住宿费、伙食费、培训费、公杂费等支出。</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公务用车购置及运行维护费是指单位购置公务用车及公务用车租用费、燃料费、维修费、路桥费、保险费等支出。</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无。</w:t>
      </w:r>
    </w:p>
    <w:sectPr>
      <w:headerReference r:id="rId5" w:type="first"/>
      <w:footerReference r:id="rId8" w:type="first"/>
      <w:headerReference r:id="rId3" w:type="default"/>
      <w:footerReference r:id="rId6" w:type="default"/>
      <w:headerReference r:id="rId4" w:type="even"/>
      <w:footerReference r:id="rId7" w:type="even"/>
      <w:pgSz w:w="16839" w:h="11907" w:orient="landscape"/>
      <w:pgMar w:top="1020" w:right="1361" w:bottom="1020" w:left="136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仿宋_GBK">
    <w:altName w:val="微软雅黑"/>
    <w:panose1 w:val="00000000000000000000"/>
    <w:charset w:val="86"/>
    <w:family w:val="auto"/>
    <w:pitch w:val="default"/>
    <w:sig w:usb0="00000000" w:usb1="00000000" w:usb2="00000000" w:usb3="00000000" w:csb0="00040001" w:csb1="00000000"/>
  </w:font>
  <w:font w:name="方正小标宋_GBK">
    <w:altName w:val="宋体"/>
    <w:panose1 w:val="00000000000000000000"/>
    <w:charset w:val="86"/>
    <w:family w:val="auto"/>
    <w:pitch w:val="default"/>
    <w:sig w:usb0="00000000" w:usb1="00000000" w:usb2="00000010" w:usb3="00000000" w:csb0="00040000" w:csb1="00000000"/>
  </w:font>
  <w:font w:name="方正书宋_GBK">
    <w:altName w:val="宋体"/>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A"/>
    <w:multiLevelType w:val="singleLevel"/>
    <w:tmpl w:val="0000000A"/>
    <w:lvl w:ilvl="0" w:tentative="0">
      <w:start w:val="1"/>
      <w:numFmt w:val="chineseCounting"/>
      <w:suff w:val="nothing"/>
      <w:lvlText w:val="（%1）"/>
      <w:lvlJc w:val="left"/>
    </w:lvl>
  </w:abstractNum>
  <w:abstractNum w:abstractNumId="1">
    <w:nsid w:val="0000000B"/>
    <w:multiLevelType w:val="singleLevel"/>
    <w:tmpl w:val="0000000B"/>
    <w:lvl w:ilvl="0" w:tentative="0">
      <w:start w:val="4"/>
      <w:numFmt w:val="chineseCounting"/>
      <w:suff w:val="nothing"/>
      <w:lvlText w:val="%1、"/>
      <w:lvlJc w:val="left"/>
    </w:lvl>
  </w:abstractNum>
  <w:abstractNum w:abstractNumId="2">
    <w:nsid w:val="0000000C"/>
    <w:multiLevelType w:val="singleLevel"/>
    <w:tmpl w:val="0000000C"/>
    <w:lvl w:ilvl="0" w:tentative="0">
      <w:start w:val="2"/>
      <w:numFmt w:val="chineseCounting"/>
      <w:suff w:val="nothing"/>
      <w:lvlText w:val="（%1）"/>
      <w:lvlJc w:val="left"/>
    </w:lvl>
  </w:abstractNum>
  <w:abstractNum w:abstractNumId="3">
    <w:nsid w:val="0000000D"/>
    <w:multiLevelType w:val="singleLevel"/>
    <w:tmpl w:val="0000000D"/>
    <w:lvl w:ilvl="0" w:tentative="0">
      <w:start w:val="3"/>
      <w:numFmt w:val="chineseCounting"/>
      <w:suff w:val="nothing"/>
      <w:lvlText w:val="（%1）"/>
      <w:lvlJc w:val="left"/>
    </w:lvl>
  </w:abstractNum>
  <w:abstractNum w:abstractNumId="4">
    <w:nsid w:val="0000000E"/>
    <w:multiLevelType w:val="singleLevel"/>
    <w:tmpl w:val="0000000E"/>
    <w:lvl w:ilvl="0" w:tentative="0">
      <w:start w:val="2"/>
      <w:numFmt w:val="chineseCounting"/>
      <w:suff w:val="nothing"/>
      <w:lvlText w:val="（%1）"/>
      <w:lvlJc w:val="left"/>
    </w:lvl>
  </w:abstractNum>
  <w:num w:numId="1">
    <w:abstractNumId w:val="0"/>
  </w:num>
  <w:num w:numId="2">
    <w:abstractNumId w:val="2"/>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F434C"/>
    <w:rsid w:val="0020084C"/>
    <w:rsid w:val="00CE3D70"/>
    <w:rsid w:val="00DF434C"/>
    <w:rsid w:val="00F3181A"/>
    <w:rsid w:val="276C5C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Calibri"/>
      </w:rPr>
    </w:r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9"/>
    <w:uiPriority w:val="0"/>
    <w:pPr>
      <w:tabs>
        <w:tab w:val="center" w:pos="4153"/>
        <w:tab w:val="right" w:pos="8306"/>
      </w:tabs>
      <w:snapToGrid w:val="0"/>
      <w:jc w:val="left"/>
    </w:pPr>
    <w:rPr>
      <w:sz w:val="18"/>
      <w:szCs w:val="18"/>
    </w:rPr>
  </w:style>
  <w:style w:type="paragraph" w:styleId="3">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paragraph" w:customStyle="1" w:styleId="6">
    <w:name w:val="列出段落1"/>
    <w:basedOn w:val="1"/>
    <w:qFormat/>
    <w:uiPriority w:val="0"/>
    <w:pPr>
      <w:ind w:firstLine="420" w:firstLineChars="200"/>
    </w:pPr>
  </w:style>
  <w:style w:type="paragraph" w:customStyle="1" w:styleId="7">
    <w:name w:val="[Normal]"/>
    <w:qFormat/>
    <w:uiPriority w:val="0"/>
    <w:rPr>
      <w:rFonts w:ascii="宋体" w:hAnsi="Times New Roman" w:eastAsia="宋体" w:cs="Calibri"/>
      <w:sz w:val="24"/>
      <w:lang w:val="en-US" w:eastAsia="en-US" w:bidi="ar-SA"/>
    </w:rPr>
  </w:style>
  <w:style w:type="character" w:customStyle="1" w:styleId="8">
    <w:name w:val="页眉 Char"/>
    <w:link w:val="3"/>
    <w:semiHidden/>
    <w:qFormat/>
    <w:uiPriority w:val="0"/>
    <w:rPr>
      <w:rFonts w:ascii="Times New Roman" w:hAnsi="Times New Roman" w:eastAsia="宋体" w:cs="Times New Roman"/>
      <w:sz w:val="18"/>
      <w:szCs w:val="18"/>
    </w:rPr>
  </w:style>
  <w:style w:type="character" w:customStyle="1" w:styleId="9">
    <w:name w:val="页脚 Char"/>
    <w:link w:val="2"/>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10</Pages>
  <Words>603</Words>
  <Characters>3440</Characters>
  <Lines>28</Lines>
  <Paragraphs>8</Paragraphs>
  <TotalTime>21</TotalTime>
  <ScaleCrop>false</ScaleCrop>
  <LinksUpToDate>false</LinksUpToDate>
  <CharactersWithSpaces>4035</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2017-08-23T01:42:00Z</dcterms:created>
  <dc:creator>微软用户</dc:creator>
  <cp:lastModifiedBy>Administrator</cp:lastModifiedBy>
  <dcterms:modified xsi:type="dcterms:W3CDTF">2024-01-15T07:05:31Z</dcterms:modified>
  <dc:title>微软用户</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