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6" w:name="_GoBack"/>
      <w:bookmarkEnd w:id="6"/>
      <w:r>
        <w:rPr>
          <w:rFonts w:hint="eastAsia" w:ascii="方正小标宋_GBK" w:hAnsi="Times New Roman" w:eastAsia="方正小标宋_GBK" w:cs="Times New Roman"/>
          <w:bCs/>
          <w:sz w:val="44"/>
          <w:szCs w:val="44"/>
        </w:rPr>
        <w:t>南流乡</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《中华人民共和国预算法》</w:t>
      </w:r>
      <w:r>
        <w:rPr>
          <w:rFonts w:hint="eastAsia" w:ascii="仿宋_GB2312" w:hAnsi="仿宋_GB2312" w:eastAsia="仿宋_GB2312" w:cs="仿宋_GB2312"/>
          <w:sz w:val="32"/>
          <w:szCs w:val="32"/>
        </w:rPr>
        <w:t>、《地方预决算公开操作规程》和《河北省省级预算公开办法》规定，现将2020年部门预算公开如下：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根据《南流乡职能配置、内设机构和人员编制规定》， 南流乡的主要职责是：</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是促进经济发展、增加农民收入。搞好本乡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和供销社等部门，培育和发展农村经济合作组织(各种协会及中介组织)；配合农口部门做好农业技术推广和服务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二是加强社会管理，营建</w:t>
      </w:r>
      <w:r>
        <w:rPr>
          <w:rFonts w:hint="eastAsia" w:ascii="Times New Roman" w:hAnsi="Times New Roman" w:eastAsia="仿宋" w:cs="Times New Roman"/>
          <w:sz w:val="32"/>
          <w:szCs w:val="32"/>
          <w:lang w:eastAsia="zh-CN"/>
        </w:rPr>
        <w:t>和谐社会</w:t>
      </w:r>
      <w:r>
        <w:rPr>
          <w:rFonts w:hint="eastAsia" w:ascii="Times New Roman" w:hAnsi="Times New Roman" w:eastAsia="仿宋" w:cs="Times New Roman"/>
          <w:sz w:val="32"/>
          <w:szCs w:val="32"/>
        </w:rP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ascii="Times New Roman" w:hAnsi="Times New Roman" w:eastAsia="仿宋" w:cs="Times New Roman"/>
          <w:sz w:val="32"/>
          <w:szCs w:val="32"/>
          <w:lang w:eastAsia="zh-CN"/>
        </w:rPr>
        <w:t>和谐社会</w:t>
      </w:r>
      <w:r>
        <w:rPr>
          <w:rFonts w:hint="eastAsia" w:ascii="Times New Roman" w:hAnsi="Times New Roman" w:eastAsia="仿宋" w:cs="Times New Roman"/>
          <w:sz w:val="32"/>
          <w:szCs w:val="32"/>
        </w:rPr>
        <w:t>的具体措施，并抓好组织实施。配合城建、</w:t>
      </w:r>
      <w:r>
        <w:rPr>
          <w:rFonts w:hint="eastAsia" w:ascii="Times New Roman" w:hAnsi="Times New Roman" w:eastAsia="仿宋" w:cs="Times New Roman"/>
          <w:sz w:val="32"/>
          <w:szCs w:val="32"/>
          <w:lang w:eastAsia="zh-CN"/>
        </w:rPr>
        <w:t>国土资源部</w:t>
      </w:r>
      <w:r>
        <w:rPr>
          <w:rFonts w:hint="eastAsia" w:ascii="Times New Roman" w:hAnsi="Times New Roman" w:eastAsia="仿宋" w:cs="Times New Roman"/>
          <w:sz w:val="32"/>
          <w:szCs w:val="32"/>
        </w:rP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line="500" w:lineRule="exact"/>
        <w:ind w:firstLine="560" w:firstLineChars="200"/>
        <w:jc w:val="left"/>
        <w:rPr>
          <w:rFonts w:eastAsia="方正仿宋_GBK"/>
          <w:sz w:val="28"/>
        </w:rPr>
      </w:pPr>
    </w:p>
    <w:p>
      <w:pPr>
        <w:ind w:firstLine="643" w:firstLineChars="200"/>
        <w:rPr>
          <w:rFonts w:ascii="仿宋" w:hAnsi="仿宋" w:eastAsia="仿宋" w:cs="Times New Roman"/>
          <w:b/>
          <w:color w:val="000000"/>
          <w:sz w:val="32"/>
          <w:szCs w:val="32"/>
        </w:rPr>
      </w:pPr>
      <w:r>
        <w:rPr>
          <w:rFonts w:hint="eastAsia" w:ascii="仿宋" w:hAnsi="仿宋" w:eastAsia="仿宋" w:cs="Times New Roman"/>
          <w:b/>
          <w:color w:val="000000"/>
          <w:sz w:val="32"/>
          <w:szCs w:val="32"/>
        </w:rPr>
        <w:t>机构设置：</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按照“三定”方案要求，本部门分别设置：无极县南流乡政府机关（行政）、无极县南流乡共产党机关（行政）、无极县南流乡财政部门、无极县南流乡计生部门，以上均为全额拨款单位。</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南流乡机构设置见下表：</w:t>
      </w:r>
    </w:p>
    <w:tbl>
      <w:tblPr>
        <w:tblStyle w:val="7"/>
        <w:tblW w:w="8760" w:type="dxa"/>
        <w:tblInd w:w="93" w:type="dxa"/>
        <w:tblLayout w:type="fixed"/>
        <w:tblCellMar>
          <w:top w:w="0" w:type="dxa"/>
          <w:left w:w="108" w:type="dxa"/>
          <w:bottom w:w="0" w:type="dxa"/>
          <w:right w:w="108" w:type="dxa"/>
        </w:tblCellMar>
      </w:tblPr>
      <w:tblGrid>
        <w:gridCol w:w="3481"/>
        <w:gridCol w:w="1099"/>
        <w:gridCol w:w="1320"/>
        <w:gridCol w:w="2860"/>
      </w:tblGrid>
      <w:tr>
        <w:tblPrEx>
          <w:tblCellMar>
            <w:top w:w="0" w:type="dxa"/>
            <w:left w:w="108" w:type="dxa"/>
            <w:bottom w:w="0" w:type="dxa"/>
            <w:right w:w="108" w:type="dxa"/>
          </w:tblCellMar>
        </w:tblPrEx>
        <w:trPr>
          <w:trHeight w:val="495" w:hRule="atLeast"/>
        </w:trPr>
        <w:tc>
          <w:tcPr>
            <w:tcW w:w="4580" w:type="dxa"/>
            <w:gridSpan w:val="2"/>
            <w:tcBorders>
              <w:top w:val="nil"/>
              <w:left w:val="nil"/>
              <w:bottom w:val="nil"/>
              <w:right w:val="nil"/>
            </w:tcBorders>
            <w:shd w:val="clear" w:color="auto" w:fill="auto"/>
            <w:vAlign w:val="center"/>
          </w:tcPr>
          <w:p>
            <w:pPr>
              <w:widowControl/>
              <w:spacing w:line="560" w:lineRule="exact"/>
              <w:jc w:val="left"/>
              <w:rPr>
                <w:rFonts w:ascii="宋体" w:hAnsi="宋体" w:cs="宋体"/>
                <w:kern w:val="0"/>
                <w:sz w:val="24"/>
              </w:rPr>
            </w:pPr>
            <w:r>
              <w:rPr>
                <w:rFonts w:hint="eastAsia" w:ascii="宋体" w:hAnsi="宋体" w:cs="宋体"/>
                <w:kern w:val="0"/>
                <w:sz w:val="24"/>
              </w:rPr>
              <w:t xml:space="preserve">  </w:t>
            </w:r>
          </w:p>
        </w:tc>
        <w:tc>
          <w:tcPr>
            <w:tcW w:w="1320" w:type="dxa"/>
            <w:tcBorders>
              <w:top w:val="nil"/>
              <w:left w:val="nil"/>
              <w:bottom w:val="nil"/>
              <w:right w:val="nil"/>
            </w:tcBorders>
            <w:shd w:val="clear" w:color="auto" w:fill="auto"/>
            <w:vAlign w:val="center"/>
          </w:tcPr>
          <w:p>
            <w:pPr>
              <w:widowControl/>
              <w:spacing w:line="560" w:lineRule="exact"/>
              <w:jc w:val="left"/>
              <w:rPr>
                <w:rFonts w:ascii="宋体" w:hAnsi="宋体" w:cs="宋体"/>
                <w:kern w:val="0"/>
                <w:sz w:val="24"/>
              </w:rPr>
            </w:pPr>
          </w:p>
        </w:tc>
        <w:tc>
          <w:tcPr>
            <w:tcW w:w="2860" w:type="dxa"/>
            <w:tcBorders>
              <w:top w:val="nil"/>
              <w:left w:val="nil"/>
              <w:bottom w:val="nil"/>
              <w:right w:val="nil"/>
            </w:tcBorders>
            <w:shd w:val="clear" w:color="auto" w:fill="auto"/>
            <w:vAlign w:val="center"/>
          </w:tcPr>
          <w:p>
            <w:pPr>
              <w:widowControl/>
              <w:spacing w:line="560" w:lineRule="exact"/>
              <w:jc w:val="left"/>
              <w:rPr>
                <w:rFonts w:ascii="宋体" w:hAnsi="宋体" w:cs="宋体"/>
                <w:kern w:val="0"/>
                <w:sz w:val="24"/>
              </w:rPr>
            </w:pPr>
          </w:p>
        </w:tc>
      </w:tr>
      <w:tr>
        <w:tblPrEx>
          <w:tblCellMar>
            <w:top w:w="0" w:type="dxa"/>
            <w:left w:w="108" w:type="dxa"/>
            <w:bottom w:w="0" w:type="dxa"/>
            <w:right w:w="108" w:type="dxa"/>
          </w:tblCellMar>
        </w:tblPrEx>
        <w:trPr>
          <w:trHeight w:val="495" w:hRule="atLeast"/>
        </w:trPr>
        <w:tc>
          <w:tcPr>
            <w:tcW w:w="8760" w:type="dxa"/>
            <w:gridSpan w:val="4"/>
            <w:tcBorders>
              <w:top w:val="nil"/>
              <w:left w:val="nil"/>
              <w:bottom w:val="nil"/>
              <w:right w:val="nil"/>
            </w:tcBorders>
            <w:shd w:val="clear" w:color="auto" w:fill="auto"/>
            <w:vAlign w:val="center"/>
          </w:tcPr>
          <w:p>
            <w:pPr>
              <w:widowControl/>
              <w:spacing w:line="560" w:lineRule="exact"/>
              <w:jc w:val="center"/>
              <w:rPr>
                <w:rFonts w:ascii="宋体" w:hAnsi="宋体" w:cs="宋体"/>
                <w:b/>
                <w:bCs/>
                <w:kern w:val="0"/>
                <w:sz w:val="36"/>
                <w:szCs w:val="36"/>
              </w:rPr>
            </w:pPr>
            <w:r>
              <w:rPr>
                <w:rFonts w:hint="eastAsia" w:ascii="宋体" w:hAnsi="宋体" w:cs="宋体"/>
                <w:b/>
                <w:bCs/>
                <w:kern w:val="0"/>
                <w:sz w:val="36"/>
                <w:szCs w:val="36"/>
              </w:rPr>
              <w:t>部门机构设置情况</w:t>
            </w:r>
          </w:p>
        </w:tc>
      </w:tr>
      <w:tr>
        <w:tblPrEx>
          <w:tblCellMar>
            <w:top w:w="0" w:type="dxa"/>
            <w:left w:w="108" w:type="dxa"/>
            <w:bottom w:w="0" w:type="dxa"/>
            <w:right w:w="108" w:type="dxa"/>
          </w:tblCellMar>
        </w:tblPrEx>
        <w:trPr>
          <w:trHeight w:val="435" w:hRule="atLeast"/>
        </w:trPr>
        <w:tc>
          <w:tcPr>
            <w:tcW w:w="348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单位名称</w:t>
            </w:r>
          </w:p>
        </w:tc>
        <w:tc>
          <w:tcPr>
            <w:tcW w:w="1099" w:type="dxa"/>
            <w:tcBorders>
              <w:top w:val="single" w:color="auto" w:sz="4" w:space="0"/>
              <w:left w:val="nil"/>
              <w:bottom w:val="single" w:color="auto" w:sz="4" w:space="0"/>
              <w:right w:val="single" w:color="auto" w:sz="4" w:space="0"/>
            </w:tcBorders>
            <w:shd w:val="clear" w:color="auto" w:fill="auto"/>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单位性质</w:t>
            </w:r>
          </w:p>
        </w:tc>
        <w:tc>
          <w:tcPr>
            <w:tcW w:w="1320" w:type="dxa"/>
            <w:tcBorders>
              <w:top w:val="single" w:color="auto" w:sz="4" w:space="0"/>
              <w:left w:val="nil"/>
              <w:bottom w:val="single" w:color="auto" w:sz="4" w:space="0"/>
              <w:right w:val="single" w:color="auto" w:sz="4" w:space="0"/>
            </w:tcBorders>
            <w:shd w:val="clear" w:color="auto" w:fill="auto"/>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单位规格</w:t>
            </w:r>
          </w:p>
        </w:tc>
        <w:tc>
          <w:tcPr>
            <w:tcW w:w="2860" w:type="dxa"/>
            <w:tcBorders>
              <w:top w:val="single" w:color="auto" w:sz="4" w:space="0"/>
              <w:left w:val="nil"/>
              <w:bottom w:val="single" w:color="auto" w:sz="4" w:space="0"/>
              <w:right w:val="single" w:color="auto" w:sz="4" w:space="0"/>
            </w:tcBorders>
            <w:shd w:val="clear" w:color="auto" w:fill="auto"/>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经费保障形式</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无极县南流乡政府机关</w:t>
            </w:r>
          </w:p>
        </w:tc>
        <w:tc>
          <w:tcPr>
            <w:tcW w:w="1099"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无极县南流乡共产党机关</w:t>
            </w:r>
          </w:p>
        </w:tc>
        <w:tc>
          <w:tcPr>
            <w:tcW w:w="1099"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无极县南流乡财政部门</w:t>
            </w:r>
          </w:p>
        </w:tc>
        <w:tc>
          <w:tcPr>
            <w:tcW w:w="1099"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p>
        </w:tc>
        <w:tc>
          <w:tcPr>
            <w:tcW w:w="1320"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60"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无极县南流乡计生部门</w:t>
            </w:r>
          </w:p>
        </w:tc>
        <w:tc>
          <w:tcPr>
            <w:tcW w:w="1099"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p>
        </w:tc>
        <w:tc>
          <w:tcPr>
            <w:tcW w:w="1320"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60" w:type="dxa"/>
            <w:tcBorders>
              <w:top w:val="nil"/>
              <w:left w:val="nil"/>
              <w:bottom w:val="single" w:color="auto" w:sz="4" w:space="0"/>
              <w:right w:val="single" w:color="auto" w:sz="4" w:space="0"/>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750" w:hRule="atLeast"/>
        </w:trPr>
        <w:tc>
          <w:tcPr>
            <w:tcW w:w="8760" w:type="dxa"/>
            <w:gridSpan w:val="4"/>
            <w:tcBorders>
              <w:top w:val="nil"/>
              <w:left w:val="nil"/>
              <w:bottom w:val="nil"/>
              <w:right w:val="nil"/>
            </w:tcBorders>
            <w:shd w:val="clear" w:color="auto" w:fill="auto"/>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备注：乡镇没有下属单位，按职能划分为政府、党委、财政、计生等部门，预决算统一在政府编制。</w:t>
            </w:r>
          </w:p>
        </w:tc>
      </w:tr>
    </w:tbl>
    <w:p>
      <w:pPr>
        <w:ind w:firstLine="640"/>
        <w:rPr>
          <w:rFonts w:ascii="黑体" w:hAnsi="黑体" w:eastAsia="黑体" w:cs="Times New Roman"/>
          <w:color w:val="000000"/>
          <w:sz w:val="32"/>
          <w:szCs w:val="32"/>
        </w:rPr>
      </w:pPr>
      <w:r>
        <w:rPr>
          <w:rFonts w:hint="eastAsia" w:ascii="黑体" w:hAnsi="黑体" w:eastAsia="黑体" w:cs="Times New Roman"/>
          <w:color w:val="000000"/>
          <w:sz w:val="32"/>
          <w:szCs w:val="32"/>
        </w:rPr>
        <w:t>二、部门预算安排的总体情况</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1、</w:t>
      </w:r>
      <w:r>
        <w:rPr>
          <w:rFonts w:ascii="Times New Roman" w:hAnsi="Times New Roman" w:eastAsia="仿宋" w:cs="Times New Roman"/>
          <w:color w:val="000000"/>
          <w:sz w:val="32"/>
          <w:szCs w:val="32"/>
        </w:rPr>
        <w:t>收入说明</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2020年预算收入457.20万元，其中：一般公共预算收入457.20万元，其他来源收入0万元。</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w:t>
      </w:r>
      <w:r>
        <w:rPr>
          <w:rFonts w:ascii="Times New Roman" w:hAnsi="Times New Roman" w:eastAsia="仿宋" w:cs="Times New Roman"/>
          <w:color w:val="000000"/>
          <w:sz w:val="32"/>
          <w:szCs w:val="32"/>
        </w:rPr>
        <w:t>支出说明</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收支预算总表支出栏、基本支出表、项目支出表按经济分类和支出功能分类科目编制，反映年度部门预算中支出预算的总体情况。2020年部门支出预算为457.20万元，其中基本支出457.20万元，包括人员经费407.20万元和日常公用经费50万元；其他支出0万元。</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3、</w:t>
      </w:r>
      <w:r>
        <w:rPr>
          <w:rFonts w:ascii="Times New Roman" w:hAnsi="Times New Roman" w:eastAsia="仿宋" w:cs="Times New Roman"/>
          <w:color w:val="000000"/>
          <w:sz w:val="32"/>
          <w:szCs w:val="32"/>
        </w:rPr>
        <w:t>比上年增减情况</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2020年部门预算收支安排457.2万元，较2019年减少139.7万元，其中：基本支出增加66.8万元，主要是日常公用经费增加；项目支出减少206.5万元，主要是无预算项目支出。</w:t>
      </w:r>
    </w:p>
    <w:p>
      <w:pPr>
        <w:autoSpaceDE w:val="0"/>
        <w:autoSpaceDN w:val="0"/>
        <w:adjustRightInd w:val="0"/>
        <w:ind w:firstLine="960" w:firstLineChars="30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2020年，我部门机关运行经费共计安排50万元，主要用于保证机关正常运转的办公费及印刷费、邮电费、差旅费、水电费、取暖费、公务车运行维护费等支出。</w:t>
      </w:r>
    </w:p>
    <w:p>
      <w:pPr>
        <w:autoSpaceDE w:val="0"/>
        <w:autoSpaceDN w:val="0"/>
        <w:adjustRightInd w:val="0"/>
        <w:ind w:left="198" w:firstLine="640" w:firstLineChars="20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四、财政拨款</w:t>
      </w:r>
      <w:r>
        <w:rPr>
          <w:rFonts w:ascii="黑体" w:hAnsi="黑体" w:eastAsia="黑体" w:cs="Times New Roman"/>
          <w:color w:val="000000"/>
          <w:sz w:val="32"/>
          <w:szCs w:val="32"/>
        </w:rPr>
        <w:t>“</w:t>
      </w:r>
      <w:r>
        <w:rPr>
          <w:rFonts w:hint="eastAsia" w:ascii="黑体" w:hAnsi="黑体" w:eastAsia="黑体" w:cs="Times New Roman"/>
          <w:color w:val="000000"/>
          <w:sz w:val="32"/>
          <w:szCs w:val="32"/>
        </w:rPr>
        <w:t>三公</w:t>
      </w:r>
      <w:r>
        <w:rPr>
          <w:rFonts w:ascii="黑体" w:hAnsi="黑体" w:eastAsia="黑体" w:cs="Times New Roman"/>
          <w:color w:val="000000"/>
          <w:sz w:val="32"/>
          <w:szCs w:val="32"/>
        </w:rPr>
        <w:t>”</w:t>
      </w:r>
      <w:r>
        <w:rPr>
          <w:rFonts w:hint="eastAsia" w:ascii="黑体" w:hAnsi="黑体" w:eastAsia="黑体" w:cs="Times New Roman"/>
          <w:color w:val="000000"/>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我部门财政拨款“三公”经费预算安排3万元，其中：因公出国（境）费0万元；公务用车购置及运维费3万元（其中：公务用车购置费0万元，公务用车运行维护费3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五、预算绩效信息</w:t>
      </w:r>
    </w:p>
    <w:p>
      <w:pPr>
        <w:ind w:firstLine="643" w:firstLineChars="200"/>
        <w:jc w:val="left"/>
        <w:rPr>
          <w:rFonts w:ascii="Times New Roman" w:hAnsi="Times New Roman" w:eastAsia="仿宋" w:cs="Times New Roman"/>
          <w:color w:val="000000"/>
          <w:sz w:val="32"/>
          <w:szCs w:val="32"/>
        </w:rPr>
      </w:pPr>
      <w:bookmarkStart w:id="0" w:name="_Toc471398463"/>
      <w:r>
        <w:rPr>
          <w:rFonts w:hint="eastAsia" w:ascii="Times New Roman" w:hAnsi="Times New Roman" w:eastAsia="方正仿宋_GBK" w:cs="Times New Roman"/>
          <w:b/>
          <w:color w:val="000000"/>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color w:val="000000"/>
          <w:sz w:val="32"/>
          <w:szCs w:val="32"/>
        </w:rPr>
      </w:pPr>
      <w:r>
        <w:rPr>
          <w:rFonts w:hint="eastAsia" w:ascii="Times New Roman" w:hAnsi="Times New Roman" w:eastAsia="方正仿宋_GBK" w:cs="Times New Roman"/>
          <w:b/>
          <w:color w:val="000000"/>
          <w:sz w:val="32"/>
          <w:szCs w:val="32"/>
        </w:rPr>
        <w:t>（一）总体绩效目标</w:t>
      </w:r>
      <w:r>
        <w:rPr>
          <w:rFonts w:hint="eastAsia" w:ascii="Times New Roman" w:hAnsi="Times New Roman" w:eastAsia="方正仿宋_GBK" w:cs="Times New Roman"/>
          <w:b/>
          <w:color w:val="000000"/>
          <w:sz w:val="32"/>
          <w:szCs w:val="32"/>
        </w:rPr>
        <w:fldChar w:fldCharType="begin"/>
      </w:r>
      <w:r>
        <w:rPr>
          <w:rFonts w:hint="eastAsia" w:ascii="Times New Roman" w:hAnsi="Times New Roman" w:eastAsia="方正仿宋_GBK" w:cs="Times New Roman"/>
          <w:b/>
          <w:color w:val="000000"/>
          <w:sz w:val="32"/>
          <w:szCs w:val="32"/>
        </w:rPr>
        <w:instrText xml:space="preserve"> TC </w:instrText>
      </w:r>
      <w:bookmarkStart w:id="1" w:name="_Toc29484628"/>
      <w:r>
        <w:rPr>
          <w:rFonts w:hint="eastAsia" w:ascii="Times New Roman" w:hAnsi="Times New Roman" w:eastAsia="方正仿宋_GBK" w:cs="Times New Roman"/>
          <w:b/>
          <w:color w:val="000000"/>
          <w:sz w:val="32"/>
          <w:szCs w:val="32"/>
        </w:rPr>
        <w:instrText xml:space="preserve">总体绩效目标</w:instrText>
      </w:r>
      <w:bookmarkEnd w:id="1"/>
      <w:r>
        <w:rPr>
          <w:rFonts w:hint="eastAsia" w:ascii="Times New Roman" w:hAnsi="Times New Roman" w:eastAsia="方正仿宋_GBK" w:cs="Times New Roman"/>
          <w:b/>
          <w:color w:val="000000"/>
          <w:sz w:val="32"/>
          <w:szCs w:val="32"/>
        </w:rPr>
        <w:instrText xml:space="preserve"> \f A \l 1 </w:instrText>
      </w:r>
      <w:r>
        <w:rPr>
          <w:rFonts w:hint="eastAsia" w:ascii="Times New Roman" w:hAnsi="Times New Roman" w:eastAsia="方正仿宋_GBK" w:cs="Times New Roman"/>
          <w:b/>
          <w:color w:val="000000"/>
          <w:sz w:val="32"/>
          <w:szCs w:val="32"/>
        </w:rPr>
        <w:fldChar w:fldCharType="end"/>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1．进一步转变政府职能    </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依法全面履行政府职能。注重强化社会管理职能和公共服务职能。依法加强对社会组织和社会事务的管理，妥善协调各种利益关系，增强维护公共安全和处理突发事件的能力，维护社会公正、社会秩序和社会稳定。进一步完善政府管理体制，合理划分和依法规范行政机关的职能、权限。</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2、努力提高行政效率 </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按照上级机关关于乡镇各项工作安排，进一步推进新农村建设，加快农村基础设施建设，保护农业资源，进行自然生态建设。保障便民服务中心的正常运转，宣传并落实社会救助政策，保障义务教育、信访、安全维稳、党代会、人代会、纪检监察、党建、服务群众等各项工作正常开展。  </w:t>
      </w:r>
    </w:p>
    <w:p>
      <w:pPr>
        <w:autoSpaceDE w:val="0"/>
        <w:autoSpaceDN w:val="0"/>
        <w:adjustRightInd w:val="0"/>
        <w:ind w:left="198" w:firstLine="643" w:firstLineChars="200"/>
        <w:jc w:val="left"/>
        <w:rPr>
          <w:rFonts w:ascii="Times New Roman" w:hAnsi="Times New Roman" w:eastAsia="方正仿宋_GBK" w:cs="Times New Roman"/>
          <w:b/>
          <w:color w:val="0000FF"/>
          <w:sz w:val="32"/>
          <w:szCs w:val="32"/>
        </w:rPr>
      </w:pPr>
      <w:r>
        <w:rPr>
          <w:rFonts w:hint="eastAsia" w:ascii="Times New Roman" w:hAnsi="Times New Roman" w:eastAsia="方正仿宋_GBK" w:cs="Times New Roman"/>
          <w:b/>
          <w:color w:val="000000"/>
          <w:sz w:val="32"/>
          <w:szCs w:val="32"/>
        </w:rPr>
        <w:t>（二）分项绩效目标</w:t>
      </w:r>
      <w:r>
        <w:rPr>
          <w:rFonts w:hint="eastAsia" w:ascii="Times New Roman" w:hAnsi="Times New Roman" w:eastAsia="方正仿宋_GBK" w:cs="Times New Roman"/>
          <w:b/>
          <w:color w:val="0000FF"/>
          <w:sz w:val="32"/>
          <w:szCs w:val="32"/>
        </w:rPr>
        <w:fldChar w:fldCharType="begin"/>
      </w:r>
      <w:r>
        <w:rPr>
          <w:rFonts w:hint="eastAsia" w:ascii="Times New Roman" w:hAnsi="Times New Roman" w:eastAsia="方正仿宋_GBK" w:cs="Times New Roman"/>
          <w:b/>
          <w:color w:val="0000FF"/>
          <w:sz w:val="32"/>
          <w:szCs w:val="32"/>
        </w:rPr>
        <w:instrText xml:space="preserve"> TC </w:instrText>
      </w:r>
      <w:bookmarkStart w:id="2" w:name="_Toc29484629"/>
      <w:r>
        <w:rPr>
          <w:rFonts w:hint="eastAsia" w:ascii="Times New Roman" w:hAnsi="Times New Roman" w:eastAsia="方正仿宋_GBK" w:cs="Times New Roman"/>
          <w:b/>
          <w:color w:val="0000FF"/>
          <w:sz w:val="32"/>
          <w:szCs w:val="32"/>
        </w:rPr>
        <w:instrText xml:space="preserve">分项绩效目标</w:instrText>
      </w:r>
      <w:bookmarkEnd w:id="2"/>
      <w:r>
        <w:rPr>
          <w:rFonts w:hint="eastAsia" w:ascii="Times New Roman" w:hAnsi="Times New Roman" w:eastAsia="方正仿宋_GBK" w:cs="Times New Roman"/>
          <w:b/>
          <w:color w:val="0000FF"/>
          <w:sz w:val="32"/>
          <w:szCs w:val="32"/>
        </w:rPr>
        <w:instrText xml:space="preserve"> \f A \l 1 </w:instrText>
      </w:r>
      <w:r>
        <w:rPr>
          <w:rFonts w:hint="eastAsia" w:ascii="Times New Roman" w:hAnsi="Times New Roman" w:eastAsia="方正仿宋_GBK" w:cs="Times New Roman"/>
          <w:b/>
          <w:color w:val="0000FF"/>
          <w:sz w:val="32"/>
          <w:szCs w:val="32"/>
        </w:rPr>
        <w:fldChar w:fldCharType="end"/>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1.保障乡政府领导和机关工作办公环境的措施，提升了服务管理水平，保障了乡领导和机关工作的正常运行。</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绩效目标：保障办公机关正常运行。</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绩效指标：综合事务管理工作完成率95%以上。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2.乡镇的信息化建设和维护，平稳推进信访工作和新闻宣传工作。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绩效目标：确保新闻宣传工作正常开展，信息系统运行正常，机关基础设施运转良好，信访工作平稳。机关文书档案印信管理和保密，机关人事、离退休人员服务、基建、后勤服务。</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绩效指标：综合事务管理工作完成率90%以上。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3.按照统筹城乡发展的要求，组织实施农村面貌改造提升行动，加快社会主义新农村建设。</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绩效目标：通过实施农村面貌改造提升行动，加快农村基础设施建设，改善农村环境面貌，提升农民生产生活条件。</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绩效指标：改造提升完成率90%以上。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4.开展党风党纪教育，加强党内监督。</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绩效指标：廉政教育与党内监督工作完成率95%以上。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5.改善农村卫生情况。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绩效目标：建制村环境整治任务，保障乡村卫生，经过整治的村庄人居环境质量明显提升。</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绩效指标：保证乡整体卫生，十二村生活垃圾均得到有效处理，保证村容村貌干净整洁，环境宜居。</w:t>
      </w:r>
    </w:p>
    <w:p>
      <w:pPr>
        <w:autoSpaceDE w:val="0"/>
        <w:autoSpaceDN w:val="0"/>
        <w:adjustRightInd w:val="0"/>
        <w:ind w:left="198" w:firstLine="643" w:firstLineChars="200"/>
        <w:jc w:val="left"/>
        <w:rPr>
          <w:rFonts w:ascii="Times New Roman" w:hAnsi="Times New Roman" w:eastAsia="方正仿宋_GBK" w:cs="Times New Roman"/>
          <w:b/>
          <w:color w:val="0000FF"/>
          <w:sz w:val="32"/>
          <w:szCs w:val="32"/>
        </w:rPr>
      </w:pPr>
      <w:r>
        <w:rPr>
          <w:rFonts w:hint="eastAsia" w:ascii="Times New Roman" w:hAnsi="Times New Roman" w:eastAsia="方正仿宋_GBK" w:cs="Times New Roman"/>
          <w:b/>
          <w:color w:val="000000"/>
          <w:sz w:val="32"/>
          <w:szCs w:val="32"/>
        </w:rPr>
        <w:t>（三）工作保障措施</w:t>
      </w:r>
      <w:r>
        <w:rPr>
          <w:rFonts w:hint="eastAsia" w:ascii="Times New Roman" w:hAnsi="Times New Roman" w:eastAsia="方正仿宋_GBK" w:cs="Times New Roman"/>
          <w:b/>
          <w:color w:val="0000FF"/>
          <w:sz w:val="32"/>
          <w:szCs w:val="32"/>
        </w:rPr>
        <w:fldChar w:fldCharType="begin"/>
      </w:r>
      <w:r>
        <w:rPr>
          <w:rFonts w:hint="eastAsia" w:ascii="Times New Roman" w:hAnsi="Times New Roman" w:eastAsia="方正仿宋_GBK" w:cs="Times New Roman"/>
          <w:b/>
          <w:color w:val="0000FF"/>
          <w:sz w:val="32"/>
          <w:szCs w:val="32"/>
        </w:rPr>
        <w:instrText xml:space="preserve"> TC </w:instrText>
      </w:r>
      <w:bookmarkStart w:id="3" w:name="_Toc29484630"/>
      <w:r>
        <w:rPr>
          <w:rFonts w:hint="eastAsia" w:ascii="Times New Roman" w:hAnsi="Times New Roman" w:eastAsia="方正仿宋_GBK" w:cs="Times New Roman"/>
          <w:b/>
          <w:color w:val="0000FF"/>
          <w:sz w:val="32"/>
          <w:szCs w:val="32"/>
        </w:rPr>
        <w:instrText xml:space="preserve">工作保障措施</w:instrText>
      </w:r>
      <w:bookmarkEnd w:id="3"/>
      <w:r>
        <w:rPr>
          <w:rFonts w:hint="eastAsia" w:ascii="Times New Roman" w:hAnsi="Times New Roman" w:eastAsia="方正仿宋_GBK" w:cs="Times New Roman"/>
          <w:b/>
          <w:color w:val="0000FF"/>
          <w:sz w:val="32"/>
          <w:szCs w:val="32"/>
        </w:rPr>
        <w:instrText xml:space="preserve"> \f A \l 1 </w:instrText>
      </w:r>
      <w:r>
        <w:rPr>
          <w:rFonts w:hint="eastAsia" w:ascii="Times New Roman" w:hAnsi="Times New Roman" w:eastAsia="方正仿宋_GBK" w:cs="Times New Roman"/>
          <w:b/>
          <w:color w:val="0000FF"/>
          <w:sz w:val="32"/>
          <w:szCs w:val="32"/>
        </w:rPr>
        <w:fldChar w:fldCharType="end"/>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1.完善制度建设。制定完善预算绩效管理制度、资金管理办法、工作保障制度等，为全年预算绩效目标的实现奠定制度基础。</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2.加强支出管理。优化支出结构、编细编实预算、加快履行政府采购手续、尽快启动项目、及时支付资金、按规定及时下达资金等多种措施，确保支出进度达标。</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3.加强绩效运行监控。按要求开展绩效运行监控，发现问题及时采取措施，确保绩效目标如期保质实现。</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4.做好绩效自评。按要求开展上年度部门预算绩效自评和重点评价工作，对评价中发现的问题及时整改，调整优化支出结构，提高财政资金使用效益。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5.规范财务资产管理。完善财务管理制度，严格审批程序，加强固定资产登记、使用和报废处置管理，做到支出合理，物尽其用。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7.加强宣传培训调研等。加强人员培训，提高本部门职工业务素质；加强调研，提出优化财政资金配置、提高资金使用效益的意见意见；加大宣传力度，强化预算绩效管理意识，促进预算绩效管理水平进一步提升。</w:t>
      </w:r>
    </w:p>
    <w:p>
      <w:pPr>
        <w:rPr>
          <w:rFonts w:ascii="Times New Roman" w:hAnsi="Times New Roman" w:eastAsia="方正仿宋_GBK" w:cs="Times New Roman"/>
          <w:b/>
          <w:color w:val="000000"/>
          <w:sz w:val="32"/>
          <w:szCs w:val="32"/>
        </w:rPr>
      </w:pPr>
      <w:r>
        <w:rPr>
          <w:rFonts w:hint="eastAsia" w:ascii="Times New Roman" w:hAnsi="Times New Roman" w:eastAsia="方正仿宋_GBK" w:cs="Times New Roman"/>
          <w:b/>
          <w:color w:val="000000"/>
          <w:sz w:val="32"/>
          <w:szCs w:val="32"/>
        </w:rPr>
        <w:t>第二部分  预算项目绩效目标</w:t>
      </w:r>
    </w:p>
    <w:p>
      <w:pPr>
        <w:ind w:firstLine="640" w:firstLineChars="200"/>
        <w:outlineLvl w:val="0"/>
        <w:rPr>
          <w:rFonts w:ascii="方正仿宋_GBK" w:eastAsia="方正仿宋_GBK"/>
          <w:b/>
          <w:color w:val="0000FF"/>
          <w:sz w:val="28"/>
        </w:rPr>
      </w:pPr>
      <w:r>
        <w:rPr>
          <w:rFonts w:ascii="Times New Roman" w:hAnsi="Times New Roman" w:eastAsia="仿宋" w:cs="Times New Roman"/>
          <w:color w:val="000000"/>
          <w:sz w:val="32"/>
          <w:szCs w:val="24"/>
        </w:rPr>
        <w:t>20</w:t>
      </w:r>
      <w:r>
        <w:rPr>
          <w:rFonts w:hint="eastAsia" w:ascii="Times New Roman" w:hAnsi="Times New Roman" w:eastAsia="仿宋" w:cs="Times New Roman"/>
          <w:color w:val="000000"/>
          <w:sz w:val="32"/>
          <w:szCs w:val="24"/>
        </w:rPr>
        <w:t>20</w:t>
      </w:r>
      <w:r>
        <w:rPr>
          <w:rFonts w:ascii="Times New Roman" w:hAnsi="Times New Roman" w:eastAsia="仿宋" w:cs="Times New Roman"/>
          <w:color w:val="000000"/>
          <w:sz w:val="32"/>
          <w:szCs w:val="24"/>
        </w:rPr>
        <w:t>年，</w:t>
      </w:r>
      <w:r>
        <w:rPr>
          <w:rFonts w:hint="eastAsia" w:ascii="Times New Roman" w:hAnsi="Times New Roman" w:eastAsia="仿宋" w:cs="Times New Roman"/>
          <w:color w:val="000000"/>
          <w:sz w:val="32"/>
          <w:szCs w:val="24"/>
        </w:rPr>
        <w:t>我部门无</w:t>
      </w:r>
      <w:r>
        <w:rPr>
          <w:rFonts w:ascii="Times New Roman" w:hAnsi="Times New Roman" w:eastAsia="仿宋" w:cs="Times New Roman"/>
          <w:color w:val="000000"/>
          <w:sz w:val="32"/>
          <w:szCs w:val="24"/>
        </w:rPr>
        <w:t>安排预算</w:t>
      </w:r>
      <w:r>
        <w:rPr>
          <w:rFonts w:hint="eastAsia" w:ascii="Times New Roman" w:hAnsi="Times New Roman" w:eastAsia="仿宋" w:cs="Times New Roman"/>
          <w:color w:val="000000"/>
          <w:sz w:val="32"/>
          <w:szCs w:val="24"/>
        </w:rPr>
        <w:t>项目</w:t>
      </w:r>
      <w:r>
        <w:rPr>
          <w:rFonts w:ascii="Times New Roman" w:hAnsi="Times New Roman" w:eastAsia="仿宋" w:cs="Times New Roman"/>
          <w:color w:val="000000"/>
          <w:sz w:val="32"/>
          <w:szCs w:val="24"/>
        </w:rPr>
        <w:t>。</w:t>
      </w:r>
      <w:bookmarkEnd w:id="0"/>
    </w:p>
    <w:p>
      <w:pPr>
        <w:autoSpaceDE w:val="0"/>
        <w:autoSpaceDN w:val="0"/>
        <w:adjustRightInd w:val="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六、政府采购预算情况</w:t>
      </w:r>
    </w:p>
    <w:p>
      <w:pPr>
        <w:ind w:firstLine="640" w:firstLineChars="200"/>
        <w:outlineLvl w:val="0"/>
        <w:rPr>
          <w:rFonts w:ascii="Times New Roman" w:hAnsi="Times New Roman" w:eastAsia="仿宋" w:cs="Times New Roman"/>
          <w:color w:val="000000"/>
          <w:sz w:val="32"/>
          <w:szCs w:val="24"/>
        </w:rPr>
      </w:pPr>
      <w:bookmarkStart w:id="4" w:name="_Toc471398468"/>
      <w:r>
        <w:rPr>
          <w:rFonts w:ascii="Times New Roman" w:hAnsi="Times New Roman" w:eastAsia="仿宋" w:cs="Times New Roman"/>
          <w:color w:val="000000"/>
          <w:sz w:val="32"/>
          <w:szCs w:val="24"/>
        </w:rPr>
        <w:t>20</w:t>
      </w:r>
      <w:r>
        <w:rPr>
          <w:rFonts w:hint="eastAsia" w:ascii="Times New Roman" w:hAnsi="Times New Roman" w:eastAsia="仿宋" w:cs="Times New Roman"/>
          <w:color w:val="000000"/>
          <w:sz w:val="32"/>
          <w:szCs w:val="24"/>
        </w:rPr>
        <w:t>20</w:t>
      </w:r>
      <w:r>
        <w:rPr>
          <w:rFonts w:ascii="Times New Roman" w:hAnsi="Times New Roman" w:eastAsia="仿宋" w:cs="Times New Roman"/>
          <w:color w:val="000000"/>
          <w:sz w:val="32"/>
          <w:szCs w:val="24"/>
        </w:rPr>
        <w:t>年，</w:t>
      </w:r>
      <w:r>
        <w:rPr>
          <w:rFonts w:hint="eastAsia" w:ascii="Times New Roman" w:hAnsi="Times New Roman" w:eastAsia="仿宋" w:cs="Times New Roman"/>
          <w:color w:val="000000"/>
          <w:sz w:val="32"/>
          <w:szCs w:val="24"/>
        </w:rPr>
        <w:t>我部门</w:t>
      </w:r>
      <w:r>
        <w:rPr>
          <w:rFonts w:ascii="Times New Roman" w:hAnsi="Times New Roman" w:eastAsia="仿宋" w:cs="Times New Roman"/>
          <w:color w:val="000000"/>
          <w:sz w:val="32"/>
          <w:szCs w:val="24"/>
        </w:rPr>
        <w:t>安排政府采购预算</w:t>
      </w:r>
      <w:r>
        <w:rPr>
          <w:rFonts w:hint="eastAsia" w:ascii="Times New Roman" w:hAnsi="Times New Roman" w:eastAsia="仿宋" w:cs="Times New Roman"/>
          <w:color w:val="000000"/>
          <w:sz w:val="32"/>
          <w:szCs w:val="24"/>
        </w:rPr>
        <w:t>0</w:t>
      </w:r>
      <w:r>
        <w:rPr>
          <w:rFonts w:ascii="Times New Roman" w:hAnsi="Times New Roman" w:eastAsia="仿宋" w:cs="Times New Roman"/>
          <w:color w:val="000000"/>
          <w:sz w:val="32"/>
          <w:szCs w:val="24"/>
        </w:rPr>
        <w:t>万元。</w:t>
      </w:r>
      <w:bookmarkEnd w:id="4"/>
    </w:p>
    <w:p>
      <w:pPr>
        <w:ind w:firstLine="640" w:firstLineChars="200"/>
        <w:jc w:val="center"/>
        <w:outlineLvl w:val="0"/>
        <w:rPr>
          <w:rFonts w:ascii="Times New Roman" w:hAnsi="宋体"/>
          <w:color w:val="000000"/>
          <w:sz w:val="32"/>
        </w:rPr>
      </w:pPr>
      <w:r>
        <w:rPr>
          <w:rFonts w:hint="eastAsia" w:ascii="方正小标宋_GBK" w:eastAsia="方正小标宋_GBK"/>
          <w:color w:val="000000"/>
          <w:sz w:val="32"/>
        </w:rPr>
        <w:t>部门政府采购预算</w:t>
      </w:r>
      <w:r>
        <w:rPr>
          <w:color w:val="000000"/>
        </w:rPr>
        <w:fldChar w:fldCharType="begin"/>
      </w:r>
      <w:r>
        <w:rPr>
          <w:rFonts w:ascii="方正小标宋_GBK" w:eastAsia="方正小标宋_GBK"/>
          <w:color w:val="000000"/>
          <w:sz w:val="32"/>
        </w:rPr>
        <w:instrText xml:space="preserve"> </w:instrText>
      </w:r>
      <w:r>
        <w:rPr>
          <w:rFonts w:hint="eastAsia" w:ascii="方正小标宋_GBK" w:eastAsia="方正小标宋_GBK"/>
          <w:color w:val="000000"/>
          <w:sz w:val="32"/>
        </w:rPr>
        <w:instrText xml:space="preserve">TC </w:instrText>
      </w:r>
      <w:bookmarkStart w:id="5" w:name="_Toc28848395"/>
      <w:r>
        <w:rPr>
          <w:rFonts w:hint="eastAsia" w:ascii="方正小标宋_GBK" w:eastAsia="方正小标宋_GBK"/>
          <w:color w:val="000000"/>
          <w:sz w:val="32"/>
        </w:rPr>
        <w:instrText xml:space="preserve">部门政府采购预算</w:instrText>
      </w:r>
      <w:bookmarkEnd w:id="5"/>
      <w:r>
        <w:rPr>
          <w:rFonts w:hint="eastAsia" w:ascii="方正小标宋_GBK" w:eastAsia="方正小标宋_GBK"/>
          <w:color w:val="000000"/>
          <w:sz w:val="32"/>
        </w:rPr>
        <w:instrText xml:space="preserve"> \f A \l 1</w:instrText>
      </w:r>
      <w:r>
        <w:rPr>
          <w:rFonts w:ascii="方正小标宋_GBK" w:eastAsia="方正小标宋_GBK"/>
          <w:color w:val="000000"/>
          <w:sz w:val="32"/>
        </w:rPr>
        <w:instrText xml:space="preserve"> </w:instrText>
      </w:r>
      <w:r>
        <w:rPr>
          <w:rFonts w:ascii="方正小标宋_GBK" w:eastAsia="方正小标宋_GBK"/>
          <w:color w:val="000000"/>
          <w:sz w:val="32"/>
        </w:rPr>
        <w:fldChar w:fldCharType="end"/>
      </w:r>
    </w:p>
    <w:tbl>
      <w:tblPr>
        <w:tblStyle w:val="7"/>
        <w:tblW w:w="114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1"/>
        <w:gridCol w:w="567"/>
        <w:gridCol w:w="1276"/>
        <w:gridCol w:w="1590"/>
        <w:gridCol w:w="519"/>
        <w:gridCol w:w="624"/>
        <w:gridCol w:w="726"/>
        <w:gridCol w:w="726"/>
        <w:gridCol w:w="726"/>
        <w:gridCol w:w="728"/>
        <w:gridCol w:w="830"/>
        <w:gridCol w:w="622"/>
        <w:gridCol w:w="6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tblHeader/>
          <w:jc w:val="center"/>
        </w:trPr>
        <w:tc>
          <w:tcPr>
            <w:tcW w:w="715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olor w:val="000000"/>
                <w:sz w:val="24"/>
              </w:rPr>
            </w:pPr>
            <w:r>
              <w:rPr>
                <w:rFonts w:hint="eastAsia" w:ascii="方正小标宋_GBK" w:eastAsia="方正小标宋_GBK"/>
                <w:color w:val="000000"/>
                <w:sz w:val="24"/>
              </w:rPr>
              <w:t>940南流乡人民政府</w:t>
            </w:r>
          </w:p>
        </w:tc>
        <w:tc>
          <w:tcPr>
            <w:tcW w:w="4287"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sz w:val="24"/>
              </w:rPr>
            </w:pPr>
            <w:r>
              <w:rPr>
                <w:rFonts w:hint="eastAsia" w:ascii="方正书宋_GBK" w:eastAsia="方正书宋_GBK"/>
                <w:color w:val="000000"/>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tblHeader/>
          <w:jc w:val="center"/>
        </w:trPr>
        <w:tc>
          <w:tcPr>
            <w:tcW w:w="2418" w:type="dxa"/>
            <w:gridSpan w:val="2"/>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政府采购项目来源</w:t>
            </w:r>
          </w:p>
        </w:tc>
        <w:tc>
          <w:tcPr>
            <w:tcW w:w="1276"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采购物品名称</w:t>
            </w:r>
          </w:p>
        </w:tc>
        <w:tc>
          <w:tcPr>
            <w:tcW w:w="1590"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政府采购目录序号</w:t>
            </w:r>
          </w:p>
        </w:tc>
        <w:tc>
          <w:tcPr>
            <w:tcW w:w="519"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计量  单位</w:t>
            </w:r>
          </w:p>
        </w:tc>
        <w:tc>
          <w:tcPr>
            <w:tcW w:w="624"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数量</w:t>
            </w:r>
          </w:p>
        </w:tc>
        <w:tc>
          <w:tcPr>
            <w:tcW w:w="726"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单价</w:t>
            </w:r>
          </w:p>
        </w:tc>
        <w:tc>
          <w:tcPr>
            <w:tcW w:w="4287" w:type="dxa"/>
            <w:gridSpan w:val="6"/>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4" w:hRule="atLeast"/>
          <w:tblHeader/>
          <w:jc w:val="center"/>
        </w:trPr>
        <w:tc>
          <w:tcPr>
            <w:tcW w:w="1851"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项目名称</w:t>
            </w:r>
          </w:p>
        </w:tc>
        <w:tc>
          <w:tcPr>
            <w:tcW w:w="567"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预算资金</w:t>
            </w:r>
          </w:p>
        </w:tc>
        <w:tc>
          <w:tcPr>
            <w:tcW w:w="1276" w:type="dxa"/>
            <w:vMerge w:val="continue"/>
            <w:vAlign w:val="center"/>
          </w:tcPr>
          <w:p>
            <w:pPr>
              <w:spacing w:line="300" w:lineRule="exact"/>
              <w:jc w:val="left"/>
              <w:outlineLvl w:val="0"/>
              <w:rPr>
                <w:rFonts w:ascii="Times New Roman" w:eastAsia="方正仿宋_GBK"/>
                <w:color w:val="000000"/>
                <w:sz w:val="28"/>
              </w:rPr>
            </w:pPr>
          </w:p>
        </w:tc>
        <w:tc>
          <w:tcPr>
            <w:tcW w:w="1590" w:type="dxa"/>
            <w:vMerge w:val="continue"/>
            <w:vAlign w:val="center"/>
          </w:tcPr>
          <w:p>
            <w:pPr>
              <w:spacing w:line="300" w:lineRule="exact"/>
              <w:jc w:val="left"/>
              <w:outlineLvl w:val="0"/>
              <w:rPr>
                <w:rFonts w:ascii="Times New Roman" w:eastAsia="方正仿宋_GBK"/>
                <w:color w:val="000000"/>
                <w:sz w:val="28"/>
              </w:rPr>
            </w:pPr>
          </w:p>
        </w:tc>
        <w:tc>
          <w:tcPr>
            <w:tcW w:w="519" w:type="dxa"/>
            <w:vMerge w:val="continue"/>
            <w:vAlign w:val="center"/>
          </w:tcPr>
          <w:p>
            <w:pPr>
              <w:spacing w:line="300" w:lineRule="exact"/>
              <w:jc w:val="left"/>
              <w:outlineLvl w:val="0"/>
              <w:rPr>
                <w:rFonts w:ascii="Times New Roman" w:eastAsia="方正仿宋_GBK"/>
                <w:color w:val="000000"/>
                <w:sz w:val="28"/>
              </w:rPr>
            </w:pPr>
          </w:p>
        </w:tc>
        <w:tc>
          <w:tcPr>
            <w:tcW w:w="624" w:type="dxa"/>
            <w:vMerge w:val="continue"/>
            <w:vAlign w:val="center"/>
          </w:tcPr>
          <w:p>
            <w:pPr>
              <w:spacing w:line="300" w:lineRule="exact"/>
              <w:jc w:val="left"/>
              <w:outlineLvl w:val="0"/>
              <w:rPr>
                <w:rFonts w:ascii="Times New Roman" w:eastAsia="方正仿宋_GBK"/>
                <w:color w:val="000000"/>
                <w:sz w:val="28"/>
              </w:rPr>
            </w:pPr>
          </w:p>
        </w:tc>
        <w:tc>
          <w:tcPr>
            <w:tcW w:w="726" w:type="dxa"/>
            <w:vMerge w:val="continue"/>
            <w:vAlign w:val="center"/>
          </w:tcPr>
          <w:p>
            <w:pPr>
              <w:spacing w:line="300" w:lineRule="exact"/>
              <w:jc w:val="left"/>
              <w:outlineLvl w:val="0"/>
              <w:rPr>
                <w:rFonts w:ascii="Times New Roman" w:eastAsia="方正仿宋_GBK"/>
                <w:color w:val="000000"/>
                <w:sz w:val="28"/>
              </w:rPr>
            </w:pPr>
          </w:p>
        </w:tc>
        <w:tc>
          <w:tcPr>
            <w:tcW w:w="726"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合计</w:t>
            </w:r>
          </w:p>
        </w:tc>
        <w:tc>
          <w:tcPr>
            <w:tcW w:w="726"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一般公共预算拨款</w:t>
            </w:r>
          </w:p>
        </w:tc>
        <w:tc>
          <w:tcPr>
            <w:tcW w:w="728"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基金预算拨款</w:t>
            </w:r>
          </w:p>
        </w:tc>
        <w:tc>
          <w:tcPr>
            <w:tcW w:w="830"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国有资本经营预算拨款</w:t>
            </w:r>
          </w:p>
        </w:tc>
        <w:tc>
          <w:tcPr>
            <w:tcW w:w="622"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财政专户核拨</w:t>
            </w:r>
          </w:p>
        </w:tc>
        <w:tc>
          <w:tcPr>
            <w:tcW w:w="655"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5" w:hRule="atLeast"/>
          <w:jc w:val="center"/>
        </w:trPr>
        <w:tc>
          <w:tcPr>
            <w:tcW w:w="1851"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合　计</w:t>
            </w:r>
          </w:p>
        </w:tc>
        <w:tc>
          <w:tcPr>
            <w:tcW w:w="567" w:type="dxa"/>
            <w:vAlign w:val="center"/>
          </w:tcPr>
          <w:p>
            <w:pPr>
              <w:spacing w:line="300" w:lineRule="exact"/>
              <w:jc w:val="right"/>
              <w:rPr>
                <w:rFonts w:ascii="方正书宋_GBK" w:eastAsia="方正书宋_GBK"/>
                <w:b/>
                <w:color w:val="000000"/>
              </w:rPr>
            </w:pPr>
          </w:p>
        </w:tc>
        <w:tc>
          <w:tcPr>
            <w:tcW w:w="1276" w:type="dxa"/>
            <w:vAlign w:val="center"/>
          </w:tcPr>
          <w:p>
            <w:pPr>
              <w:spacing w:line="300" w:lineRule="exact"/>
              <w:jc w:val="left"/>
              <w:rPr>
                <w:rFonts w:ascii="方正书宋_GBK" w:eastAsia="方正书宋_GBK"/>
                <w:b/>
                <w:color w:val="000000"/>
              </w:rPr>
            </w:pPr>
          </w:p>
        </w:tc>
        <w:tc>
          <w:tcPr>
            <w:tcW w:w="1590" w:type="dxa"/>
            <w:vAlign w:val="center"/>
          </w:tcPr>
          <w:p>
            <w:pPr>
              <w:spacing w:line="300" w:lineRule="exact"/>
              <w:jc w:val="left"/>
              <w:rPr>
                <w:rFonts w:ascii="方正书宋_GBK" w:eastAsia="方正书宋_GBK"/>
                <w:b/>
                <w:color w:val="000000"/>
              </w:rPr>
            </w:pPr>
          </w:p>
        </w:tc>
        <w:tc>
          <w:tcPr>
            <w:tcW w:w="519" w:type="dxa"/>
            <w:vAlign w:val="center"/>
          </w:tcPr>
          <w:p>
            <w:pPr>
              <w:spacing w:line="300" w:lineRule="exact"/>
              <w:jc w:val="left"/>
              <w:rPr>
                <w:rFonts w:ascii="方正书宋_GBK" w:eastAsia="方正书宋_GBK"/>
                <w:b/>
                <w:color w:val="000000"/>
              </w:rPr>
            </w:pPr>
          </w:p>
        </w:tc>
        <w:tc>
          <w:tcPr>
            <w:tcW w:w="624" w:type="dxa"/>
            <w:vAlign w:val="center"/>
          </w:tcPr>
          <w:p>
            <w:pPr>
              <w:spacing w:line="300" w:lineRule="exact"/>
              <w:jc w:val="right"/>
              <w:rPr>
                <w:rFonts w:ascii="方正书宋_GBK" w:eastAsia="方正书宋_GBK"/>
                <w:b/>
                <w:color w:val="000000"/>
              </w:rPr>
            </w:pPr>
          </w:p>
        </w:tc>
        <w:tc>
          <w:tcPr>
            <w:tcW w:w="726" w:type="dxa"/>
            <w:vAlign w:val="center"/>
          </w:tcPr>
          <w:p>
            <w:pPr>
              <w:spacing w:line="300" w:lineRule="exact"/>
              <w:jc w:val="right"/>
              <w:rPr>
                <w:rFonts w:ascii="方正书宋_GBK" w:eastAsia="方正书宋_GBK"/>
                <w:b/>
                <w:color w:val="000000"/>
              </w:rPr>
            </w:pPr>
          </w:p>
        </w:tc>
        <w:tc>
          <w:tcPr>
            <w:tcW w:w="726"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0</w:t>
            </w:r>
          </w:p>
        </w:tc>
        <w:tc>
          <w:tcPr>
            <w:tcW w:w="726" w:type="dxa"/>
            <w:vAlign w:val="center"/>
          </w:tcPr>
          <w:p>
            <w:pPr>
              <w:adjustRightInd w:val="0"/>
              <w:snapToGrid w:val="0"/>
              <w:jc w:val="right"/>
              <w:rPr>
                <w:rFonts w:ascii="方正书宋_GBK" w:hAnsi="宋体" w:eastAsia="方正书宋_GBK" w:cs="宋体"/>
                <w:b/>
                <w:bCs/>
                <w:color w:val="000000"/>
                <w:szCs w:val="21"/>
              </w:rPr>
            </w:pPr>
          </w:p>
        </w:tc>
        <w:tc>
          <w:tcPr>
            <w:tcW w:w="728" w:type="dxa"/>
            <w:vAlign w:val="center"/>
          </w:tcPr>
          <w:p>
            <w:pPr>
              <w:spacing w:line="300" w:lineRule="exact"/>
              <w:jc w:val="right"/>
              <w:rPr>
                <w:rFonts w:ascii="方正书宋_GBK" w:eastAsia="方正书宋_GBK"/>
                <w:b/>
                <w:color w:val="000000"/>
              </w:rPr>
            </w:pPr>
          </w:p>
        </w:tc>
        <w:tc>
          <w:tcPr>
            <w:tcW w:w="830" w:type="dxa"/>
            <w:vAlign w:val="center"/>
          </w:tcPr>
          <w:p>
            <w:pPr>
              <w:spacing w:line="300" w:lineRule="exact"/>
              <w:jc w:val="right"/>
              <w:rPr>
                <w:rFonts w:ascii="方正书宋_GBK" w:eastAsia="方正书宋_GBK"/>
                <w:b/>
                <w:color w:val="000000"/>
              </w:rPr>
            </w:pPr>
          </w:p>
        </w:tc>
        <w:tc>
          <w:tcPr>
            <w:tcW w:w="622" w:type="dxa"/>
            <w:vAlign w:val="center"/>
          </w:tcPr>
          <w:p>
            <w:pPr>
              <w:spacing w:line="300" w:lineRule="exact"/>
              <w:jc w:val="right"/>
              <w:rPr>
                <w:rFonts w:ascii="方正书宋_GBK" w:eastAsia="方正书宋_GBK"/>
                <w:b/>
                <w:color w:val="000000"/>
              </w:rPr>
            </w:pPr>
          </w:p>
        </w:tc>
        <w:tc>
          <w:tcPr>
            <w:tcW w:w="655" w:type="dxa"/>
            <w:vAlign w:val="center"/>
          </w:tcPr>
          <w:p>
            <w:pPr>
              <w:spacing w:line="300" w:lineRule="exact"/>
              <w:jc w:val="right"/>
              <w:rPr>
                <w:rFonts w:ascii="方正书宋_GBK" w:eastAsia="方正书宋_GBK"/>
                <w:b/>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5" w:hRule="atLeast"/>
          <w:jc w:val="center"/>
        </w:trPr>
        <w:tc>
          <w:tcPr>
            <w:tcW w:w="1851" w:type="dxa"/>
            <w:vAlign w:val="center"/>
          </w:tcPr>
          <w:p>
            <w:pPr>
              <w:spacing w:line="300" w:lineRule="exact"/>
              <w:jc w:val="center"/>
              <w:rPr>
                <w:rFonts w:ascii="方正书宋_GBK" w:eastAsia="方正书宋_GBK"/>
                <w:b/>
                <w:color w:val="000000"/>
              </w:rPr>
            </w:pPr>
          </w:p>
        </w:tc>
        <w:tc>
          <w:tcPr>
            <w:tcW w:w="567" w:type="dxa"/>
            <w:vAlign w:val="center"/>
          </w:tcPr>
          <w:p>
            <w:pPr>
              <w:spacing w:line="300" w:lineRule="exact"/>
              <w:jc w:val="right"/>
              <w:rPr>
                <w:rFonts w:ascii="方正书宋_GBK" w:eastAsia="方正书宋_GBK"/>
                <w:b/>
                <w:color w:val="000000"/>
              </w:rPr>
            </w:pPr>
          </w:p>
        </w:tc>
        <w:tc>
          <w:tcPr>
            <w:tcW w:w="1276" w:type="dxa"/>
            <w:vAlign w:val="center"/>
          </w:tcPr>
          <w:p>
            <w:pPr>
              <w:spacing w:line="300" w:lineRule="exact"/>
              <w:jc w:val="left"/>
              <w:rPr>
                <w:rFonts w:ascii="方正书宋_GBK" w:eastAsia="方正书宋_GBK"/>
                <w:b/>
                <w:color w:val="000000"/>
              </w:rPr>
            </w:pPr>
          </w:p>
        </w:tc>
        <w:tc>
          <w:tcPr>
            <w:tcW w:w="1590" w:type="dxa"/>
            <w:vAlign w:val="center"/>
          </w:tcPr>
          <w:p>
            <w:pPr>
              <w:spacing w:line="300" w:lineRule="exact"/>
              <w:jc w:val="left"/>
              <w:rPr>
                <w:rFonts w:ascii="方正书宋_GBK" w:eastAsia="方正书宋_GBK"/>
                <w:b/>
                <w:color w:val="000000"/>
              </w:rPr>
            </w:pPr>
          </w:p>
        </w:tc>
        <w:tc>
          <w:tcPr>
            <w:tcW w:w="519" w:type="dxa"/>
            <w:vAlign w:val="center"/>
          </w:tcPr>
          <w:p>
            <w:pPr>
              <w:spacing w:line="300" w:lineRule="exact"/>
              <w:jc w:val="left"/>
              <w:rPr>
                <w:rFonts w:ascii="方正书宋_GBK" w:eastAsia="方正书宋_GBK"/>
                <w:b/>
                <w:color w:val="000000"/>
              </w:rPr>
            </w:pPr>
          </w:p>
        </w:tc>
        <w:tc>
          <w:tcPr>
            <w:tcW w:w="624" w:type="dxa"/>
            <w:vAlign w:val="center"/>
          </w:tcPr>
          <w:p>
            <w:pPr>
              <w:spacing w:line="300" w:lineRule="exact"/>
              <w:jc w:val="right"/>
              <w:rPr>
                <w:rFonts w:ascii="方正书宋_GBK" w:eastAsia="方正书宋_GBK"/>
                <w:b/>
                <w:color w:val="000000"/>
              </w:rPr>
            </w:pPr>
          </w:p>
        </w:tc>
        <w:tc>
          <w:tcPr>
            <w:tcW w:w="726" w:type="dxa"/>
            <w:vAlign w:val="center"/>
          </w:tcPr>
          <w:p>
            <w:pPr>
              <w:spacing w:line="300" w:lineRule="exact"/>
              <w:jc w:val="right"/>
              <w:rPr>
                <w:rFonts w:ascii="方正书宋_GBK" w:eastAsia="方正书宋_GBK"/>
                <w:b/>
                <w:color w:val="000000"/>
              </w:rPr>
            </w:pPr>
          </w:p>
        </w:tc>
        <w:tc>
          <w:tcPr>
            <w:tcW w:w="726" w:type="dxa"/>
            <w:vAlign w:val="center"/>
          </w:tcPr>
          <w:p>
            <w:pPr>
              <w:adjustRightInd w:val="0"/>
              <w:snapToGrid w:val="0"/>
              <w:jc w:val="right"/>
              <w:rPr>
                <w:rFonts w:ascii="方正书宋_GBK" w:hAnsi="宋体" w:eastAsia="方正书宋_GBK" w:cs="宋体"/>
                <w:b/>
                <w:bCs/>
                <w:color w:val="000000"/>
                <w:szCs w:val="21"/>
              </w:rPr>
            </w:pPr>
          </w:p>
        </w:tc>
        <w:tc>
          <w:tcPr>
            <w:tcW w:w="726" w:type="dxa"/>
            <w:vAlign w:val="center"/>
          </w:tcPr>
          <w:p>
            <w:pPr>
              <w:adjustRightInd w:val="0"/>
              <w:snapToGrid w:val="0"/>
              <w:jc w:val="center"/>
              <w:rPr>
                <w:rFonts w:ascii="方正书宋_GBK" w:hAnsi="宋体" w:eastAsia="方正书宋_GBK" w:cs="宋体"/>
                <w:b/>
                <w:bCs/>
                <w:color w:val="000000"/>
                <w:szCs w:val="21"/>
              </w:rPr>
            </w:pPr>
          </w:p>
        </w:tc>
        <w:tc>
          <w:tcPr>
            <w:tcW w:w="728" w:type="dxa"/>
            <w:vAlign w:val="center"/>
          </w:tcPr>
          <w:p>
            <w:pPr>
              <w:spacing w:line="300" w:lineRule="exact"/>
              <w:jc w:val="right"/>
              <w:rPr>
                <w:rFonts w:ascii="方正书宋_GBK" w:eastAsia="方正书宋_GBK"/>
                <w:b/>
                <w:color w:val="000000"/>
              </w:rPr>
            </w:pPr>
          </w:p>
        </w:tc>
        <w:tc>
          <w:tcPr>
            <w:tcW w:w="830" w:type="dxa"/>
            <w:vAlign w:val="center"/>
          </w:tcPr>
          <w:p>
            <w:pPr>
              <w:spacing w:line="300" w:lineRule="exact"/>
              <w:jc w:val="right"/>
              <w:rPr>
                <w:rFonts w:ascii="方正书宋_GBK" w:eastAsia="方正书宋_GBK"/>
                <w:b/>
                <w:color w:val="000000"/>
              </w:rPr>
            </w:pPr>
          </w:p>
        </w:tc>
        <w:tc>
          <w:tcPr>
            <w:tcW w:w="622" w:type="dxa"/>
            <w:vAlign w:val="center"/>
          </w:tcPr>
          <w:p>
            <w:pPr>
              <w:spacing w:line="300" w:lineRule="exact"/>
              <w:jc w:val="right"/>
              <w:rPr>
                <w:rFonts w:ascii="方正书宋_GBK" w:eastAsia="方正书宋_GBK"/>
                <w:b/>
                <w:color w:val="000000"/>
              </w:rPr>
            </w:pPr>
          </w:p>
        </w:tc>
        <w:tc>
          <w:tcPr>
            <w:tcW w:w="655" w:type="dxa"/>
            <w:vAlign w:val="center"/>
          </w:tcPr>
          <w:p>
            <w:pPr>
              <w:spacing w:line="300" w:lineRule="exact"/>
              <w:jc w:val="right"/>
              <w:rPr>
                <w:rFonts w:ascii="方正书宋_GBK" w:eastAsia="方正书宋_GBK"/>
                <w:b/>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1851" w:type="dxa"/>
            <w:vAlign w:val="center"/>
          </w:tcPr>
          <w:p>
            <w:pPr>
              <w:spacing w:line="300" w:lineRule="exact"/>
              <w:jc w:val="left"/>
              <w:rPr>
                <w:rFonts w:ascii="方正书宋_GBK" w:eastAsia="方正书宋_GBK"/>
                <w:color w:val="000000"/>
              </w:rPr>
            </w:pPr>
          </w:p>
        </w:tc>
        <w:tc>
          <w:tcPr>
            <w:tcW w:w="567" w:type="dxa"/>
            <w:vAlign w:val="center"/>
          </w:tcPr>
          <w:p>
            <w:pPr>
              <w:spacing w:line="300" w:lineRule="exact"/>
              <w:jc w:val="center"/>
              <w:rPr>
                <w:rFonts w:ascii="方正书宋_GBK" w:eastAsia="方正书宋_GBK"/>
                <w:color w:val="000000"/>
              </w:rPr>
            </w:pPr>
          </w:p>
        </w:tc>
        <w:tc>
          <w:tcPr>
            <w:tcW w:w="1276" w:type="dxa"/>
            <w:vAlign w:val="center"/>
          </w:tcPr>
          <w:p>
            <w:pPr>
              <w:spacing w:line="300" w:lineRule="exact"/>
              <w:jc w:val="left"/>
              <w:rPr>
                <w:rFonts w:ascii="方正书宋_GBK" w:eastAsia="方正书宋_GBK"/>
                <w:color w:val="000000"/>
              </w:rPr>
            </w:pPr>
          </w:p>
        </w:tc>
        <w:tc>
          <w:tcPr>
            <w:tcW w:w="1590"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1851" w:type="dxa"/>
            <w:vAlign w:val="center"/>
          </w:tcPr>
          <w:p>
            <w:pPr>
              <w:spacing w:line="300" w:lineRule="exact"/>
              <w:jc w:val="left"/>
              <w:rPr>
                <w:rFonts w:ascii="方正书宋_GBK" w:eastAsia="方正书宋_GBK"/>
                <w:color w:val="000000"/>
              </w:rPr>
            </w:pPr>
          </w:p>
        </w:tc>
        <w:tc>
          <w:tcPr>
            <w:tcW w:w="567" w:type="dxa"/>
            <w:vAlign w:val="center"/>
          </w:tcPr>
          <w:p>
            <w:pPr>
              <w:spacing w:line="300" w:lineRule="exact"/>
              <w:jc w:val="right"/>
              <w:rPr>
                <w:rFonts w:ascii="方正书宋_GBK" w:eastAsia="方正书宋_GBK"/>
                <w:color w:val="000000"/>
              </w:rPr>
            </w:pPr>
          </w:p>
        </w:tc>
        <w:tc>
          <w:tcPr>
            <w:tcW w:w="1276" w:type="dxa"/>
            <w:vAlign w:val="center"/>
          </w:tcPr>
          <w:p>
            <w:pPr>
              <w:spacing w:line="300" w:lineRule="exact"/>
              <w:jc w:val="left"/>
              <w:rPr>
                <w:rFonts w:ascii="方正书宋_GBK" w:eastAsia="方正书宋_GBK"/>
                <w:color w:val="000000"/>
              </w:rPr>
            </w:pPr>
          </w:p>
        </w:tc>
        <w:tc>
          <w:tcPr>
            <w:tcW w:w="1590"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center"/>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bl>
    <w:p>
      <w:pPr>
        <w:jc w:val="left"/>
        <w:rPr>
          <w:rFonts w:ascii="黑体" w:hAnsi="黑体" w:eastAsia="黑体" w:cs="Times New Roman"/>
          <w:color w:val="000000"/>
          <w:sz w:val="32"/>
          <w:szCs w:val="32"/>
        </w:rPr>
      </w:pPr>
      <w:r>
        <w:rPr>
          <w:rFonts w:hint="eastAsia" w:ascii="仿宋" w:hAnsi="仿宋" w:eastAsia="仿宋"/>
          <w:szCs w:val="32"/>
        </w:rPr>
        <w:t>注：我单位无政府采购，空表列示。</w:t>
      </w:r>
    </w:p>
    <w:p>
      <w:pPr>
        <w:autoSpaceDE w:val="0"/>
        <w:autoSpaceDN w:val="0"/>
        <w:adjustRightInd w:val="0"/>
        <w:ind w:firstLine="640" w:firstLineChars="20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七、国有资产信息</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我部门上年末固定资产金额为153.1万元，其中：房屋2000平方米，价值48.2万元；车辆5辆，价值30.6万元；其他固定资产44.8万元。</w:t>
      </w:r>
    </w:p>
    <w:tbl>
      <w:tblPr>
        <w:tblStyle w:val="7"/>
        <w:tblW w:w="9220" w:type="dxa"/>
        <w:tblInd w:w="93" w:type="dxa"/>
        <w:tblLayout w:type="fixed"/>
        <w:tblCellMar>
          <w:top w:w="0" w:type="dxa"/>
          <w:left w:w="108" w:type="dxa"/>
          <w:bottom w:w="0" w:type="dxa"/>
          <w:right w:w="108" w:type="dxa"/>
        </w:tblCellMar>
      </w:tblPr>
      <w:tblGrid>
        <w:gridCol w:w="3573"/>
        <w:gridCol w:w="2157"/>
        <w:gridCol w:w="3490"/>
      </w:tblGrid>
      <w:tr>
        <w:tblPrEx>
          <w:tblCellMar>
            <w:top w:w="0" w:type="dxa"/>
            <w:left w:w="108" w:type="dxa"/>
            <w:bottom w:w="0" w:type="dxa"/>
            <w:right w:w="108" w:type="dxa"/>
          </w:tblCellMar>
        </w:tblPrEx>
        <w:trPr>
          <w:trHeight w:val="687" w:hRule="atLeast"/>
        </w:trPr>
        <w:tc>
          <w:tcPr>
            <w:tcW w:w="9220"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南流乡固定资产占用情况表</w:t>
            </w:r>
          </w:p>
        </w:tc>
      </w:tr>
      <w:tr>
        <w:tblPrEx>
          <w:tblCellMar>
            <w:top w:w="0" w:type="dxa"/>
            <w:left w:w="108" w:type="dxa"/>
            <w:bottom w:w="0" w:type="dxa"/>
            <w:right w:w="108" w:type="dxa"/>
          </w:tblCellMar>
        </w:tblPrEx>
        <w:trPr>
          <w:trHeight w:val="497" w:hRule="atLeast"/>
        </w:trPr>
        <w:tc>
          <w:tcPr>
            <w:tcW w:w="5730"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南流乡人民政府</w:t>
            </w:r>
          </w:p>
        </w:tc>
        <w:tc>
          <w:tcPr>
            <w:tcW w:w="3490" w:type="dxa"/>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39" w:hRule="atLeast"/>
        </w:trPr>
        <w:tc>
          <w:tcPr>
            <w:tcW w:w="357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215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49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153.1</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2000</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color w:val="000000"/>
                <w:kern w:val="0"/>
                <w:sz w:val="22"/>
              </w:rPr>
              <w:t>48.2</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1400</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29.5</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30.6</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8"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44.8</w:t>
            </w:r>
          </w:p>
        </w:tc>
      </w:tr>
    </w:tbl>
    <w:p>
      <w:pPr>
        <w:autoSpaceDE w:val="0"/>
        <w:autoSpaceDN w:val="0"/>
        <w:adjustRightInd w:val="0"/>
        <w:ind w:firstLine="640" w:firstLineChars="20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八、名词解释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1.财政拨款收入</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财政拨款收入是指财政部门按照批复的预算核拨给单位的财政预算资金。</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2.基本支出、项目支出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基本支出是指预算单位为保障机构正常运转和完成日常工作而发生的各项支出，包括人员经费和日常公用经费。</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项目支出是指在基本支出之外完成特定行政任务和事业发展目标所发生的支出。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3.一般公共服务支出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一般公共服务支出是指反映预算单位一般公共服务的支出。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4.文化体育与传媒支出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文化体育与传媒支出是指反映预算单位在文化、文物、体育、广播影视、新闻出版等方面的支出。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5.社会保障和就业支出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社会保障和就业支出是指预算单位在社会保障和就业方面的支出。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6.机关运行经费</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“三公”经费是指因公出国（境）费、公务用车购置及运行维护费和公务接待费。</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因公出国（境）费是指单位公务出国（境）的国际旅费、国外城市间交通费、住宿费、伙食费、培训费、公杂费等支出。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公务用车购置及运行维护费是指单位购置公务用车及公务用车租用费、燃料费、维修费、路桥费、保险费等支出。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公务接待费是指单位按规定开支的各类公务接待（含外宾接待）费用。</w:t>
      </w:r>
    </w:p>
    <w:p>
      <w:pPr>
        <w:ind w:firstLine="640"/>
        <w:rPr>
          <w:rFonts w:ascii="Times New Roman" w:hAnsi="Times New Roman" w:eastAsia="仿宋" w:cs="Times New Roman"/>
          <w:sz w:val="32"/>
          <w:szCs w:val="32"/>
        </w:rPr>
      </w:pPr>
    </w:p>
    <w:p>
      <w:pPr>
        <w:ind w:firstLine="640" w:firstLineChars="200"/>
        <w:rPr>
          <w:rFonts w:ascii="宋体-方正超大字符集" w:hAnsi="宋体-方正超大字符集" w:eastAsia="宋体-方正超大字符集" w:cs="宋体-方正超大字符集"/>
          <w:b/>
          <w:bCs/>
          <w:color w:val="000000"/>
          <w:sz w:val="32"/>
          <w:szCs w:val="32"/>
        </w:rPr>
      </w:pPr>
      <w:r>
        <w:rPr>
          <w:rFonts w:hint="eastAsia" w:ascii="宋体-方正超大字符集" w:hAnsi="宋体-方正超大字符集" w:eastAsia="宋体-方正超大字符集" w:cs="宋体-方正超大字符集"/>
          <w:b/>
          <w:bCs/>
          <w:color w:val="000000"/>
          <w:sz w:val="32"/>
          <w:szCs w:val="32"/>
        </w:rPr>
        <w:t>九、其他需要说明的事项</w:t>
      </w:r>
    </w:p>
    <w:p>
      <w:pPr>
        <w:ind w:firstLine="640" w:firstLineChars="20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我部门无其他需要说明的事项。</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11</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1B0607"/>
    <w:rsid w:val="00323B29"/>
    <w:rsid w:val="0039059E"/>
    <w:rsid w:val="00485A71"/>
    <w:rsid w:val="00521084"/>
    <w:rsid w:val="005C370D"/>
    <w:rsid w:val="0061745A"/>
    <w:rsid w:val="007601A4"/>
    <w:rsid w:val="007F0341"/>
    <w:rsid w:val="00835CFC"/>
    <w:rsid w:val="009A521C"/>
    <w:rsid w:val="00D607DA"/>
    <w:rsid w:val="00DC6EE5"/>
    <w:rsid w:val="00EE71BA"/>
    <w:rsid w:val="00F7083B"/>
    <w:rsid w:val="00F867E4"/>
    <w:rsid w:val="026F3F64"/>
    <w:rsid w:val="02921692"/>
    <w:rsid w:val="036F284A"/>
    <w:rsid w:val="04D95CCC"/>
    <w:rsid w:val="056D17C0"/>
    <w:rsid w:val="07C903E1"/>
    <w:rsid w:val="08D2615C"/>
    <w:rsid w:val="0E2023E9"/>
    <w:rsid w:val="0EC218AC"/>
    <w:rsid w:val="0EDF10B3"/>
    <w:rsid w:val="0F0B1EBF"/>
    <w:rsid w:val="11F5603D"/>
    <w:rsid w:val="1397189C"/>
    <w:rsid w:val="13BC5965"/>
    <w:rsid w:val="180306D2"/>
    <w:rsid w:val="186726AF"/>
    <w:rsid w:val="1AB560CE"/>
    <w:rsid w:val="1DF74957"/>
    <w:rsid w:val="1EDD5C98"/>
    <w:rsid w:val="1FBE59CA"/>
    <w:rsid w:val="1FCE1B93"/>
    <w:rsid w:val="21395E3D"/>
    <w:rsid w:val="214C6FA7"/>
    <w:rsid w:val="220A76AC"/>
    <w:rsid w:val="227C3FAE"/>
    <w:rsid w:val="24046B39"/>
    <w:rsid w:val="254546AD"/>
    <w:rsid w:val="25480D9F"/>
    <w:rsid w:val="25D74FEA"/>
    <w:rsid w:val="25FF5499"/>
    <w:rsid w:val="28F527CE"/>
    <w:rsid w:val="29021464"/>
    <w:rsid w:val="29144F3D"/>
    <w:rsid w:val="2BEE4B12"/>
    <w:rsid w:val="2C575C1E"/>
    <w:rsid w:val="2CB31E91"/>
    <w:rsid w:val="2D3427FA"/>
    <w:rsid w:val="2F502489"/>
    <w:rsid w:val="2F61766E"/>
    <w:rsid w:val="2F9D2D93"/>
    <w:rsid w:val="2FAA28A2"/>
    <w:rsid w:val="2FC6643D"/>
    <w:rsid w:val="30897C36"/>
    <w:rsid w:val="332F15E2"/>
    <w:rsid w:val="35176577"/>
    <w:rsid w:val="352524A5"/>
    <w:rsid w:val="361C4401"/>
    <w:rsid w:val="37923F5C"/>
    <w:rsid w:val="392368F8"/>
    <w:rsid w:val="3933323E"/>
    <w:rsid w:val="39D609F9"/>
    <w:rsid w:val="3A297E61"/>
    <w:rsid w:val="3AD43DB1"/>
    <w:rsid w:val="3E2B3922"/>
    <w:rsid w:val="3F870E59"/>
    <w:rsid w:val="43C57475"/>
    <w:rsid w:val="44557DF0"/>
    <w:rsid w:val="445C0D17"/>
    <w:rsid w:val="45062186"/>
    <w:rsid w:val="451F0123"/>
    <w:rsid w:val="467B6BDC"/>
    <w:rsid w:val="46A57774"/>
    <w:rsid w:val="4867326E"/>
    <w:rsid w:val="493A6D21"/>
    <w:rsid w:val="4A150B7F"/>
    <w:rsid w:val="4AD11947"/>
    <w:rsid w:val="4CDA23D2"/>
    <w:rsid w:val="4DD710CE"/>
    <w:rsid w:val="4EBE4227"/>
    <w:rsid w:val="4F4A4E8D"/>
    <w:rsid w:val="50FC52B6"/>
    <w:rsid w:val="5221465B"/>
    <w:rsid w:val="55AB3955"/>
    <w:rsid w:val="564E3BCC"/>
    <w:rsid w:val="577473D2"/>
    <w:rsid w:val="58FE17AA"/>
    <w:rsid w:val="5A4A10DA"/>
    <w:rsid w:val="5B1D74BF"/>
    <w:rsid w:val="5B3166C8"/>
    <w:rsid w:val="5B6E14FD"/>
    <w:rsid w:val="5C9E7564"/>
    <w:rsid w:val="5D291405"/>
    <w:rsid w:val="5D5060B4"/>
    <w:rsid w:val="5DD47147"/>
    <w:rsid w:val="5F2D4411"/>
    <w:rsid w:val="5F653F3A"/>
    <w:rsid w:val="601D26CB"/>
    <w:rsid w:val="61242D99"/>
    <w:rsid w:val="61D66260"/>
    <w:rsid w:val="63A67094"/>
    <w:rsid w:val="63B620D1"/>
    <w:rsid w:val="63EE65D6"/>
    <w:rsid w:val="64713AE4"/>
    <w:rsid w:val="656331D9"/>
    <w:rsid w:val="659F704F"/>
    <w:rsid w:val="661661A6"/>
    <w:rsid w:val="674009F9"/>
    <w:rsid w:val="6A314CF3"/>
    <w:rsid w:val="6BC00FC9"/>
    <w:rsid w:val="6BDB0032"/>
    <w:rsid w:val="6D7922B2"/>
    <w:rsid w:val="6E3E2FEC"/>
    <w:rsid w:val="718415EA"/>
    <w:rsid w:val="71DD1F3C"/>
    <w:rsid w:val="72E27AB5"/>
    <w:rsid w:val="72EC30DD"/>
    <w:rsid w:val="73684B44"/>
    <w:rsid w:val="73A17EC1"/>
    <w:rsid w:val="73F75311"/>
    <w:rsid w:val="74427CAA"/>
    <w:rsid w:val="759D609E"/>
    <w:rsid w:val="76FF6F30"/>
    <w:rsid w:val="77D616FE"/>
    <w:rsid w:val="77F07C3B"/>
    <w:rsid w:val="78F37820"/>
    <w:rsid w:val="796073E6"/>
    <w:rsid w:val="797E6D27"/>
    <w:rsid w:val="799C37E7"/>
    <w:rsid w:val="79C73E65"/>
    <w:rsid w:val="79D5354F"/>
    <w:rsid w:val="7B3C5E2E"/>
    <w:rsid w:val="7C9421A4"/>
    <w:rsid w:val="7CB243B5"/>
    <w:rsid w:val="7D357B85"/>
    <w:rsid w:val="7DAB1CDE"/>
    <w:rsid w:val="7E057CDC"/>
    <w:rsid w:val="7FCC7A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11</Pages>
  <Words>715</Words>
  <Characters>4078</Characters>
  <Lines>33</Lines>
  <Paragraphs>9</Paragraphs>
  <TotalTime>11</TotalTime>
  <ScaleCrop>false</ScaleCrop>
  <LinksUpToDate>false</LinksUpToDate>
  <CharactersWithSpaces>4784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2024-06-20T15:11:19Z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D426511BE83E45F480C78AE5FF6A9976</vt:lpwstr>
  </property>
</Properties>
</file>