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23</w:t>
      </w:r>
      <w:r>
        <w:fldChar w:fldCharType="end"/>
      </w:r>
      <w:r>
        <w:fldChar w:fldCharType="end"/>
      </w:r>
    </w:p>
    <w:p>
      <w:pPr>
        <w:pStyle w:val="5"/>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9</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1</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tabs>
          <w:tab w:val="left" w:pos="6875"/>
          <w:tab w:val="center" w:pos="7515"/>
        </w:tabs>
        <w:spacing w:before="0" w:after="0" w:line="240" w:lineRule="auto"/>
        <w:ind w:firstLine="0"/>
        <w:jc w:val="center"/>
        <w:outlineLvl w:val="9"/>
      </w:pPr>
      <w:r>
        <w:rPr>
          <w:rFonts w:hint="eastAsia" w:ascii="方正小标宋_GBK" w:hAnsi="方正小标宋_GBK" w:eastAsia="方正小标宋_GBK" w:cs="方正小标宋_GBK"/>
          <w:color w:val="000000"/>
          <w:sz w:val="44"/>
          <w:lang w:val="en-US" w:eastAsia="zh-CN"/>
        </w:rPr>
        <w:t>2023年部门预算信息公开表</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940无极县南流乡人民政府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858.00</w:t>
            </w:r>
          </w:p>
        </w:tc>
        <w:tc>
          <w:tcPr>
            <w:tcW w:w="4535" w:type="dxa"/>
            <w:vAlign w:val="center"/>
          </w:tcPr>
          <w:p>
            <w:pPr>
              <w:pStyle w:val="16"/>
            </w:pPr>
            <w:r>
              <w:t>一、一般公共服务支出</w:t>
            </w:r>
          </w:p>
        </w:tc>
        <w:tc>
          <w:tcPr>
            <w:tcW w:w="2126" w:type="dxa"/>
            <w:vAlign w:val="center"/>
          </w:tcPr>
          <w:p>
            <w:pPr>
              <w:pStyle w:val="15"/>
            </w:pPr>
            <w:r>
              <w:t>678.00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858.00</w:t>
            </w:r>
          </w:p>
        </w:tc>
        <w:tc>
          <w:tcPr>
            <w:tcW w:w="4535" w:type="dxa"/>
            <w:vAlign w:val="center"/>
          </w:tcPr>
          <w:p>
            <w:pPr>
              <w:pStyle w:val="18"/>
            </w:pPr>
            <w:r>
              <w:t>本年支出合计</w:t>
            </w:r>
          </w:p>
        </w:tc>
        <w:tc>
          <w:tcPr>
            <w:tcW w:w="2126" w:type="dxa"/>
            <w:vAlign w:val="center"/>
          </w:tcPr>
          <w:p>
            <w:pPr>
              <w:pStyle w:val="19"/>
            </w:pPr>
            <w:r>
              <w:t>908.00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50.00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908.00</w:t>
            </w:r>
          </w:p>
        </w:tc>
        <w:tc>
          <w:tcPr>
            <w:tcW w:w="4535" w:type="dxa"/>
            <w:vAlign w:val="center"/>
          </w:tcPr>
          <w:p>
            <w:pPr>
              <w:pStyle w:val="18"/>
            </w:pPr>
            <w:r>
              <w:t>支出总计</w:t>
            </w:r>
          </w:p>
        </w:tc>
        <w:tc>
          <w:tcPr>
            <w:tcW w:w="2126" w:type="dxa"/>
            <w:vAlign w:val="center"/>
          </w:tcPr>
          <w:p>
            <w:pPr>
              <w:pStyle w:val="19"/>
            </w:pPr>
            <w:r>
              <w:t>908.00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940无极县南流乡人民政府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908.00</w:t>
            </w:r>
          </w:p>
        </w:tc>
        <w:tc>
          <w:tcPr>
            <w:tcW w:w="1134" w:type="dxa"/>
            <w:vAlign w:val="center"/>
          </w:tcPr>
          <w:p>
            <w:pPr>
              <w:pStyle w:val="19"/>
            </w:pPr>
            <w:r>
              <w:t>858.00</w:t>
            </w:r>
          </w:p>
        </w:tc>
        <w:tc>
          <w:tcPr>
            <w:tcW w:w="1134" w:type="dxa"/>
            <w:vAlign w:val="center"/>
          </w:tcPr>
          <w:p>
            <w:pPr>
              <w:pStyle w:val="19"/>
            </w:pPr>
            <w:r>
              <w:t>858.00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2120804</w:t>
            </w:r>
          </w:p>
        </w:tc>
        <w:tc>
          <w:tcPr>
            <w:tcW w:w="1559" w:type="dxa"/>
            <w:vAlign w:val="center"/>
          </w:tcPr>
          <w:p>
            <w:pPr>
              <w:pStyle w:val="16"/>
            </w:pPr>
            <w:r>
              <w:t>农村基础设施建设支出</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908.00</w:t>
            </w:r>
          </w:p>
        </w:tc>
        <w:tc>
          <w:tcPr>
            <w:tcW w:w="1361" w:type="dxa"/>
            <w:vAlign w:val="center"/>
          </w:tcPr>
          <w:p>
            <w:pPr>
              <w:pStyle w:val="19"/>
            </w:pPr>
            <w:r>
              <w:t>858.00</w:t>
            </w:r>
          </w:p>
        </w:tc>
        <w:tc>
          <w:tcPr>
            <w:tcW w:w="1361" w:type="dxa"/>
            <w:vAlign w:val="center"/>
          </w:tcPr>
          <w:p>
            <w:pPr>
              <w:pStyle w:val="19"/>
            </w:pPr>
            <w:r>
              <w:t>50.00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678.00</w:t>
            </w:r>
          </w:p>
        </w:tc>
        <w:tc>
          <w:tcPr>
            <w:tcW w:w="1361" w:type="dxa"/>
            <w:vAlign w:val="center"/>
          </w:tcPr>
          <w:p>
            <w:pPr>
              <w:pStyle w:val="15"/>
            </w:pPr>
            <w:r>
              <w:t>678.00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678.00</w:t>
            </w:r>
          </w:p>
        </w:tc>
        <w:tc>
          <w:tcPr>
            <w:tcW w:w="1361" w:type="dxa"/>
            <w:vAlign w:val="center"/>
          </w:tcPr>
          <w:p>
            <w:pPr>
              <w:pStyle w:val="15"/>
            </w:pPr>
            <w:r>
              <w:t>678.00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678.00</w:t>
            </w:r>
          </w:p>
        </w:tc>
        <w:tc>
          <w:tcPr>
            <w:tcW w:w="1361" w:type="dxa"/>
            <w:vAlign w:val="center"/>
          </w:tcPr>
          <w:p>
            <w:pPr>
              <w:pStyle w:val="15"/>
            </w:pPr>
            <w:r>
              <w:t>678.00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120.00</w:t>
            </w: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120.00</w:t>
            </w: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100.00</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20.00</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2120804</w:t>
            </w:r>
          </w:p>
        </w:tc>
        <w:tc>
          <w:tcPr>
            <w:tcW w:w="4535" w:type="dxa"/>
            <w:vAlign w:val="center"/>
          </w:tcPr>
          <w:p>
            <w:pPr>
              <w:pStyle w:val="16"/>
            </w:pPr>
            <w:r>
              <w:t>农村基础设施建设支出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858.00</w:t>
            </w:r>
          </w:p>
        </w:tc>
        <w:tc>
          <w:tcPr>
            <w:tcW w:w="3402" w:type="dxa"/>
            <w:vAlign w:val="center"/>
          </w:tcPr>
          <w:p>
            <w:pPr>
              <w:pStyle w:val="16"/>
            </w:pPr>
            <w:r>
              <w:t>一、一般公共服务支出</w:t>
            </w:r>
          </w:p>
        </w:tc>
        <w:tc>
          <w:tcPr>
            <w:tcW w:w="1474" w:type="dxa"/>
            <w:vAlign w:val="center"/>
          </w:tcPr>
          <w:p>
            <w:pPr>
              <w:pStyle w:val="15"/>
            </w:pPr>
            <w:r>
              <w:t>678.00</w:t>
            </w:r>
          </w:p>
        </w:tc>
        <w:tc>
          <w:tcPr>
            <w:tcW w:w="1474" w:type="dxa"/>
            <w:vAlign w:val="center"/>
          </w:tcPr>
          <w:p>
            <w:pPr>
              <w:pStyle w:val="15"/>
            </w:pPr>
            <w:r>
              <w:t>678.00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120.00</w:t>
            </w:r>
          </w:p>
        </w:tc>
        <w:tc>
          <w:tcPr>
            <w:tcW w:w="1474" w:type="dxa"/>
            <w:vAlign w:val="center"/>
          </w:tcPr>
          <w:p>
            <w:pPr>
              <w:pStyle w:val="15"/>
            </w:pPr>
            <w:r>
              <w:t>120.00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60.00</w:t>
            </w:r>
          </w:p>
        </w:tc>
        <w:tc>
          <w:tcPr>
            <w:tcW w:w="1474" w:type="dxa"/>
            <w:vAlign w:val="center"/>
          </w:tcPr>
          <w:p>
            <w:pPr>
              <w:pStyle w:val="15"/>
            </w:pPr>
            <w:r>
              <w:t>60.00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50.00</w:t>
            </w:r>
          </w:p>
        </w:tc>
        <w:tc>
          <w:tcPr>
            <w:tcW w:w="1474" w:type="dxa"/>
            <w:vAlign w:val="center"/>
          </w:tcPr>
          <w:p>
            <w:pPr>
              <w:pStyle w:val="15"/>
            </w:pPr>
          </w:p>
        </w:tc>
        <w:tc>
          <w:tcPr>
            <w:tcW w:w="1474" w:type="dxa"/>
            <w:vAlign w:val="center"/>
          </w:tcPr>
          <w:p>
            <w:pPr>
              <w:pStyle w:val="15"/>
            </w:pPr>
            <w:r>
              <w:t>50.00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858.00</w:t>
            </w:r>
          </w:p>
        </w:tc>
        <w:tc>
          <w:tcPr>
            <w:tcW w:w="3402" w:type="dxa"/>
            <w:vAlign w:val="center"/>
          </w:tcPr>
          <w:p>
            <w:pPr>
              <w:pStyle w:val="18"/>
            </w:pPr>
            <w:r>
              <w:t>本年支出合计</w:t>
            </w:r>
          </w:p>
        </w:tc>
        <w:tc>
          <w:tcPr>
            <w:tcW w:w="1474" w:type="dxa"/>
            <w:vAlign w:val="center"/>
          </w:tcPr>
          <w:p>
            <w:pPr>
              <w:pStyle w:val="19"/>
            </w:pPr>
            <w:r>
              <w:t>908.00</w:t>
            </w:r>
          </w:p>
        </w:tc>
        <w:tc>
          <w:tcPr>
            <w:tcW w:w="1474" w:type="dxa"/>
            <w:vAlign w:val="center"/>
          </w:tcPr>
          <w:p>
            <w:pPr>
              <w:pStyle w:val="19"/>
            </w:pPr>
            <w:r>
              <w:t>858.00</w:t>
            </w:r>
          </w:p>
        </w:tc>
        <w:tc>
          <w:tcPr>
            <w:tcW w:w="1474" w:type="dxa"/>
            <w:vAlign w:val="center"/>
          </w:tcPr>
          <w:p>
            <w:pPr>
              <w:pStyle w:val="19"/>
            </w:pPr>
            <w:r>
              <w:t>50.00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50.00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50.00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908.00</w:t>
            </w:r>
          </w:p>
        </w:tc>
        <w:tc>
          <w:tcPr>
            <w:tcW w:w="3402" w:type="dxa"/>
            <w:vAlign w:val="center"/>
          </w:tcPr>
          <w:p>
            <w:pPr>
              <w:pStyle w:val="18"/>
            </w:pPr>
            <w:r>
              <w:t>支出总计</w:t>
            </w:r>
          </w:p>
        </w:tc>
        <w:tc>
          <w:tcPr>
            <w:tcW w:w="1474" w:type="dxa"/>
            <w:vAlign w:val="center"/>
          </w:tcPr>
          <w:p>
            <w:pPr>
              <w:pStyle w:val="19"/>
            </w:pPr>
            <w:r>
              <w:t>908.00</w:t>
            </w:r>
          </w:p>
        </w:tc>
        <w:tc>
          <w:tcPr>
            <w:tcW w:w="1474" w:type="dxa"/>
            <w:vAlign w:val="center"/>
          </w:tcPr>
          <w:p>
            <w:pPr>
              <w:pStyle w:val="19"/>
            </w:pPr>
            <w:r>
              <w:t>858.00</w:t>
            </w:r>
          </w:p>
        </w:tc>
        <w:tc>
          <w:tcPr>
            <w:tcW w:w="1474" w:type="dxa"/>
            <w:vAlign w:val="center"/>
          </w:tcPr>
          <w:p>
            <w:pPr>
              <w:pStyle w:val="19"/>
            </w:pPr>
            <w:r>
              <w:t>50.00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858.00</w:t>
            </w:r>
          </w:p>
        </w:tc>
        <w:tc>
          <w:tcPr>
            <w:tcW w:w="2551" w:type="dxa"/>
            <w:vAlign w:val="center"/>
          </w:tcPr>
          <w:p>
            <w:pPr>
              <w:pStyle w:val="19"/>
            </w:pPr>
            <w:r>
              <w:t>858.00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678.00</w:t>
            </w:r>
          </w:p>
        </w:tc>
        <w:tc>
          <w:tcPr>
            <w:tcW w:w="2551" w:type="dxa"/>
            <w:vAlign w:val="center"/>
          </w:tcPr>
          <w:p>
            <w:pPr>
              <w:pStyle w:val="15"/>
            </w:pPr>
            <w:r>
              <w:t>678.00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678.00</w:t>
            </w:r>
          </w:p>
        </w:tc>
        <w:tc>
          <w:tcPr>
            <w:tcW w:w="2551" w:type="dxa"/>
            <w:vAlign w:val="center"/>
          </w:tcPr>
          <w:p>
            <w:pPr>
              <w:pStyle w:val="15"/>
            </w:pPr>
            <w:r>
              <w:t>678.00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678.00</w:t>
            </w:r>
          </w:p>
        </w:tc>
        <w:tc>
          <w:tcPr>
            <w:tcW w:w="2551" w:type="dxa"/>
            <w:vAlign w:val="center"/>
          </w:tcPr>
          <w:p>
            <w:pPr>
              <w:pStyle w:val="15"/>
            </w:pPr>
            <w:r>
              <w:t>678.00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120.00</w:t>
            </w:r>
          </w:p>
        </w:tc>
        <w:tc>
          <w:tcPr>
            <w:tcW w:w="2551" w:type="dxa"/>
            <w:vAlign w:val="center"/>
          </w:tcPr>
          <w:p>
            <w:pPr>
              <w:pStyle w:val="15"/>
            </w:pPr>
            <w:r>
              <w:t>120.00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120.00</w:t>
            </w:r>
          </w:p>
        </w:tc>
        <w:tc>
          <w:tcPr>
            <w:tcW w:w="2551" w:type="dxa"/>
            <w:vAlign w:val="center"/>
          </w:tcPr>
          <w:p>
            <w:pPr>
              <w:pStyle w:val="15"/>
            </w:pPr>
            <w:r>
              <w:t>120.00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100.00</w:t>
            </w:r>
          </w:p>
        </w:tc>
        <w:tc>
          <w:tcPr>
            <w:tcW w:w="2551" w:type="dxa"/>
            <w:vAlign w:val="center"/>
          </w:tcPr>
          <w:p>
            <w:pPr>
              <w:pStyle w:val="15"/>
            </w:pPr>
            <w:r>
              <w:t>100.00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20.00</w:t>
            </w:r>
          </w:p>
        </w:tc>
        <w:tc>
          <w:tcPr>
            <w:tcW w:w="2551" w:type="dxa"/>
            <w:vAlign w:val="center"/>
          </w:tcPr>
          <w:p>
            <w:pPr>
              <w:pStyle w:val="15"/>
            </w:pPr>
            <w:r>
              <w:t>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858.00</w:t>
            </w:r>
          </w:p>
        </w:tc>
        <w:tc>
          <w:tcPr>
            <w:tcW w:w="2551" w:type="dxa"/>
            <w:vAlign w:val="center"/>
          </w:tcPr>
          <w:p>
            <w:pPr>
              <w:pStyle w:val="19"/>
            </w:pPr>
            <w:r>
              <w:t>693.50</w:t>
            </w:r>
          </w:p>
        </w:tc>
        <w:tc>
          <w:tcPr>
            <w:tcW w:w="2551" w:type="dxa"/>
            <w:vAlign w:val="center"/>
          </w:tcPr>
          <w:p>
            <w:pPr>
              <w:pStyle w:val="19"/>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680.00</w:t>
            </w:r>
          </w:p>
        </w:tc>
        <w:tc>
          <w:tcPr>
            <w:tcW w:w="2551" w:type="dxa"/>
            <w:vAlign w:val="center"/>
          </w:tcPr>
          <w:p>
            <w:pPr>
              <w:pStyle w:val="15"/>
            </w:pPr>
            <w:r>
              <w:t>680.00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266.00</w:t>
            </w:r>
          </w:p>
        </w:tc>
        <w:tc>
          <w:tcPr>
            <w:tcW w:w="2551" w:type="dxa"/>
            <w:vAlign w:val="center"/>
          </w:tcPr>
          <w:p>
            <w:pPr>
              <w:pStyle w:val="15"/>
            </w:pPr>
            <w:r>
              <w:t>266.00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153.00</w:t>
            </w:r>
          </w:p>
        </w:tc>
        <w:tc>
          <w:tcPr>
            <w:tcW w:w="2551" w:type="dxa"/>
            <w:vAlign w:val="center"/>
          </w:tcPr>
          <w:p>
            <w:pPr>
              <w:pStyle w:val="15"/>
            </w:pPr>
            <w:r>
              <w:t>153.00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57.00</w:t>
            </w:r>
          </w:p>
        </w:tc>
        <w:tc>
          <w:tcPr>
            <w:tcW w:w="2551" w:type="dxa"/>
            <w:vAlign w:val="center"/>
          </w:tcPr>
          <w:p>
            <w:pPr>
              <w:pStyle w:val="15"/>
            </w:pPr>
            <w:r>
              <w:t>57.00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100.00</w:t>
            </w:r>
          </w:p>
        </w:tc>
        <w:tc>
          <w:tcPr>
            <w:tcW w:w="2551" w:type="dxa"/>
            <w:vAlign w:val="center"/>
          </w:tcPr>
          <w:p>
            <w:pPr>
              <w:pStyle w:val="15"/>
            </w:pPr>
            <w:r>
              <w:t>100.00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20.00</w:t>
            </w:r>
          </w:p>
        </w:tc>
        <w:tc>
          <w:tcPr>
            <w:tcW w:w="2551" w:type="dxa"/>
            <w:vAlign w:val="center"/>
          </w:tcPr>
          <w:p>
            <w:pPr>
              <w:pStyle w:val="15"/>
            </w:pPr>
            <w:r>
              <w:t>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6.00</w:t>
            </w:r>
          </w:p>
        </w:tc>
        <w:tc>
          <w:tcPr>
            <w:tcW w:w="2551" w:type="dxa"/>
            <w:vAlign w:val="center"/>
          </w:tcPr>
          <w:p>
            <w:pPr>
              <w:pStyle w:val="15"/>
            </w:pPr>
            <w:r>
              <w:t>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164.50</w:t>
            </w:r>
          </w:p>
        </w:tc>
        <w:tc>
          <w:tcPr>
            <w:tcW w:w="2551" w:type="dxa"/>
            <w:vAlign w:val="center"/>
          </w:tcPr>
          <w:p>
            <w:pPr>
              <w:pStyle w:val="15"/>
            </w:pPr>
          </w:p>
        </w:tc>
        <w:tc>
          <w:tcPr>
            <w:tcW w:w="2551" w:type="dxa"/>
            <w:vAlign w:val="center"/>
          </w:tcPr>
          <w:p>
            <w:pPr>
              <w:pStyle w:val="15"/>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35.00</w:t>
            </w:r>
          </w:p>
        </w:tc>
        <w:tc>
          <w:tcPr>
            <w:tcW w:w="2551" w:type="dxa"/>
            <w:vAlign w:val="center"/>
          </w:tcPr>
          <w:p>
            <w:pPr>
              <w:pStyle w:val="15"/>
            </w:pPr>
          </w:p>
        </w:tc>
        <w:tc>
          <w:tcPr>
            <w:tcW w:w="2551"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6.50</w:t>
            </w:r>
          </w:p>
        </w:tc>
        <w:tc>
          <w:tcPr>
            <w:tcW w:w="2551" w:type="dxa"/>
            <w:vAlign w:val="center"/>
          </w:tcPr>
          <w:p>
            <w:pPr>
              <w:pStyle w:val="15"/>
            </w:pP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13.50</w:t>
            </w:r>
          </w:p>
        </w:tc>
        <w:tc>
          <w:tcPr>
            <w:tcW w:w="2551" w:type="dxa"/>
            <w:vAlign w:val="center"/>
          </w:tcPr>
          <w:p>
            <w:pPr>
              <w:pStyle w:val="15"/>
            </w:pPr>
            <w:r>
              <w:t>13.50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13.50</w:t>
            </w:r>
          </w:p>
        </w:tc>
        <w:tc>
          <w:tcPr>
            <w:tcW w:w="2551" w:type="dxa"/>
            <w:vAlign w:val="center"/>
          </w:tcPr>
          <w:p>
            <w:pPr>
              <w:pStyle w:val="15"/>
            </w:pPr>
            <w:r>
              <w:t>13.50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50.00</w:t>
            </w:r>
          </w:p>
        </w:tc>
        <w:tc>
          <w:tcPr>
            <w:tcW w:w="2551" w:type="dxa"/>
            <w:vAlign w:val="center"/>
          </w:tcPr>
          <w:p>
            <w:pPr>
              <w:pStyle w:val="19"/>
            </w:pPr>
          </w:p>
        </w:tc>
        <w:tc>
          <w:tcPr>
            <w:tcW w:w="2551" w:type="dxa"/>
            <w:vAlign w:val="center"/>
          </w:tcPr>
          <w:p>
            <w:pPr>
              <w:pStyle w:val="1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2120804</w:t>
            </w:r>
          </w:p>
        </w:tc>
        <w:tc>
          <w:tcPr>
            <w:tcW w:w="4535" w:type="dxa"/>
            <w:vAlign w:val="center"/>
          </w:tcPr>
          <w:p>
            <w:pPr>
              <w:pStyle w:val="16"/>
            </w:pPr>
            <w:r>
              <w:t>农村基础设施建设支出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rPr>
                <w:rFonts w:hint="default" w:eastAsia="方正书宋_GBK"/>
                <w:lang w:val="en-US" w:eastAsia="zh-CN"/>
              </w:rPr>
            </w:pPr>
          </w:p>
        </w:tc>
        <w:tc>
          <w:tcPr>
            <w:tcW w:w="2381" w:type="dxa"/>
            <w:vAlign w:val="center"/>
          </w:tcPr>
          <w:p>
            <w:pPr>
              <w:pStyle w:val="15"/>
              <w:jc w:val="center"/>
              <w:rPr>
                <w:rFonts w:hint="default" w:eastAsia="方正书宋_GBK"/>
                <w:lang w:val="en-US" w:eastAsia="zh-CN"/>
              </w:rPr>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无极县南流乡人民政府2023年部门预算信息公开情况说明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无极县南流乡人民政府2023年部门预算信息公开情况说明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、《地方预决算公开操作规程》和《关于进一步推进预算公开工作的实施意见》规定，现将无极县南流乡人民政府2023年部门预算公开如下：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乡党委、政府通过组织群众、宣传群众、教育群众、服务群众，切实贯彻落实党和国家在农村的各项方针政策和法律法规，执行本级人民代表大会的决议和上级行政机关的决定和命令，围绕农业、农村、农民搞好服务。</w:t>
      </w:r>
    </w:p>
    <w:p>
      <w:pPr>
        <w:pStyle w:val="21"/>
      </w:pPr>
      <w:r>
        <w:t>一是促进经济发展、增加农民收入。搞好本乡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配合农口部门做好农业技术推广和服务工作。</w:t>
      </w:r>
    </w:p>
    <w:p>
      <w:pPr>
        <w:pStyle w:val="21"/>
      </w:pPr>
      <w:r>
        <w:t>二是加强社会管理，营建和谐社会。加强乡村财政资金监督管理，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lang w:eastAsia="zh-CN"/>
        </w:rPr>
        <w:t>构建和谐社会</w:t>
      </w:r>
      <w:r>
        <w:t>的具体措施，并抓好组织实施。配合城建、</w:t>
      </w:r>
      <w:r>
        <w:rPr>
          <w:rFonts w:hint="eastAsia"/>
          <w:lang w:eastAsia="zh-CN"/>
        </w:rPr>
        <w:t>国土资源部</w:t>
      </w:r>
      <w:r>
        <w:t>门做好乡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1"/>
      </w:pPr>
      <w: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1"/>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无极县南流乡人民政府本级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部门预算的编制实行综合预算管理，即全部收入和支出都反映在预算中。无极县南流乡人民政府机关及所属事业单位的收支包含在部门预算中。</w:t>
      </w:r>
    </w:p>
    <w:p>
      <w:pPr>
        <w:pStyle w:val="22"/>
      </w:pPr>
      <w:r>
        <w:t>1、收入说明</w:t>
      </w:r>
    </w:p>
    <w:p>
      <w:pPr>
        <w:pStyle w:val="22"/>
      </w:pPr>
      <w:r>
        <w:t>2023年预算收入</w:t>
      </w:r>
      <w:r>
        <w:rPr>
          <w:rFonts w:hint="eastAsia"/>
          <w:lang w:val="en-US" w:eastAsia="zh-CN"/>
        </w:rPr>
        <w:t>90</w:t>
      </w:r>
      <w:r>
        <w:t>8万元，其中：一般公共预算收入8</w:t>
      </w:r>
      <w:r>
        <w:rPr>
          <w:rFonts w:hint="eastAsia"/>
          <w:lang w:val="en-US" w:eastAsia="zh-CN"/>
        </w:rPr>
        <w:t>5</w:t>
      </w:r>
      <w:r>
        <w:t>8万元，</w:t>
      </w:r>
      <w:r>
        <w:rPr>
          <w:rFonts w:hint="eastAsia"/>
          <w:lang w:val="en-US" w:eastAsia="zh-CN"/>
        </w:rPr>
        <w:t>上年结余5</w:t>
      </w:r>
      <w:r>
        <w:t>0万元。</w:t>
      </w:r>
    </w:p>
    <w:p>
      <w:pPr>
        <w:pStyle w:val="22"/>
      </w:pPr>
      <w:r>
        <w:t>2、支出说明</w:t>
      </w:r>
    </w:p>
    <w:p>
      <w:pPr>
        <w:pStyle w:val="22"/>
      </w:pPr>
      <w:r>
        <w:t>收支预算总表支出栏、基本支出表、项目支出表按经济分类和支出功能分类科目编制，反映年度部门预算中支出预算的总体情况。2023年部门支出预算为</w:t>
      </w:r>
      <w:r>
        <w:rPr>
          <w:rFonts w:hint="eastAsia"/>
          <w:lang w:val="en-US" w:eastAsia="zh-CN"/>
        </w:rPr>
        <w:t>90</w:t>
      </w:r>
      <w:r>
        <w:t>8万元，其中基本支出8</w:t>
      </w:r>
      <w:r>
        <w:rPr>
          <w:rFonts w:hint="eastAsia"/>
          <w:lang w:val="en-US" w:eastAsia="zh-CN"/>
        </w:rPr>
        <w:t>5</w:t>
      </w:r>
      <w:r>
        <w:t>8万元，包括人员经费</w:t>
      </w:r>
      <w:r>
        <w:rPr>
          <w:rFonts w:hint="eastAsia"/>
          <w:lang w:val="en-US" w:eastAsia="zh-CN"/>
        </w:rPr>
        <w:t>693.5</w:t>
      </w:r>
      <w:r>
        <w:t>万元和日常公用经费</w:t>
      </w:r>
      <w:r>
        <w:rPr>
          <w:rFonts w:hint="eastAsia"/>
          <w:lang w:val="en-US" w:eastAsia="zh-CN"/>
        </w:rPr>
        <w:t>164.5</w:t>
      </w:r>
      <w:r>
        <w:t>万元；其他支出</w:t>
      </w:r>
      <w:r>
        <w:rPr>
          <w:rFonts w:hint="eastAsia"/>
          <w:lang w:val="en-US" w:eastAsia="zh-CN"/>
        </w:rPr>
        <w:t>5</w:t>
      </w:r>
      <w:r>
        <w:t>0万元。</w:t>
      </w:r>
    </w:p>
    <w:p>
      <w:pPr>
        <w:pStyle w:val="22"/>
      </w:pPr>
      <w:r>
        <w:t>3、比上年增减情况</w:t>
      </w:r>
    </w:p>
    <w:p>
      <w:pPr>
        <w:pStyle w:val="22"/>
      </w:pPr>
      <w:r>
        <w:t>2023年部门预算收支安排</w:t>
      </w:r>
      <w:r>
        <w:rPr>
          <w:rFonts w:hint="eastAsia"/>
          <w:lang w:val="en-US" w:eastAsia="zh-CN"/>
        </w:rPr>
        <w:t>90</w:t>
      </w:r>
      <w:r>
        <w:t>8万元，较2022年</w:t>
      </w:r>
      <w:r>
        <w:rPr>
          <w:rFonts w:hint="eastAsia"/>
          <w:lang w:val="en-US" w:eastAsia="zh-CN"/>
        </w:rPr>
        <w:t>减少254.3</w:t>
      </w:r>
      <w:r>
        <w:t>万元，其中：</w:t>
      </w:r>
      <w:r>
        <w:rPr>
          <w:rFonts w:hint="eastAsia"/>
          <w:lang w:val="en-US" w:eastAsia="zh-CN"/>
        </w:rPr>
        <w:t>主要是项目支出减少</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w:t>
      </w:r>
      <w:r>
        <w:rPr>
          <w:rFonts w:hint="eastAsia"/>
          <w:lang w:val="en-US" w:eastAsia="zh-CN"/>
        </w:rPr>
        <w:t>164.5</w:t>
      </w:r>
      <w:r>
        <w:t>元，主要用于保证机关正常运转的办公费及印刷费、邮电费、水电费、公务车运行维护费等支出。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w:t>
      </w:r>
      <w:r>
        <w:rPr>
          <w:rFonts w:hint="eastAsia"/>
          <w:lang w:val="en-US" w:eastAsia="zh-CN"/>
        </w:rPr>
        <w:t>与上年持平。</w:t>
      </w:r>
      <w:r>
        <w:t>其中：因公出国（境）费0万元；公务用车购置及运维费3万元（其中：公务用车购置费0万元，公务用车运行维护费3万元)；公务接待费0万元。</w:t>
      </w:r>
      <w:r>
        <w:rPr>
          <w:rFonts w:hint="eastAsia"/>
          <w:lang w:val="en-US" w:eastAsia="zh-CN"/>
        </w:rPr>
        <w:t>原因为严格按照公务用车相关制度执行，厉行节俭</w:t>
      </w:r>
      <w:r>
        <w:t>。</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 xml:space="preserve">1．进一步转变政府职能    </w:t>
      </w:r>
    </w:p>
    <w:p>
      <w:pPr>
        <w:pStyle w:val="25"/>
      </w:pPr>
      <w:r>
        <w:t>依法全面履行政府职能。注重强化社会管理职能和公共服务职能。依法加强对社会组织和社会事务的管理，妥善协调各种利益关系，增强维护公共安全和处理突发事件的能力，维护社会公正、社会秩序和社会稳定。进一步完善政府管理体制，合理划分和依法规范行政机关的职能、权限。</w:t>
      </w:r>
    </w:p>
    <w:p>
      <w:pPr>
        <w:pStyle w:val="25"/>
      </w:pPr>
      <w:r>
        <w:t xml:space="preserve">2、努力提高行政效率 </w:t>
      </w:r>
    </w:p>
    <w:p>
      <w:pPr>
        <w:pStyle w:val="25"/>
      </w:pPr>
      <w:r>
        <w:t xml:space="preserve">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按照上级机关关于乡镇各项工作安排，进一步推进新农村建设，加快农村基础设施建设，保护农业资源，进行自然生态建设。保障便民服务中心的正常运转，宣传并落实社会救助政策，保障义务教育、信访、安全维稳、党代会、人代会、纪检监察、党建、服务群众等各项工作正常开展。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1.保障乡政府领导和机关工作办公环境的措施，提升了服务管理水平，保障了乡领导和机关工作的正常运行。</w:t>
      </w:r>
    </w:p>
    <w:p>
      <w:pPr>
        <w:pStyle w:val="26"/>
      </w:pPr>
      <w:r>
        <w:t>绩效目标：保障办公机关正常运行。</w:t>
      </w:r>
    </w:p>
    <w:p>
      <w:pPr>
        <w:pStyle w:val="26"/>
      </w:pPr>
      <w:r>
        <w:t>绩效指标：综合事务管理工作完成率95%以上。</w:t>
      </w:r>
    </w:p>
    <w:p>
      <w:pPr>
        <w:pStyle w:val="26"/>
      </w:pPr>
      <w:r>
        <w:t>2.乡镇的信息化建设和维护，平稳推进信访工作和新闻宣传工作。</w:t>
      </w:r>
    </w:p>
    <w:p>
      <w:pPr>
        <w:pStyle w:val="26"/>
      </w:pPr>
      <w:r>
        <w:t>绩效目标：确保新闻宣传工作正常开展，信息系统运行正常，机关基础设施运转良好，信访工作平稳。机关文书档案印信管理和保密，机关人事、离退休人员服务、基建、后勤服务。</w:t>
      </w:r>
    </w:p>
    <w:p>
      <w:pPr>
        <w:pStyle w:val="26"/>
      </w:pPr>
      <w:r>
        <w:t>绩效指标：综合事务管理工作完成率90%以上。</w:t>
      </w:r>
    </w:p>
    <w:p>
      <w:pPr>
        <w:pStyle w:val="26"/>
      </w:pPr>
      <w:r>
        <w:t>3.按照统筹城乡发展的要求，组织实施农村面貌改造提升行动，加快社会主义新农村建设。</w:t>
      </w:r>
    </w:p>
    <w:p>
      <w:pPr>
        <w:pStyle w:val="26"/>
      </w:pPr>
      <w:r>
        <w:t>绩效目标：通过实施农村面貌改造提升行动，加快农村基础设施建设，改善农村环境面貌，提升农民生产生活条件。</w:t>
      </w:r>
    </w:p>
    <w:p>
      <w:pPr>
        <w:pStyle w:val="26"/>
      </w:pPr>
      <w:r>
        <w:t>绩效指标：改造提升完成率90%以上。</w:t>
      </w:r>
    </w:p>
    <w:p>
      <w:pPr>
        <w:pStyle w:val="26"/>
      </w:pPr>
      <w:r>
        <w:t>4.开展党风党纪教育，加强党内监督。</w:t>
      </w:r>
    </w:p>
    <w:p>
      <w:pPr>
        <w:pStyle w:val="26"/>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6"/>
      </w:pPr>
      <w:r>
        <w:t>绩效指标：廉政教育与党内监督工作完成率95%以上。</w:t>
      </w:r>
    </w:p>
    <w:p>
      <w:pPr>
        <w:pStyle w:val="26"/>
      </w:pPr>
      <w:r>
        <w:t>5.改善农村卫生情况。</w:t>
      </w:r>
    </w:p>
    <w:p>
      <w:pPr>
        <w:pStyle w:val="26"/>
      </w:pPr>
      <w:r>
        <w:t>绩效目标：建制村环境整治任务，保障乡村卫生，经过整治的村庄人居环境质量明显提升。</w:t>
      </w:r>
    </w:p>
    <w:p>
      <w:pPr>
        <w:pStyle w:val="26"/>
      </w:pPr>
      <w:r>
        <w:t>绩效指标：保证乡整体卫生，十二村生活垃圾均得到有效处理，保证村容村貌干净整洁，环境宜居。</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1.完善制度建设。制定完善预算绩效管理制度、资金管理办法、工作保障制度等，为全年预算绩效目标的实现奠定制度基础。</w:t>
      </w:r>
    </w:p>
    <w:p>
      <w:pPr>
        <w:pStyle w:val="27"/>
      </w:pPr>
      <w:r>
        <w:t>2.加强支出管理。优化支出结构、编细编实预算、加快履行政府采购手续、尽快启动项目、及时支付资金、按规定及时下达资金等多种措施，确保支出进度达标。</w:t>
      </w:r>
    </w:p>
    <w:p>
      <w:pPr>
        <w:pStyle w:val="27"/>
      </w:pPr>
      <w:r>
        <w:t>3.加强绩效运行监控。按要求开展绩效运行监控，发现问题及时采取措施，确保绩效目标如期保质实现。</w:t>
      </w:r>
    </w:p>
    <w:p>
      <w:pPr>
        <w:pStyle w:val="27"/>
      </w:pPr>
      <w:r>
        <w:t>4.做好绩效自评。按要求开展上年度部门预算绩效自评和重点评价工作，对评价中发现的问题及时整改，调整优化支出结构，提高财政资金使用效益。</w:t>
      </w:r>
    </w:p>
    <w:p>
      <w:pPr>
        <w:pStyle w:val="27"/>
      </w:pPr>
      <w:r>
        <w:t>5.规范财务资产管理。完善财务管理制度，严格审批程序，加强固定资产登记、使用和报废处置管理，做到支出合理，物尽其用。</w:t>
      </w:r>
    </w:p>
    <w:p>
      <w:pPr>
        <w:pStyle w:val="27"/>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tabs>
          <w:tab w:val="left" w:pos="875"/>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838"/>
        </w:tabs>
        <w:bidi w:val="0"/>
        <w:jc w:val="left"/>
        <w:rPr>
          <w:rFonts w:hint="default"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pPr>
        <w:spacing w:before="0" w:after="0"/>
        <w:ind w:firstLine="560"/>
        <w:jc w:val="left"/>
        <w:outlineLvl w:val="9"/>
      </w:pPr>
      <w:r>
        <w:rPr>
          <w:rFonts w:ascii="方正仿宋_GBK" w:hAnsi="方正仿宋_GBK" w:eastAsia="方正仿宋_GBK" w:cs="方正仿宋_GBK"/>
          <w:b/>
          <w:color w:val="000000"/>
          <w:sz w:val="28"/>
        </w:rPr>
        <w:t>1、提前下达2022年市级农村综合改革转移支付资金绩效目标表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1.扶持村级集体经济建设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村级公益事业发展</w:t>
            </w:r>
          </w:p>
        </w:tc>
        <w:tc>
          <w:tcPr>
            <w:tcW w:w="2835" w:type="dxa"/>
            <w:vAlign w:val="center"/>
          </w:tcPr>
          <w:p>
            <w:pPr>
              <w:pStyle w:val="16"/>
            </w:pPr>
            <w:r>
              <w:t>村内道路建设</w:t>
            </w:r>
          </w:p>
        </w:tc>
        <w:tc>
          <w:tcPr>
            <w:tcW w:w="2551" w:type="dxa"/>
            <w:vAlign w:val="center"/>
          </w:tcPr>
          <w:p>
            <w:pPr>
              <w:pStyle w:val="16"/>
            </w:pPr>
            <w:r>
              <w:t>≥90百分比</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项目村集体收入</w:t>
            </w:r>
          </w:p>
        </w:tc>
        <w:tc>
          <w:tcPr>
            <w:tcW w:w="2835" w:type="dxa"/>
            <w:vAlign w:val="center"/>
          </w:tcPr>
          <w:p>
            <w:pPr>
              <w:pStyle w:val="16"/>
            </w:pPr>
            <w:r>
              <w:t>明显增加</w:t>
            </w:r>
          </w:p>
        </w:tc>
        <w:tc>
          <w:tcPr>
            <w:tcW w:w="2551" w:type="dxa"/>
            <w:vAlign w:val="center"/>
          </w:tcPr>
          <w:p>
            <w:pPr>
              <w:pStyle w:val="16"/>
            </w:pPr>
            <w:r>
              <w:t>元</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公益事业发展水平有所提升</w:t>
            </w:r>
          </w:p>
        </w:tc>
        <w:tc>
          <w:tcPr>
            <w:tcW w:w="2835" w:type="dxa"/>
            <w:vAlign w:val="center"/>
          </w:tcPr>
          <w:p>
            <w:pPr>
              <w:pStyle w:val="16"/>
            </w:pPr>
            <w:r>
              <w:t>有所提升</w:t>
            </w:r>
          </w:p>
        </w:tc>
        <w:tc>
          <w:tcPr>
            <w:tcW w:w="2551" w:type="dxa"/>
            <w:vAlign w:val="center"/>
          </w:tcPr>
          <w:p>
            <w:pPr>
              <w:pStyle w:val="16"/>
            </w:pPr>
            <w:r>
              <w:t>≥90百分比</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项目村基层党组织凝聚力</w:t>
            </w:r>
          </w:p>
        </w:tc>
        <w:tc>
          <w:tcPr>
            <w:tcW w:w="2835" w:type="dxa"/>
            <w:vAlign w:val="center"/>
          </w:tcPr>
          <w:p>
            <w:pPr>
              <w:pStyle w:val="16"/>
            </w:pPr>
            <w:r>
              <w:t>有所增强</w:t>
            </w:r>
          </w:p>
        </w:tc>
        <w:tc>
          <w:tcPr>
            <w:tcW w:w="2551" w:type="dxa"/>
            <w:vAlign w:val="center"/>
          </w:tcPr>
          <w:p>
            <w:pPr>
              <w:pStyle w:val="16"/>
            </w:pPr>
            <w:r>
              <w:t>≥90百分比</w:t>
            </w:r>
          </w:p>
        </w:tc>
        <w:tc>
          <w:tcPr>
            <w:tcW w:w="2268" w:type="dxa"/>
            <w:vAlign w:val="center"/>
          </w:tcPr>
          <w:p>
            <w:pPr>
              <w:pStyle w:val="16"/>
            </w:pPr>
            <w:r>
              <w:t>有所增强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≥90百分比</w:t>
            </w:r>
          </w:p>
        </w:tc>
        <w:tc>
          <w:tcPr>
            <w:tcW w:w="2268" w:type="dxa"/>
            <w:vAlign w:val="center"/>
          </w:tcPr>
          <w:p>
            <w:pPr>
              <w:pStyle w:val="16"/>
            </w:pPr>
            <w:r>
              <w:t>有效改善</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2023年，无极县南流乡人民政府安排政府采购预算0.00万元。具体内容见下表。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940无极县南流乡人民政府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无极县南流乡人民政府（含所属单位）上年末固定资产金额为213.34万元（详见下表）。本年度拟购置固定资产总额为0.00万元。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940无极县南流乡人民政府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2000</w:t>
            </w:r>
          </w:p>
        </w:tc>
        <w:tc>
          <w:tcPr>
            <w:tcW w:w="2835" w:type="dxa"/>
            <w:vAlign w:val="center"/>
          </w:tcPr>
          <w:p>
            <w:pPr>
              <w:pStyle w:val="15"/>
            </w:pPr>
            <w:r>
              <w:t>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1400</w:t>
            </w:r>
          </w:p>
        </w:tc>
        <w:tc>
          <w:tcPr>
            <w:tcW w:w="2835" w:type="dxa"/>
            <w:vAlign w:val="center"/>
          </w:tcPr>
          <w:p>
            <w:pPr>
              <w:pStyle w:val="15"/>
            </w:pPr>
            <w:r>
              <w:t>29.53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13</w:t>
            </w:r>
          </w:p>
        </w:tc>
        <w:tc>
          <w:tcPr>
            <w:tcW w:w="2835" w:type="dxa"/>
            <w:vAlign w:val="center"/>
          </w:tcPr>
          <w:p>
            <w:pPr>
              <w:pStyle w:val="15"/>
            </w:pPr>
            <w:r>
              <w:t>90.61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74.53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210953"/>
    <w:rsid w:val="11476219"/>
    <w:rsid w:val="1E5B12CC"/>
    <w:rsid w:val="1E9F469C"/>
    <w:rsid w:val="30E14562"/>
    <w:rsid w:val="38A40511"/>
    <w:rsid w:val="5D2D1794"/>
    <w:rsid w:val="6F8F39EC"/>
    <w:rsid w:val="74C037E0"/>
    <w:rsid w:val="7AA5284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2023-05-15T14:30:01Z</dcterms:created>
  <dcterms:modified xsi:type="dcterms:W3CDTF">2023-05-15T06:30:01Z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2023-05-15T14:30:02Z</dcterms:created>
  <dcterms:modified xsi:type="dcterms:W3CDTF">2023-05-15T06:30:02Z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2023-05-15T14:30:02Z</dcterms:created>
  <dcterms:modified xsi:type="dcterms:W3CDTF">2023-05-15T06:30:02Z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2023-05-15T14:29:57Z</dcterms:created>
  <dcterms:modified xsi:type="dcterms:W3CDTF">2023-05-15T06:29:57Z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2023-05-15T14:29:58Z</dcterms:created>
  <dcterms:modified xsi:type="dcterms:W3CDTF">2023-05-15T06:29:58Z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2023-05-15T14:29:57Z</dcterms:created>
  <dcterms:modified xsi:type="dcterms:W3CDTF">2023-05-15T06:29:57Z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2023-05-15T14:29:57Z</dcterms:created>
  <dcterms:modified xsi:type="dcterms:W3CDTF">2023-05-15T06:29:57Z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c2d5d5e-009d-414e-ab69-66f78d8b7364}">
  <ds:schemaRefs/>
</ds:datastoreItem>
</file>

<file path=customXml/itemProps10.xml><?xml version="1.0" encoding="utf-8"?>
<ds:datastoreItem xmlns:ds="http://schemas.openxmlformats.org/officeDocument/2006/customXml" ds:itemID="{e3a09fdb-09f5-4e3f-a1bf-95dcaf7a8697}">
  <ds:schemaRefs/>
</ds:datastoreItem>
</file>

<file path=customXml/itemProps11.xml><?xml version="1.0" encoding="utf-8"?>
<ds:datastoreItem xmlns:ds="http://schemas.openxmlformats.org/officeDocument/2006/customXml" ds:itemID="{e691faf0-931d-4c91-a8bd-56337b019b0e}">
  <ds:schemaRefs/>
</ds:datastoreItem>
</file>

<file path=customXml/itemProps12.xml><?xml version="1.0" encoding="utf-8"?>
<ds:datastoreItem xmlns:ds="http://schemas.openxmlformats.org/officeDocument/2006/customXml" ds:itemID="{04a6d1e7-aff7-4755-8908-2857f4f17115}">
  <ds:schemaRefs/>
</ds:datastoreItem>
</file>

<file path=customXml/itemProps13.xml><?xml version="1.0" encoding="utf-8"?>
<ds:datastoreItem xmlns:ds="http://schemas.openxmlformats.org/officeDocument/2006/customXml" ds:itemID="{85f066e6-873b-4b94-81e2-b369cc0481c2}">
  <ds:schemaRefs/>
</ds:datastoreItem>
</file>

<file path=customXml/itemProps14.xml><?xml version="1.0" encoding="utf-8"?>
<ds:datastoreItem xmlns:ds="http://schemas.openxmlformats.org/officeDocument/2006/customXml" ds:itemID="{c6171448-db56-4d74-919b-76ab3288d967}">
  <ds:schemaRefs/>
</ds:datastoreItem>
</file>

<file path=customXml/itemProps2.xml><?xml version="1.0" encoding="utf-8"?>
<ds:datastoreItem xmlns:ds="http://schemas.openxmlformats.org/officeDocument/2006/customXml" ds:itemID="{c9b7daa3-feb2-421b-bbb5-76d8836fcf36}">
  <ds:schemaRefs/>
</ds:datastoreItem>
</file>

<file path=customXml/itemProps3.xml><?xml version="1.0" encoding="utf-8"?>
<ds:datastoreItem xmlns:ds="http://schemas.openxmlformats.org/officeDocument/2006/customXml" ds:itemID="{0ea6f02c-f08f-40a2-af9c-190e7b549404}">
  <ds:schemaRefs/>
</ds:datastoreItem>
</file>

<file path=customXml/itemProps4.xml><?xml version="1.0" encoding="utf-8"?>
<ds:datastoreItem xmlns:ds="http://schemas.openxmlformats.org/officeDocument/2006/customXml" ds:itemID="{fe85e7f9-f147-4b72-8856-5cc8a01e716a}">
  <ds:schemaRefs/>
</ds:datastoreItem>
</file>

<file path=customXml/itemProps5.xml><?xml version="1.0" encoding="utf-8"?>
<ds:datastoreItem xmlns:ds="http://schemas.openxmlformats.org/officeDocument/2006/customXml" ds:itemID="{9ae63a77-895d-4b62-be97-8bfe82a2053a}">
  <ds:schemaRefs/>
</ds:datastoreItem>
</file>

<file path=customXml/itemProps6.xml><?xml version="1.0" encoding="utf-8"?>
<ds:datastoreItem xmlns:ds="http://schemas.openxmlformats.org/officeDocument/2006/customXml" ds:itemID="{ab80db58-697d-4a77-beea-705ddc610fff}">
  <ds:schemaRefs/>
</ds:datastoreItem>
</file>

<file path=customXml/itemProps7.xml><?xml version="1.0" encoding="utf-8"?>
<ds:datastoreItem xmlns:ds="http://schemas.openxmlformats.org/officeDocument/2006/customXml" ds:itemID="{034fad43-8b60-4697-ab5e-2618b8b25dd6}">
  <ds:schemaRefs/>
</ds:datastoreItem>
</file>

<file path=customXml/itemProps8.xml><?xml version="1.0" encoding="utf-8"?>
<ds:datastoreItem xmlns:ds="http://schemas.openxmlformats.org/officeDocument/2006/customXml" ds:itemID="{7ae6131c-ffcf-4d63-95fe-7a65aec494c4}">
  <ds:schemaRefs/>
</ds:datastoreItem>
</file>

<file path=customXml/itemProps9.xml><?xml version="1.0" encoding="utf-8"?>
<ds:datastoreItem xmlns:ds="http://schemas.openxmlformats.org/officeDocument/2006/customXml" ds:itemID="{d5462615-db9e-4982-8d1c-751ef0374c46}">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2023-05-15T14:30:00Z</dcterms:created>
  <dc:creator>Administrator</dc:creator>
  <cp:lastModifiedBy>Administrator</cp:lastModifiedBy>
  <dcterms:modified xsi:type="dcterms:W3CDTF">2024-06-20T15:15:49Z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DD3F9A120DD941AEB84006CCEE450348</vt:lpwstr>
  </property>
</Properties>
</file>