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3" w:firstLineChars="200"/>
        <w:jc w:val="center"/>
        <w:rPr>
          <w:rFonts w:hint="eastAsia" w:ascii="仿宋" w:hAnsi="仿宋" w:eastAsia="仿宋" w:cs="仿宋"/>
          <w:b/>
          <w:bCs/>
          <w:sz w:val="44"/>
          <w:szCs w:val="44"/>
          <w:lang w:val="en-US" w:eastAsia="zh-CN"/>
        </w:rPr>
      </w:pPr>
      <w:bookmarkStart w:id="23" w:name="_GoBack"/>
      <w:bookmarkEnd w:id="23"/>
      <w:r>
        <w:rPr>
          <w:rFonts w:hint="eastAsia" w:ascii="仿宋" w:hAnsi="仿宋" w:eastAsia="仿宋" w:cs="仿宋"/>
          <w:b/>
          <w:bCs/>
          <w:sz w:val="44"/>
          <w:szCs w:val="44"/>
          <w:lang w:val="en-US" w:eastAsia="zh-CN"/>
        </w:rPr>
        <w:t>无极县自然资源和规划局</w:t>
      </w:r>
    </w:p>
    <w:p>
      <w:pPr>
        <w:ind w:firstLine="883" w:firstLineChars="200"/>
        <w:jc w:val="center"/>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2020年部门预算信息公开情况说明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w:t>
      </w:r>
      <w:r>
        <w:rPr>
          <w:rFonts w:hint="eastAsia" w:ascii="仿宋" w:hAnsi="仿宋" w:eastAsia="仿宋" w:cs="仿宋"/>
          <w:sz w:val="32"/>
          <w:szCs w:val="32"/>
          <w:lang w:val="en-US" w:eastAsia="zh-CN"/>
        </w:rPr>
        <w:t>自然资源和规划局2020年</w:t>
      </w:r>
      <w:r>
        <w:rPr>
          <w:rFonts w:hint="eastAsia" w:ascii="仿宋" w:hAnsi="仿宋" w:eastAsia="仿宋"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 xml:space="preserve"> 贯彻落实党中央和省、市、县委关于自然资源和规划、林业草原工作的方针政策和决策部署，坚持和加强党对自然资源和规划、林业和草原工作的集中统一领导。主要职责是：</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（九）负责管理全县地质勘查行业和地质工作。编制地质勘查规划并监督检查执行情况。管理县级地质勘查项目。组织实施重大地质矿产勘查专项。负责古生物化石的监督管理。</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（十二）负责全县测绘地理信息管理工作。负责基础测绘、规划勘察及测绘行业管理。负责测绘资质资格与信用管理，监督管理地理信息安全和市场秩序。负责地理信息公共服务管理。负责测量标志保护。</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u w:val="single"/>
        </w:rPr>
      </w:pPr>
      <w:r>
        <w:rPr>
          <w:sz w:val="32"/>
        </w:rP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9"/>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96"/>
        <w:jc w:val="both"/>
        <w:rPr>
          <w:sz w:val="32"/>
        </w:rPr>
      </w:pPr>
      <w:r>
        <w:rPr>
          <w:sz w:val="32"/>
        </w:rPr>
        <w:t>（十四）查处全县自然资源开发利用、国土空间规划及测绘违法案件。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（十五）承担无极县城乡规划委员会的日常工作。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（十六）组织开展自然资源和规划领域对外交流合作。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十八）负责全县造林绿化工作，组织实施林业和草原重点生态保护修复工程，负责全县公益林和商品林的培育、划定和管理，组织、指导、监督全民义务植树、城乡绿化工作。负责林业和草原有害生物防治、检疫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（十九）拟订全县林地保护利用规划并组织实施，监督执行采伐限额；管理县属国有林场森林资源；拟订全县湿地生态保护修复规划并组织实施，监督管理湿地的开发利用。</w:t>
      </w:r>
    </w:p>
    <w:p>
      <w:pPr>
        <w:tabs>
          <w:tab w:val="left" w:pos="10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645"/>
        <w:rPr>
          <w:rFonts w:ascii="宋体" w:hAnsi="宋体" w:eastAsia="宋体"/>
          <w:sz w:val="32"/>
        </w:rPr>
      </w:pPr>
      <w:r>
        <w:rPr>
          <w:rFonts w:ascii="宋体" w:hAnsi="宋体" w:eastAsia="宋体"/>
          <w:sz w:val="32"/>
        </w:rPr>
        <w:t>（二十）负责监督管理荒漠化防治工作，组织开展荒漠调查，拟订全县防沙治沙及沙化土地封禁保护区建设规划并组织实施，监督管理沙化土地的开发利用，组织沙尘暴灾害应急处置。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28"/>
        <w:rPr>
          <w:rFonts w:ascii="宋体" w:hAnsi="宋体" w:eastAsia="宋体"/>
          <w:sz w:val="32"/>
        </w:rPr>
      </w:pPr>
      <w:r>
        <w:rPr>
          <w:rFonts w:ascii="宋体" w:hAnsi="宋体" w:eastAsia="宋体"/>
          <w:sz w:val="32"/>
        </w:rPr>
        <w:t>（二十一）负责全县陆生野生动植物资源保护工作，组织开展资源调查，负责陆生野生动植物的救护繁育、栖息地恢复发展、疫源疫病监测，监督管理陆生野生动植物猎捕或采集、驯养繁殖或培植、经营利用。</w:t>
      </w:r>
    </w:p>
    <w:p>
      <w:pPr>
        <w:tabs>
          <w:tab w:val="left" w:pos="10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645"/>
        <w:rPr>
          <w:rFonts w:ascii="宋体" w:hAnsi="宋体" w:eastAsia="宋体"/>
          <w:sz w:val="32"/>
        </w:rPr>
      </w:pPr>
      <w:r>
        <w:rPr>
          <w:rFonts w:ascii="宋体" w:hAnsi="宋体" w:eastAsia="宋体"/>
          <w:sz w:val="32"/>
        </w:rP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（二十三）负责推进全县集体林权制度、国有林场、草原等改革工作，负责农村林业发展、维护林业经营者合法权益，指导监督农村林地承包经营工作，负责开展退耕还林、天然林保护工作。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（二十五）负责林业和草原科技推广、教育培训工作，负责林业和草原人才队伍建设工作。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（二十六）负责全县林业和草原相关工作。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（二十七）负责城乡规划方面法律法规规章规定的行政处罚。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宋体" w:hAnsi="宋体" w:eastAsia="宋体"/>
          <w:sz w:val="32"/>
        </w:rPr>
      </w:pPr>
      <w:r>
        <w:rPr>
          <w:rFonts w:ascii="宋体" w:hAnsi="宋体" w:eastAsia="宋体"/>
          <w:sz w:val="32"/>
        </w:rPr>
        <w:t>（二十八）完成县委、县政府交办的其他任务。</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96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3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单位名称</w:t>
            </w:r>
          </w:p>
        </w:tc>
        <w:tc>
          <w:tcPr>
            <w:tcW w:w="1134"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单位性质</w:t>
            </w:r>
          </w:p>
        </w:tc>
        <w:tc>
          <w:tcPr>
            <w:tcW w:w="12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w:t>
            </w:r>
          </w:p>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规格</w:t>
            </w:r>
          </w:p>
        </w:tc>
        <w:tc>
          <w:tcPr>
            <w:tcW w:w="3373"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134"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276"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3373" w:type="dxa"/>
            <w:vMerge w:val="continue"/>
            <w:vAlign w:val="center"/>
          </w:tcPr>
          <w:p>
            <w:pPr>
              <w:spacing w:line="300" w:lineRule="exact"/>
              <w:jc w:val="center"/>
              <w:outlineLvl w:val="0"/>
              <w:rPr>
                <w:rFonts w:ascii="仿宋_GB2312" w:hAnsi="仿宋_GB2312" w:eastAsia="仿宋_GB2312" w:cs="仿宋_GB2312"/>
                <w:bCs/>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827" w:type="dxa"/>
            <w:vAlign w:val="center"/>
          </w:tcPr>
          <w:p>
            <w:pPr>
              <w:spacing w:line="300" w:lineRule="exact"/>
              <w:jc w:val="center"/>
              <w:rPr>
                <w:rFonts w:hint="eastAsia" w:ascii="仿宋_GB2312" w:hAnsi="仿宋_GB2312" w:eastAsia="仿宋_GB2312" w:cs="仿宋_GB2312"/>
                <w:bCs/>
                <w:sz w:val="32"/>
                <w:szCs w:val="32"/>
                <w:lang w:eastAsia="zh-CN"/>
              </w:rPr>
            </w:pPr>
            <w:r>
              <w:rPr>
                <w:rFonts w:hint="eastAsia" w:ascii="仿宋" w:hAnsi="仿宋" w:eastAsia="仿宋" w:cs="仿宋"/>
                <w:sz w:val="32"/>
                <w:szCs w:val="32"/>
              </w:rPr>
              <w:t>无极县</w:t>
            </w:r>
            <w:r>
              <w:rPr>
                <w:rFonts w:hint="eastAsia" w:ascii="仿宋" w:hAnsi="仿宋" w:eastAsia="仿宋" w:cs="仿宋"/>
                <w:sz w:val="32"/>
                <w:szCs w:val="32"/>
                <w:lang w:val="en-US" w:eastAsia="zh-CN"/>
              </w:rPr>
              <w:t>自然资源和规划局</w:t>
            </w:r>
          </w:p>
        </w:tc>
        <w:tc>
          <w:tcPr>
            <w:tcW w:w="1134" w:type="dxa"/>
            <w:vAlign w:val="center"/>
          </w:tcPr>
          <w:p>
            <w:pPr>
              <w:spacing w:line="300" w:lineRule="exact"/>
              <w:jc w:val="center"/>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机关</w:t>
            </w:r>
          </w:p>
        </w:tc>
        <w:tc>
          <w:tcPr>
            <w:tcW w:w="1276"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正科级</w:t>
            </w:r>
          </w:p>
        </w:tc>
        <w:tc>
          <w:tcPr>
            <w:tcW w:w="3373"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财政性资金基本保证</w:t>
            </w:r>
          </w:p>
        </w:tc>
      </w:tr>
    </w:tbl>
    <w:p>
      <w:pPr>
        <w:jc w:val="center"/>
        <w:rPr>
          <w:rFonts w:ascii="仿宋_GB2312" w:hAnsi="仿宋_GB2312" w:eastAsia="仿宋_GB2312"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0"/>
          <w:szCs w:val="30"/>
        </w:rPr>
        <w:t>。</w:t>
      </w:r>
    </w:p>
    <w:p>
      <w:pPr>
        <w:pStyle w:val="6"/>
        <w:numPr>
          <w:ilvl w:val="0"/>
          <w:numId w:val="1"/>
        </w:numPr>
        <w:ind w:firstLineChars="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
          <w:sz w:val="32"/>
          <w:szCs w:val="32"/>
        </w:rPr>
        <w:t>无极县</w:t>
      </w:r>
      <w:r>
        <w:rPr>
          <w:rFonts w:hint="eastAsia" w:ascii="仿宋" w:hAnsi="仿宋" w:eastAsia="仿宋" w:cs="仿宋"/>
          <w:sz w:val="32"/>
          <w:szCs w:val="32"/>
          <w:lang w:val="en-US" w:eastAsia="zh-CN"/>
        </w:rPr>
        <w:t>自然资源和规划局</w:t>
      </w:r>
      <w:r>
        <w:rPr>
          <w:rFonts w:hint="eastAsia" w:ascii="仿宋" w:hAnsi="仿宋" w:eastAsia="仿宋" w:cs="仿宋_GB2312"/>
          <w:bCs/>
          <w:sz w:val="32"/>
          <w:szCs w:val="32"/>
          <w:lang w:val="en-US" w:eastAsia="zh-CN"/>
        </w:rPr>
        <w:t>2020</w:t>
      </w:r>
      <w:r>
        <w:rPr>
          <w:rFonts w:hint="eastAsia" w:ascii="仿宋" w:hAnsi="仿宋" w:eastAsia="仿宋" w:cs="仿宋_GB2312"/>
          <w:bCs/>
          <w:sz w:val="32"/>
          <w:szCs w:val="32"/>
        </w:rPr>
        <w:t>年预算收入总计</w:t>
      </w:r>
      <w:r>
        <w:rPr>
          <w:rFonts w:hint="eastAsia" w:ascii="仿宋" w:hAnsi="仿宋" w:eastAsia="仿宋" w:cs="仿宋_GB2312"/>
          <w:bCs/>
          <w:sz w:val="32"/>
          <w:szCs w:val="32"/>
          <w:lang w:val="en-US" w:eastAsia="zh-CN"/>
        </w:rPr>
        <w:t>7171.83</w:t>
      </w:r>
      <w:r>
        <w:rPr>
          <w:rFonts w:hint="eastAsia" w:ascii="仿宋" w:hAnsi="仿宋" w:eastAsia="仿宋" w:cs="仿宋_GB2312"/>
          <w:bCs/>
          <w:sz w:val="32"/>
          <w:szCs w:val="32"/>
        </w:rPr>
        <w:t>万元。其中，一般公共预算收入</w:t>
      </w:r>
      <w:r>
        <w:rPr>
          <w:rFonts w:hint="eastAsia" w:ascii="仿宋" w:hAnsi="仿宋" w:eastAsia="仿宋" w:cs="仿宋_GB2312"/>
          <w:bCs/>
          <w:sz w:val="32"/>
          <w:szCs w:val="32"/>
          <w:lang w:val="en-US" w:eastAsia="zh-CN"/>
        </w:rPr>
        <w:t>7171.83</w:t>
      </w:r>
      <w:r>
        <w:rPr>
          <w:rFonts w:hint="eastAsia" w:ascii="仿宋" w:hAnsi="仿宋" w:eastAsia="仿宋" w:cs="仿宋_GB2312"/>
          <w:bCs/>
          <w:sz w:val="32"/>
          <w:szCs w:val="32"/>
        </w:rPr>
        <w:t>万元、政府性基金收入</w:t>
      </w:r>
      <w:r>
        <w:rPr>
          <w:rFonts w:ascii="仿宋" w:hAnsi="仿宋" w:eastAsia="仿宋" w:cs="仿宋_GB2312"/>
          <w:bCs/>
          <w:sz w:val="32"/>
          <w:szCs w:val="32"/>
        </w:rPr>
        <w:t>0</w:t>
      </w:r>
      <w:r>
        <w:rPr>
          <w:rFonts w:hint="eastAsia" w:ascii="仿宋" w:hAnsi="仿宋" w:eastAsia="仿宋" w:cs="仿宋_GB2312"/>
          <w:bCs/>
          <w:sz w:val="32"/>
          <w:szCs w:val="32"/>
        </w:rPr>
        <w:t>万元、财政专户核拨收入0万元，其他来源收入</w:t>
      </w:r>
      <w:r>
        <w:rPr>
          <w:rFonts w:ascii="仿宋" w:hAnsi="仿宋" w:eastAsia="仿宋" w:cs="仿宋_GB2312"/>
          <w:bCs/>
          <w:sz w:val="32"/>
          <w:szCs w:val="32"/>
        </w:rPr>
        <w:t>0</w:t>
      </w:r>
      <w:r>
        <w:rPr>
          <w:rFonts w:hint="eastAsia" w:ascii="仿宋" w:hAnsi="仿宋" w:eastAsia="仿宋" w:cs="仿宋_GB2312"/>
          <w:bCs/>
          <w:sz w:val="32"/>
          <w:szCs w:val="32"/>
        </w:rPr>
        <w:t>万元。</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hint="default" w:ascii="仿宋" w:hAnsi="仿宋" w:eastAsia="仿宋" w:cs="仿宋_GB2312"/>
          <w:bCs/>
          <w:sz w:val="32"/>
          <w:szCs w:val="32"/>
          <w:lang w:val="en-US" w:eastAsia="zh-CN"/>
        </w:rPr>
      </w:pPr>
      <w:r>
        <w:rPr>
          <w:rFonts w:hint="eastAsia" w:ascii="仿宋" w:hAnsi="仿宋" w:eastAsia="仿宋" w:cs="仿宋_GB2312"/>
          <w:bCs/>
          <w:sz w:val="32"/>
          <w:szCs w:val="32"/>
        </w:rPr>
        <w:t>收入预算总表支出栏、基本支出表、项目支出表按经济分类和支出功能分类科目编制，反映本部门年度预算中支出预算总体情况。20</w:t>
      </w:r>
      <w:r>
        <w:rPr>
          <w:rFonts w:hint="eastAsia" w:ascii="仿宋" w:hAnsi="仿宋" w:eastAsia="仿宋" w:cs="仿宋_GB2312"/>
          <w:bCs/>
          <w:sz w:val="32"/>
          <w:szCs w:val="32"/>
          <w:lang w:val="en-US" w:eastAsia="zh-CN"/>
        </w:rPr>
        <w:t>20</w:t>
      </w:r>
      <w:r>
        <w:rPr>
          <w:rFonts w:hint="eastAsia" w:ascii="仿宋" w:hAnsi="仿宋" w:eastAsia="仿宋" w:cs="仿宋_GB2312"/>
          <w:bCs/>
          <w:sz w:val="32"/>
          <w:szCs w:val="32"/>
        </w:rPr>
        <w:t>年预算支出</w:t>
      </w:r>
      <w:r>
        <w:rPr>
          <w:rFonts w:hint="eastAsia" w:ascii="仿宋" w:hAnsi="仿宋" w:eastAsia="仿宋" w:cs="仿宋_GB2312"/>
          <w:bCs/>
          <w:sz w:val="32"/>
          <w:szCs w:val="32"/>
          <w:lang w:val="en-US" w:eastAsia="zh-CN"/>
        </w:rPr>
        <w:t>7171.83</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，其中基本支出</w:t>
      </w:r>
      <w:r>
        <w:rPr>
          <w:rFonts w:hint="eastAsia" w:ascii="仿宋" w:hAnsi="仿宋" w:eastAsia="仿宋" w:cs="仿宋_GB2312"/>
          <w:bCs/>
          <w:sz w:val="32"/>
          <w:szCs w:val="32"/>
          <w:lang w:val="en-US" w:eastAsia="zh-CN"/>
        </w:rPr>
        <w:t>3382.8万元，</w:t>
      </w:r>
      <w:r>
        <w:rPr>
          <w:rFonts w:hint="eastAsia" w:ascii="仿宋" w:hAnsi="仿宋" w:eastAsia="仿宋" w:cs="仿宋_GB2312"/>
          <w:bCs/>
          <w:sz w:val="32"/>
          <w:szCs w:val="32"/>
          <w:lang w:eastAsia="zh-CN"/>
        </w:rPr>
        <w:t>包括</w:t>
      </w:r>
      <w:r>
        <w:rPr>
          <w:rFonts w:hint="eastAsia" w:ascii="仿宋" w:hAnsi="仿宋" w:eastAsia="仿宋" w:cs="仿宋_GB2312"/>
          <w:bCs/>
          <w:sz w:val="32"/>
          <w:szCs w:val="32"/>
        </w:rPr>
        <w:t>人员经费</w:t>
      </w:r>
      <w:r>
        <w:rPr>
          <w:rFonts w:hint="eastAsia" w:ascii="仿宋" w:hAnsi="仿宋" w:eastAsia="仿宋" w:cs="仿宋_GB2312"/>
          <w:bCs/>
          <w:sz w:val="32"/>
          <w:szCs w:val="32"/>
          <w:lang w:val="en-US" w:eastAsia="zh-CN"/>
        </w:rPr>
        <w:t>2931.8</w:t>
      </w:r>
      <w:r>
        <w:rPr>
          <w:rFonts w:hint="eastAsia" w:ascii="仿宋" w:hAnsi="仿宋" w:eastAsia="仿宋" w:cs="仿宋_GB2312"/>
          <w:bCs/>
          <w:sz w:val="32"/>
          <w:szCs w:val="32"/>
        </w:rPr>
        <w:t>万元，正常公用经费</w:t>
      </w:r>
      <w:r>
        <w:rPr>
          <w:rFonts w:hint="eastAsia" w:ascii="仿宋" w:hAnsi="仿宋" w:eastAsia="仿宋" w:cs="仿宋_GB2312"/>
          <w:bCs/>
          <w:sz w:val="32"/>
          <w:szCs w:val="32"/>
          <w:lang w:val="en-US" w:eastAsia="zh-CN"/>
        </w:rPr>
        <w:t>451</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w:t>
      </w:r>
      <w:r>
        <w:rPr>
          <w:rFonts w:hint="eastAsia" w:ascii="仿宋" w:hAnsi="仿宋" w:eastAsia="仿宋" w:cs="仿宋_GB2312"/>
          <w:bCs/>
          <w:sz w:val="32"/>
          <w:szCs w:val="32"/>
        </w:rPr>
        <w:t>项目支出</w:t>
      </w:r>
      <w:r>
        <w:rPr>
          <w:rFonts w:hint="eastAsia" w:ascii="仿宋" w:hAnsi="仿宋" w:eastAsia="仿宋" w:cs="仿宋_GB2312"/>
          <w:bCs/>
          <w:sz w:val="32"/>
          <w:szCs w:val="32"/>
          <w:lang w:val="en-US" w:eastAsia="zh-CN"/>
        </w:rPr>
        <w:t>3789.03</w:t>
      </w:r>
      <w:r>
        <w:rPr>
          <w:rFonts w:hint="eastAsia" w:ascii="仿宋" w:hAnsi="仿宋" w:eastAsia="仿宋" w:cs="仿宋_GB2312"/>
          <w:bCs/>
          <w:sz w:val="32"/>
          <w:szCs w:val="32"/>
        </w:rPr>
        <w:t>万元</w:t>
      </w:r>
      <w:r>
        <w:rPr>
          <w:rFonts w:hint="eastAsia" w:ascii="仿宋" w:hAnsi="仿宋" w:eastAsia="仿宋" w:cs="仿宋_GB2312"/>
          <w:bCs/>
          <w:sz w:val="32"/>
          <w:szCs w:val="32"/>
          <w:lang w:eastAsia="zh-CN"/>
        </w:rPr>
        <w:t>，</w:t>
      </w:r>
      <w:r>
        <w:rPr>
          <w:rFonts w:hint="eastAsia" w:ascii="仿宋" w:hAnsi="仿宋" w:eastAsia="仿宋" w:cs="仿宋_GB2312"/>
          <w:bCs/>
          <w:color w:val="auto"/>
          <w:sz w:val="32"/>
          <w:szCs w:val="32"/>
          <w:lang w:eastAsia="zh-CN"/>
        </w:rPr>
        <w:t>主要为</w:t>
      </w:r>
      <w:r>
        <w:rPr>
          <w:rFonts w:hint="eastAsia" w:ascii="仿宋" w:hAnsi="仿宋" w:eastAsia="仿宋" w:cs="仿宋_GB2312"/>
          <w:bCs/>
          <w:color w:val="auto"/>
          <w:sz w:val="32"/>
          <w:szCs w:val="32"/>
          <w:lang w:val="en-US" w:eastAsia="zh-CN"/>
        </w:rPr>
        <w:t>城乡社区</w:t>
      </w:r>
      <w:r>
        <w:rPr>
          <w:rFonts w:hint="eastAsia" w:ascii="仿宋" w:hAnsi="仿宋" w:eastAsia="仿宋" w:cs="仿宋_GB2312"/>
          <w:bCs/>
          <w:color w:val="auto"/>
          <w:sz w:val="32"/>
          <w:szCs w:val="32"/>
          <w:lang w:eastAsia="zh-CN"/>
        </w:rPr>
        <w:t>支出</w:t>
      </w:r>
      <w:r>
        <w:rPr>
          <w:rFonts w:hint="eastAsia" w:ascii="仿宋" w:hAnsi="仿宋" w:eastAsia="仿宋" w:cs="仿宋_GB2312"/>
          <w:bCs/>
          <w:color w:val="auto"/>
          <w:sz w:val="32"/>
          <w:szCs w:val="32"/>
          <w:lang w:val="en-US" w:eastAsia="zh-CN"/>
        </w:rPr>
        <w:t>193万元;农林水支出2462.44万元，自然资源海洋气象等支出1133.59万元</w:t>
      </w:r>
      <w:r>
        <w:rPr>
          <w:rFonts w:hint="eastAsia" w:ascii="仿宋" w:hAnsi="仿宋" w:eastAsia="仿宋" w:cs="仿宋_GB2312"/>
          <w:bCs/>
          <w:sz w:val="32"/>
          <w:szCs w:val="32"/>
          <w:lang w:val="en-US" w:eastAsia="zh-CN"/>
        </w:rPr>
        <w:t>。</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hint="eastAsia" w:ascii="仿宋" w:hAnsi="仿宋" w:eastAsia="仿宋" w:cs="仿宋"/>
          <w:sz w:val="32"/>
          <w:szCs w:val="32"/>
        </w:rPr>
      </w:pPr>
      <w:r>
        <w:rPr>
          <w:rFonts w:hint="eastAsia" w:ascii="仿宋" w:hAnsi="仿宋" w:eastAsia="仿宋" w:cs="仿宋_GB2312"/>
          <w:bCs/>
          <w:sz w:val="32"/>
          <w:szCs w:val="32"/>
          <w:lang w:val="en-US" w:eastAsia="zh-CN"/>
        </w:rPr>
        <w:t>无极县自然资源和规划局是新成立单位，无增减变化</w:t>
      </w:r>
      <w:r>
        <w:rPr>
          <w:rFonts w:hint="eastAsia" w:ascii="仿宋" w:hAnsi="仿宋" w:eastAsia="仿宋" w:cs="仿宋"/>
          <w:bCs/>
          <w:sz w:val="32"/>
          <w:szCs w:val="32"/>
        </w:rPr>
        <w:t>。</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lang w:val="en-US" w:eastAsia="zh-CN"/>
        </w:rPr>
        <w:t>2020</w:t>
      </w:r>
      <w:r>
        <w:rPr>
          <w:rFonts w:hint="eastAsia" w:ascii="仿宋" w:hAnsi="仿宋" w:eastAsia="仿宋" w:cs="仿宋_GB2312"/>
          <w:sz w:val="32"/>
          <w:szCs w:val="32"/>
        </w:rPr>
        <w:t>年机关运行经费共计安排</w:t>
      </w:r>
      <w:r>
        <w:rPr>
          <w:rFonts w:hint="eastAsia" w:ascii="仿宋" w:hAnsi="仿宋" w:eastAsia="仿宋" w:cs="仿宋_GB2312"/>
          <w:sz w:val="32"/>
          <w:szCs w:val="32"/>
          <w:lang w:val="en-US" w:eastAsia="zh-CN"/>
        </w:rPr>
        <w:t>451</w:t>
      </w:r>
      <w:r>
        <w:rPr>
          <w:rFonts w:hint="eastAsia" w:ascii="仿宋" w:hAnsi="仿宋" w:eastAsia="仿宋"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sz w:val="32"/>
          <w:szCs w:val="32"/>
          <w:lang w:val="en-US" w:eastAsia="zh-CN"/>
        </w:rPr>
        <w:t>2020</w:t>
      </w:r>
      <w:r>
        <w:rPr>
          <w:rFonts w:hint="eastAsia" w:ascii="仿宋" w:hAnsi="仿宋" w:eastAsia="仿宋"/>
          <w:sz w:val="32"/>
          <w:szCs w:val="32"/>
        </w:rPr>
        <w:t>年</w:t>
      </w:r>
      <w:r>
        <w:rPr>
          <w:rFonts w:hint="eastAsia" w:ascii="仿宋" w:hAnsi="仿宋" w:eastAsia="仿宋"/>
          <w:sz w:val="32"/>
          <w:szCs w:val="32"/>
          <w:lang w:eastAsia="zh-CN"/>
        </w:rPr>
        <w:t>，我</w:t>
      </w:r>
      <w:r>
        <w:rPr>
          <w:rFonts w:hint="eastAsia" w:ascii="仿宋" w:hAnsi="仿宋" w:eastAsia="仿宋"/>
          <w:sz w:val="32"/>
          <w:szCs w:val="32"/>
        </w:rPr>
        <w:t>部门</w:t>
      </w:r>
      <w:r>
        <w:rPr>
          <w:rFonts w:hint="eastAsia" w:ascii="仿宋" w:hAnsi="仿宋" w:eastAsia="仿宋"/>
          <w:sz w:val="32"/>
          <w:szCs w:val="32"/>
          <w:lang w:eastAsia="zh-CN"/>
        </w:rPr>
        <w:t>财政拨款“三公”经费预算</w:t>
      </w:r>
      <w:r>
        <w:rPr>
          <w:rFonts w:hint="eastAsia" w:ascii="仿宋" w:hAnsi="仿宋" w:eastAsia="仿宋"/>
          <w:sz w:val="32"/>
          <w:szCs w:val="32"/>
        </w:rPr>
        <w:t>安排</w:t>
      </w:r>
      <w:r>
        <w:rPr>
          <w:rFonts w:hint="eastAsia" w:ascii="仿宋" w:hAnsi="仿宋" w:eastAsia="仿宋"/>
          <w:sz w:val="32"/>
          <w:szCs w:val="32"/>
          <w:lang w:val="en-US" w:eastAsia="zh-CN"/>
        </w:rPr>
        <w:t>6</w:t>
      </w:r>
      <w:r>
        <w:rPr>
          <w:rFonts w:hint="eastAsia" w:ascii="仿宋" w:hAnsi="仿宋" w:eastAsia="仿宋"/>
          <w:sz w:val="32"/>
          <w:szCs w:val="32"/>
        </w:rPr>
        <w:t>万元。</w:t>
      </w:r>
    </w:p>
    <w:p>
      <w:pPr>
        <w:autoSpaceDE w:val="0"/>
        <w:autoSpaceDN w:val="0"/>
        <w:adjustRightInd w:val="0"/>
        <w:ind w:firstLine="640" w:firstLineChars="200"/>
        <w:jc w:val="left"/>
        <w:rPr>
          <w:rFonts w:ascii="仿宋" w:hAnsi="仿宋" w:eastAsia="仿宋"/>
          <w:sz w:val="32"/>
          <w:szCs w:val="32"/>
        </w:rPr>
      </w:pPr>
      <w:r>
        <w:rPr>
          <w:rFonts w:hint="eastAsia" w:ascii="仿宋" w:hAnsi="仿宋" w:eastAsia="仿宋"/>
          <w:sz w:val="32"/>
          <w:szCs w:val="32"/>
        </w:rPr>
        <w:t>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w:t>
      </w:r>
      <w:r>
        <w:rPr>
          <w:rFonts w:hint="eastAsia" w:ascii="仿宋" w:hAnsi="仿宋" w:eastAsia="仿宋"/>
          <w:sz w:val="32"/>
          <w:szCs w:val="32"/>
          <w:lang w:val="en-US" w:eastAsia="zh-CN"/>
        </w:rPr>
        <w:t>新成立单位</w:t>
      </w:r>
      <w:r>
        <w:rPr>
          <w:rFonts w:hint="eastAsia" w:ascii="仿宋" w:hAnsi="仿宋" w:eastAsia="仿宋"/>
          <w:sz w:val="32"/>
          <w:szCs w:val="32"/>
        </w:rPr>
        <w:t>，无增减变化</w:t>
      </w:r>
      <w:r>
        <w:rPr>
          <w:rFonts w:hint="eastAsia" w:ascii="仿宋" w:hAnsi="仿宋" w:eastAsia="仿宋"/>
          <w:sz w:val="32"/>
          <w:szCs w:val="32"/>
          <w:lang w:eastAsia="zh-CN"/>
        </w:rPr>
        <w:t>。</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2、公务用车购置0万元，运行维护费</w:t>
      </w:r>
      <w:r>
        <w:rPr>
          <w:rFonts w:hint="eastAsia" w:ascii="仿宋" w:hAnsi="仿宋" w:eastAsia="仿宋"/>
          <w:sz w:val="32"/>
          <w:szCs w:val="32"/>
          <w:lang w:val="en-US" w:eastAsia="zh-CN"/>
        </w:rPr>
        <w:t>6</w:t>
      </w:r>
      <w:r>
        <w:rPr>
          <w:rFonts w:hint="eastAsia" w:ascii="仿宋" w:hAnsi="仿宋" w:eastAsia="仿宋"/>
          <w:sz w:val="32"/>
          <w:szCs w:val="32"/>
        </w:rPr>
        <w:t>万元，</w:t>
      </w:r>
      <w:r>
        <w:rPr>
          <w:rFonts w:hint="eastAsia" w:ascii="仿宋" w:hAnsi="仿宋" w:eastAsia="仿宋"/>
          <w:sz w:val="32"/>
          <w:szCs w:val="32"/>
          <w:lang w:val="en-US" w:eastAsia="zh-CN"/>
        </w:rPr>
        <w:t>新成立单位</w:t>
      </w:r>
      <w:r>
        <w:rPr>
          <w:rFonts w:hint="eastAsia" w:ascii="仿宋" w:hAnsi="仿宋" w:eastAsia="仿宋"/>
          <w:sz w:val="32"/>
          <w:szCs w:val="32"/>
        </w:rPr>
        <w:t>，无增减变化。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w:t>
      </w:r>
      <w:r>
        <w:rPr>
          <w:rFonts w:hint="eastAsia" w:ascii="仿宋" w:hAnsi="仿宋" w:eastAsia="仿宋"/>
          <w:sz w:val="32"/>
          <w:szCs w:val="32"/>
          <w:lang w:val="en-US" w:eastAsia="zh-CN"/>
        </w:rPr>
        <w:t>新成立单位</w:t>
      </w:r>
      <w:r>
        <w:rPr>
          <w:rFonts w:hint="eastAsia" w:ascii="仿宋" w:hAnsi="仿宋" w:eastAsia="仿宋"/>
          <w:sz w:val="32"/>
          <w:szCs w:val="32"/>
        </w:rPr>
        <w:t>，无增减变化</w:t>
      </w:r>
      <w:r>
        <w:rPr>
          <w:rFonts w:hint="eastAsia" w:ascii="仿宋" w:hAnsi="仿宋" w:eastAsia="仿宋"/>
          <w:sz w:val="32"/>
          <w:szCs w:val="32"/>
          <w:lang w:eastAsia="zh-CN"/>
        </w:rPr>
        <w:t>。</w:t>
      </w:r>
    </w:p>
    <w:p>
      <w:p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五、绩效预算信息</w:t>
      </w:r>
    </w:p>
    <w:p>
      <w:pPr>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 xml:space="preserve">、总体绩效目标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560"/>
        <w:jc w:val="left"/>
        <w:rPr>
          <w:rFonts w:ascii="仿宋" w:hAnsi="仿宋" w:eastAsia="仿宋"/>
          <w:sz w:val="32"/>
        </w:rPr>
      </w:pPr>
      <w:r>
        <w:rPr>
          <w:rFonts w:ascii="仿宋" w:hAnsi="仿宋" w:eastAsia="仿宋"/>
          <w:sz w:val="32"/>
        </w:rPr>
        <w:t xml:space="preserve">根据县委、县政府赋予职能及确定的自然资源管理任务，2020年利用财政资金所达到的绩效目标：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jc w:val="left"/>
        <w:rPr>
          <w:rFonts w:ascii="仿宋" w:hAnsi="仿宋" w:eastAsia="仿宋"/>
          <w:sz w:val="24"/>
        </w:rPr>
      </w:pPr>
      <w:r>
        <w:rPr>
          <w:rFonts w:ascii="仿宋" w:hAnsi="仿宋" w:eastAsia="仿宋"/>
          <w:sz w:val="32"/>
        </w:rPr>
        <w:t>加快规划编制进度，全面完成规划编制任务，积极做好编制空间规划的准备工作与项目用地预审并做好项目用地组卷报批工作。继续加快储备土地供应，对已经省政府批准的农转征地块，协调相关部门，采取有力措施，提高农转征地块供地率。继续做好完成剩余砖窑（杨坊村、武家庄村、西汉村）复垦项目的立项、实施及验收工作。完成无极镇、北苏镇、里城道乡砖瓦窑复垦项目，争取早施工早验收。开展土地提质改造建设项目，完成生态修复工程治理工作。加大自然资源和规划执法监管力度。严肃查处各类违法占地和违法建设行为。</w:t>
      </w:r>
      <w:r>
        <w:rPr>
          <w:rFonts w:ascii="仿宋" w:hAnsi="仿宋" w:eastAsia="仿宋"/>
          <w:color w:val="000000"/>
          <w:sz w:val="32"/>
        </w:rPr>
        <w:t>做好全国第三次国土调查和房地一体核查与整改工作和</w:t>
      </w:r>
      <w:r>
        <w:rPr>
          <w:rFonts w:ascii="仿宋" w:hAnsi="仿宋" w:eastAsia="仿宋"/>
          <w:sz w:val="32"/>
        </w:rPr>
        <w:t>努力解决不动产权属登记历史遗留问题。搞活林业生产经营机制，加大林业投入，做好植树计划。</w:t>
      </w:r>
      <w:r>
        <w:rPr>
          <w:rFonts w:ascii="仿宋" w:hAnsi="仿宋" w:eastAsia="仿宋"/>
          <w:color w:val="000000"/>
          <w:sz w:val="32"/>
          <w:shd w:val="clear" w:color="auto" w:fill="FFFFFF"/>
        </w:rPr>
        <w:t>在县委、县政府的正确领导下，以习近平新时代中国特色社会主义思想为指导，牢固树立“四个意识”，不断增强“四个自信”，坚决做到“两个维护”，</w:t>
      </w:r>
      <w:r>
        <w:rPr>
          <w:rFonts w:ascii="仿宋" w:hAnsi="仿宋" w:eastAsia="仿宋"/>
          <w:sz w:val="32"/>
        </w:rPr>
        <w:t>紧紧围绕服务县域经济发展的中心任务，以实现保护自然资源与保障发展共赢为目标，不断强化国土、规划执法力度，提升基础业务，规范队伍建设，</w:t>
      </w:r>
      <w:r>
        <w:rPr>
          <w:rFonts w:ascii="仿宋" w:hAnsi="仿宋" w:eastAsia="仿宋"/>
          <w:color w:val="000000"/>
          <w:sz w:val="32"/>
          <w:shd w:val="clear" w:color="auto" w:fill="FFFFFF"/>
        </w:rPr>
        <w:t>为我县经济社会又好又快发展提供持续有力的资源保障。</w:t>
      </w:r>
    </w:p>
    <w:p>
      <w:pPr>
        <w:spacing w:line="500" w:lineRule="exact"/>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 xml:space="preserve">、分项绩效目标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firstLineChars="200"/>
        <w:rPr>
          <w:rFonts w:ascii="仿宋" w:hAnsi="仿宋" w:eastAsia="仿宋"/>
          <w:sz w:val="32"/>
        </w:rPr>
      </w:pPr>
      <w:r>
        <w:rPr>
          <w:rFonts w:hint="eastAsia" w:ascii="仿宋" w:hAnsi="仿宋" w:eastAsia="仿宋"/>
          <w:sz w:val="32"/>
          <w:lang w:val="en-US" w:eastAsia="zh-CN"/>
        </w:rPr>
        <w:t>1.</w:t>
      </w:r>
      <w:r>
        <w:rPr>
          <w:rFonts w:ascii="仿宋" w:hAnsi="仿宋" w:eastAsia="仿宋"/>
          <w:sz w:val="32"/>
        </w:rPr>
        <w:t>加快规划编制进度，全面完成规划编制任务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sz w:val="32"/>
        </w:rPr>
      </w:pPr>
      <w:r>
        <w:rPr>
          <w:rFonts w:ascii="仿宋" w:hAnsi="仿宋" w:eastAsia="仿宋"/>
          <w:sz w:val="32"/>
        </w:rPr>
        <w:t>绩效目标：在开展国土空间规划编制的基础上，完成剩余村庄的规划编制。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sz w:val="32"/>
        </w:rPr>
      </w:pPr>
      <w:r>
        <w:rPr>
          <w:rFonts w:ascii="仿宋" w:hAnsi="仿宋" w:eastAsia="仿宋"/>
          <w:sz w:val="32"/>
        </w:rPr>
        <w:t>绩效指标：编制重点地块、重点区域规划，完成地铁站周边区域开发建设规划，完成1-2块重点地块的城市设计。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b/>
          <w:sz w:val="32"/>
        </w:rPr>
      </w:pPr>
      <w:r>
        <w:rPr>
          <w:rFonts w:hint="eastAsia" w:ascii="仿宋" w:hAnsi="仿宋" w:eastAsia="仿宋"/>
          <w:sz w:val="32"/>
          <w:lang w:val="en-US" w:eastAsia="zh-CN"/>
        </w:rPr>
        <w:t>2.</w:t>
      </w:r>
      <w:r>
        <w:rPr>
          <w:rFonts w:ascii="仿宋" w:hAnsi="仿宋" w:eastAsia="仿宋"/>
          <w:sz w:val="32"/>
        </w:rPr>
        <w:t>积极做好编制空间规划的准备工作与项目用地预审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b/>
          <w:sz w:val="32"/>
        </w:rPr>
      </w:pPr>
      <w:r>
        <w:rPr>
          <w:rFonts w:ascii="仿宋" w:hAnsi="仿宋" w:eastAsia="仿宋"/>
          <w:sz w:val="32"/>
        </w:rPr>
        <w:t>绩效目标：坚持空间开发与承载能力相匹配、集聚开发与均衡发展相协调、分类保护和综合整治相促进、资源节约与环境相统一，高质量完成国土空间规划编制前期准备工作。</w:t>
      </w:r>
      <w:r>
        <w:rPr>
          <w:rFonts w:ascii="仿宋" w:hAnsi="仿宋" w:eastAsia="仿宋"/>
          <w:b/>
          <w:sz w:val="32"/>
        </w:rPr>
        <w:t>二是</w:t>
      </w:r>
      <w:r>
        <w:rPr>
          <w:rFonts w:ascii="仿宋" w:hAnsi="仿宋" w:eastAsia="仿宋"/>
          <w:sz w:val="32"/>
        </w:rPr>
        <w:t>按照《河北省建设项目用地预审管理办法》、和我县《关于优化城市基础建设项目审批流程意见》，及时完成项目预审审查工作。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绩效指标：当年应用的编制规划数量占当年编制规划总数的比例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hint="eastAsia" w:ascii="仿宋" w:hAnsi="仿宋" w:eastAsia="仿宋"/>
          <w:sz w:val="32"/>
          <w:lang w:val="en-US" w:eastAsia="zh-CN"/>
        </w:rPr>
        <w:t>3.</w:t>
      </w:r>
      <w:r>
        <w:rPr>
          <w:rFonts w:ascii="仿宋" w:hAnsi="仿宋" w:eastAsia="仿宋"/>
          <w:sz w:val="32"/>
        </w:rPr>
        <w:t>提前谋划、科学统筹，加快供地速度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sz w:val="32"/>
        </w:rPr>
      </w:pPr>
      <w:r>
        <w:rPr>
          <w:rFonts w:ascii="仿宋" w:hAnsi="仿宋" w:eastAsia="仿宋"/>
          <w:sz w:val="32"/>
        </w:rPr>
        <w:t>绩效目标：提高农转征地块供地率。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绩效指标：年度实际测量面积占年度省市下达实测总面积任务的比例。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hint="eastAsia" w:ascii="仿宋" w:hAnsi="仿宋" w:eastAsia="仿宋"/>
          <w:sz w:val="32"/>
          <w:lang w:val="en-US" w:eastAsia="zh-CN"/>
        </w:rPr>
        <w:t>4.</w:t>
      </w:r>
      <w:r>
        <w:rPr>
          <w:rFonts w:ascii="仿宋" w:hAnsi="仿宋" w:eastAsia="仿宋"/>
          <w:sz w:val="32"/>
        </w:rPr>
        <w:t>积极做好补充耕地工作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目标：一是继续做好完成剩余砖窑（杨坊村、武家庄村、西汉村）复垦项目的立项、实施及验收工作。完成无极镇、北苏镇、里城道乡砖瓦窑复垦项目，争取早施工早验收。二是开展土地提质改造建设项目。三是完成生态修复工程治理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绩效指标：通过审查的土地复垦方案占每年上报土地复垦方案数量的比例。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sz w:val="32"/>
        </w:rPr>
      </w:pPr>
      <w:r>
        <w:rPr>
          <w:rFonts w:hint="eastAsia" w:ascii="仿宋" w:hAnsi="仿宋" w:eastAsia="仿宋"/>
          <w:sz w:val="32"/>
          <w:lang w:val="en-US" w:eastAsia="zh-CN"/>
        </w:rPr>
        <w:t>5.</w:t>
      </w:r>
      <w:r>
        <w:rPr>
          <w:rFonts w:ascii="仿宋" w:hAnsi="仿宋" w:eastAsia="仿宋"/>
          <w:sz w:val="32"/>
        </w:rPr>
        <w:t>全面完成绿化造林任务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绩效目标：搞活林业生产经营机制，加大林业投入，做好明年植树计划；加强对林木的管护工作，提高成活率，确保植树成果。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绩效指标：全年造林绿化工程完成合格面积的统计数据。</w:t>
      </w:r>
    </w:p>
    <w:p>
      <w:pPr>
        <w:pStyle w:val="1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left="0" w:firstLine="640"/>
        <w:rPr>
          <w:rFonts w:ascii="仿宋" w:hAnsi="仿宋" w:eastAsia="仿宋"/>
          <w:sz w:val="32"/>
        </w:rPr>
      </w:pPr>
      <w:r>
        <w:rPr>
          <w:rFonts w:hint="eastAsia" w:ascii="仿宋" w:hAnsi="仿宋" w:eastAsia="仿宋"/>
          <w:sz w:val="32"/>
          <w:lang w:val="en-US" w:eastAsia="zh-CN"/>
        </w:rPr>
        <w:t>6.</w:t>
      </w:r>
      <w:r>
        <w:rPr>
          <w:rFonts w:ascii="仿宋" w:hAnsi="仿宋" w:eastAsia="仿宋"/>
          <w:sz w:val="32"/>
        </w:rPr>
        <w:t>做好卫片执法整改工作</w:t>
      </w:r>
    </w:p>
    <w:p>
      <w:pPr>
        <w:pStyle w:val="1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left="0" w:firstLine="640"/>
        <w:rPr>
          <w:rFonts w:ascii="仿宋" w:hAnsi="仿宋" w:eastAsia="仿宋"/>
          <w:sz w:val="32"/>
        </w:rPr>
      </w:pPr>
      <w:r>
        <w:rPr>
          <w:rFonts w:ascii="仿宋" w:hAnsi="仿宋" w:eastAsia="仿宋"/>
          <w:sz w:val="32"/>
        </w:rPr>
        <w:t>绩效目标：加大自然资源和规划执法监管力度。严肃查处各类违法占地和违法建设行为，以”零容忍”的态度控制违法占地和违法建设行为发生。继续推进2018年度卫片整改及五类违法用地专项整改行动，同时认真做好2019年度土地矿产卫片执法检查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 w:hAnsi="仿宋" w:eastAsia="仿宋"/>
          <w:sz w:val="32"/>
        </w:rPr>
      </w:pPr>
      <w:r>
        <w:rPr>
          <w:rFonts w:ascii="仿宋" w:hAnsi="仿宋" w:eastAsia="仿宋"/>
          <w:sz w:val="32"/>
        </w:rPr>
        <w:t>绩效指标：完成的执法检查基础性保障项目占年度安排的执法检查基础性保障项目的比例。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firstLineChars="200"/>
        <w:rPr>
          <w:rFonts w:ascii="仿宋" w:hAnsi="仿宋" w:eastAsia="仿宋"/>
          <w:color w:val="000000"/>
          <w:sz w:val="32"/>
        </w:rPr>
      </w:pPr>
      <w:r>
        <w:rPr>
          <w:rFonts w:hint="eastAsia" w:ascii="仿宋" w:hAnsi="仿宋" w:eastAsia="仿宋"/>
          <w:color w:val="000000"/>
          <w:sz w:val="32"/>
          <w:lang w:val="en-US" w:eastAsia="zh-CN"/>
        </w:rPr>
        <w:t>7.</w:t>
      </w:r>
      <w:r>
        <w:rPr>
          <w:rFonts w:ascii="仿宋" w:hAnsi="仿宋" w:eastAsia="仿宋"/>
          <w:color w:val="000000"/>
          <w:sz w:val="32"/>
        </w:rPr>
        <w:t>做好全国第三次国土调查和房地一体核查与整改工作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hAnsi="仿宋" w:eastAsia="仿宋"/>
          <w:sz w:val="32"/>
        </w:rPr>
      </w:pPr>
      <w:r>
        <w:rPr>
          <w:rFonts w:ascii="仿宋" w:hAnsi="仿宋" w:eastAsia="仿宋"/>
          <w:color w:val="000000"/>
          <w:sz w:val="32"/>
        </w:rPr>
        <w:t xml:space="preserve">   绩效目标：</w:t>
      </w:r>
      <w:r>
        <w:rPr>
          <w:rFonts w:ascii="仿宋" w:hAnsi="仿宋" w:eastAsia="仿宋"/>
          <w:sz w:val="32"/>
        </w:rPr>
        <w:t>一是完成全县农村不动产权籍调查，农村宅基地和集体建设用地登记颁证率90%以上，基本实现“应登尽登”、基本建成农村不动产登记数据库。二是对“三调”工作按国家政策调整修改，继续按照时间节点完成剩余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hAnsi="仿宋" w:eastAsia="仿宋"/>
          <w:sz w:val="32"/>
        </w:rPr>
      </w:pPr>
      <w:r>
        <w:rPr>
          <w:rFonts w:ascii="仿宋" w:hAnsi="仿宋" w:eastAsia="仿宋"/>
          <w:sz w:val="32"/>
        </w:rPr>
        <w:t xml:space="preserve">  绩效指标：完成地籍管理工作的乡镇个数占全县乡镇总数的比例及土地变更调查完成率。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firstLineChars="200"/>
        <w:rPr>
          <w:rFonts w:ascii="仿宋" w:hAnsi="仿宋" w:eastAsia="仿宋"/>
          <w:sz w:val="32"/>
        </w:rPr>
      </w:pPr>
      <w:r>
        <w:rPr>
          <w:rFonts w:hint="eastAsia" w:ascii="仿宋" w:hAnsi="仿宋" w:eastAsia="仿宋"/>
          <w:sz w:val="32"/>
          <w:lang w:val="en-US" w:eastAsia="zh-CN"/>
        </w:rPr>
        <w:t>8.</w:t>
      </w:r>
      <w:r>
        <w:rPr>
          <w:rFonts w:ascii="仿宋" w:hAnsi="仿宋" w:eastAsia="仿宋"/>
          <w:sz w:val="32"/>
        </w:rPr>
        <w:t>努力解决不动产权属登记历史遗留问题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40" w:lineRule="exact"/>
        <w:ind w:firstLine="640"/>
        <w:rPr>
          <w:rFonts w:ascii="仿宋" w:hAnsi="仿宋" w:eastAsia="仿宋"/>
          <w:sz w:val="32"/>
        </w:rPr>
      </w:pPr>
      <w:r>
        <w:rPr>
          <w:rFonts w:ascii="仿宋" w:hAnsi="仿宋" w:eastAsia="仿宋"/>
          <w:sz w:val="32"/>
        </w:rPr>
        <w:t>绩效目标：积极协调配合各部门分类、分批、分步地解决好历史遗留“办证难”项目不动产确权登记工作以及“房地一体”农村宅基地和集体建设用地确权登记颁证工作。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hAnsi="仿宋" w:eastAsia="仿宋"/>
          <w:sz w:val="32"/>
        </w:rPr>
      </w:pPr>
      <w:r>
        <w:rPr>
          <w:rFonts w:ascii="仿宋" w:hAnsi="仿宋" w:eastAsia="仿宋"/>
          <w:sz w:val="32"/>
        </w:rPr>
        <w:t xml:space="preserve">   绩效指标;完成确权登记的统计数量。</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p>
    <w:p>
      <w:pPr>
        <w:spacing w:line="500" w:lineRule="exact"/>
        <w:ind w:firstLine="640" w:firstLineChars="200"/>
        <w:jc w:val="left"/>
        <w:outlineLvl w:val="1"/>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 xml:space="preserve">、工作保障措施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 w:hAnsi="仿宋" w:eastAsia="仿宋"/>
          <w:sz w:val="32"/>
        </w:rPr>
      </w:pPr>
      <w:r>
        <w:rPr>
          <w:rFonts w:ascii="仿宋" w:hAnsi="仿宋" w:eastAsia="仿宋"/>
          <w:sz w:val="32"/>
        </w:rPr>
        <w:t>2020年我局将坚持以党的</w:t>
      </w:r>
      <w:r>
        <w:rPr>
          <w:rFonts w:hint="eastAsia" w:ascii="仿宋" w:hAnsi="仿宋" w:eastAsia="仿宋"/>
          <w:sz w:val="32"/>
          <w:lang w:eastAsia="zh-CN"/>
        </w:rPr>
        <w:t>十九大精神</w:t>
      </w:r>
      <w:r>
        <w:rPr>
          <w:rFonts w:ascii="仿宋" w:hAnsi="仿宋" w:eastAsia="仿宋"/>
          <w:sz w:val="32"/>
        </w:rPr>
        <w:t>为指导，认真学习贯彻上级关于自然资源管理工作的一系列重要指示精神，按照县委、县政府的工作部署，稳中求进，改革创新，强化工作举措，努力完成各项工作目标任务。工作保障措施如下：</w:t>
      </w:r>
    </w:p>
    <w:p>
      <w:pPr>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lang w:val="en-US" w:eastAsia="zh-CN"/>
        </w:rPr>
        <w:t>1.</w:t>
      </w:r>
      <w:r>
        <w:rPr>
          <w:rFonts w:ascii="仿宋" w:hAnsi="仿宋" w:eastAsia="仿宋"/>
          <w:sz w:val="32"/>
        </w:rPr>
        <w:t>完善制度。</w:t>
      </w:r>
    </w:p>
    <w:p>
      <w:pPr>
        <w:pStyle w:val="9"/>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 xml:space="preserve">     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w:t>
      </w:r>
      <w:r>
        <w:rPr>
          <w:rFonts w:ascii="仿宋" w:hAnsi="仿宋" w:eastAsia="仿宋"/>
          <w:color w:val="000000"/>
          <w:sz w:val="32"/>
        </w:rPr>
        <w:t>健全项目管理制度，明确保障措施、实现途径和工作程序，对项目执行各个阶段进行有效管理和目标控制，为实现项目绩效目标提供保障。</w:t>
      </w:r>
    </w:p>
    <w:p>
      <w:pPr>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lang w:val="en-US" w:eastAsia="zh-CN"/>
        </w:rPr>
        <w:t>2.</w:t>
      </w:r>
      <w:r>
        <w:rPr>
          <w:rFonts w:ascii="仿宋" w:hAnsi="仿宋" w:eastAsia="仿宋"/>
          <w:sz w:val="32"/>
        </w:rPr>
        <w:t>加强支出管理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 w:hAnsi="仿宋" w:eastAsia="仿宋"/>
          <w:sz w:val="32"/>
        </w:rPr>
      </w:pPr>
      <w:r>
        <w:rPr>
          <w:rFonts w:ascii="仿宋" w:hAnsi="仿宋" w:eastAsia="仿宋"/>
          <w:sz w:val="32"/>
        </w:rPr>
        <w:t>优化支出结构、编细编实预算、加快履行政府采购手续、尽快启动项目、及时支付资金、6月底前细化代编预算、按规定及时下达资金等多种措施，确保支出进度达标。</w:t>
      </w:r>
    </w:p>
    <w:p>
      <w:pPr>
        <w:pStyle w:val="9"/>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sz w:val="32"/>
        </w:rPr>
      </w:pPr>
      <w:r>
        <w:rPr>
          <w:rFonts w:hint="eastAsia" w:ascii="仿宋" w:hAnsi="仿宋" w:eastAsia="仿宋"/>
          <w:sz w:val="32"/>
          <w:lang w:val="en-US" w:eastAsia="zh-CN"/>
        </w:rPr>
        <w:t>3.</w:t>
      </w:r>
      <w:r>
        <w:rPr>
          <w:rFonts w:ascii="仿宋" w:hAnsi="仿宋" w:eastAsia="仿宋"/>
          <w:sz w:val="32"/>
        </w:rPr>
        <w:t>加强绩效运行监控。</w:t>
      </w:r>
      <w:r>
        <w:rPr>
          <w:rFonts w:ascii="仿宋" w:hAnsi="仿宋" w:eastAsia="仿宋"/>
          <w:b/>
          <w:sz w:val="32"/>
        </w:rPr>
        <w:t xml:space="preserve">  </w:t>
      </w:r>
    </w:p>
    <w:p>
      <w:pPr>
        <w:pStyle w:val="9"/>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sz w:val="32"/>
        </w:rPr>
      </w:pPr>
      <w:r>
        <w:rPr>
          <w:rFonts w:ascii="仿宋" w:hAnsi="仿宋" w:eastAsia="仿宋"/>
          <w:color w:val="000000"/>
          <w:sz w:val="32"/>
        </w:rP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9"/>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lang w:val="en-US" w:eastAsia="zh-CN"/>
        </w:rPr>
        <w:t>4.</w:t>
      </w:r>
      <w:r>
        <w:rPr>
          <w:rFonts w:ascii="仿宋" w:hAnsi="仿宋" w:eastAsia="仿宋"/>
          <w:sz w:val="32"/>
        </w:rPr>
        <w:t>做好绩效自评。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 w:hAnsi="仿宋" w:eastAsia="仿宋"/>
          <w:sz w:val="32"/>
        </w:rPr>
      </w:pPr>
      <w:r>
        <w:rPr>
          <w:rFonts w:ascii="仿宋" w:hAnsi="仿宋" w:eastAsia="仿宋"/>
          <w:sz w:val="32"/>
        </w:rP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9"/>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b/>
          <w:sz w:val="32"/>
        </w:rPr>
      </w:pPr>
      <w:r>
        <w:rPr>
          <w:rFonts w:hint="eastAsia" w:ascii="仿宋" w:hAnsi="仿宋" w:eastAsia="仿宋"/>
          <w:sz w:val="32"/>
          <w:lang w:val="en-US" w:eastAsia="zh-CN"/>
        </w:rPr>
        <w:t>5.</w:t>
      </w:r>
      <w:r>
        <w:rPr>
          <w:rFonts w:ascii="仿宋" w:hAnsi="仿宋" w:eastAsia="仿宋"/>
          <w:sz w:val="32"/>
        </w:rPr>
        <w:t>规范财务资产管理。</w:t>
      </w:r>
    </w:p>
    <w:p>
      <w:pPr>
        <w:pStyle w:val="9"/>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完善财务管理制度，严格审批程序，加强</w:t>
      </w:r>
      <w:r>
        <w:rPr>
          <w:rFonts w:ascii="仿宋" w:hAnsi="仿宋" w:eastAsia="仿宋"/>
          <w:color w:val="000000"/>
          <w:sz w:val="32"/>
        </w:rPr>
        <w:t>资金使用、完善项目管理状况，资产配置、使用</w:t>
      </w:r>
      <w:r>
        <w:rPr>
          <w:rFonts w:hint="eastAsia" w:ascii="仿宋" w:hAnsi="仿宋" w:eastAsia="仿宋"/>
          <w:color w:val="000000"/>
          <w:sz w:val="32"/>
          <w:lang w:eastAsia="zh-CN"/>
        </w:rPr>
        <w:t>及其</w:t>
      </w:r>
      <w:r>
        <w:rPr>
          <w:rFonts w:ascii="仿宋" w:hAnsi="仿宋" w:eastAsia="仿宋"/>
          <w:color w:val="000000"/>
          <w:sz w:val="32"/>
        </w:rPr>
        <w:t>收益管理情况（包括成本控制、质量控制、合同管理情况）。</w:t>
      </w:r>
      <w:r>
        <w:rPr>
          <w:rFonts w:ascii="仿宋" w:hAnsi="仿宋" w:eastAsia="仿宋"/>
          <w:sz w:val="32"/>
        </w:rPr>
        <w:t>加强固定资产登记、使用和报废处置管理，做到支出合理，物尽其用。</w:t>
      </w:r>
    </w:p>
    <w:p>
      <w:pPr>
        <w:pStyle w:val="9"/>
        <w:tabs>
          <w:tab w:val="left" w:pos="48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lang w:val="en-US" w:eastAsia="zh-CN"/>
        </w:rPr>
        <w:t>6.</w:t>
      </w:r>
      <w:r>
        <w:rPr>
          <w:rFonts w:ascii="仿宋" w:hAnsi="仿宋" w:eastAsia="仿宋"/>
          <w:sz w:val="32"/>
        </w:rPr>
        <w:t>加强内部监督。</w:t>
      </w:r>
    </w:p>
    <w:p>
      <w:pPr>
        <w:pStyle w:val="9"/>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sz w:val="32"/>
        </w:rPr>
      </w:pPr>
      <w:r>
        <w:rPr>
          <w:rFonts w:ascii="仿宋" w:hAnsi="仿宋" w:eastAsia="仿宋"/>
          <w:sz w:val="32"/>
        </w:rP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w:t>
      </w:r>
      <w:r>
        <w:rPr>
          <w:rFonts w:ascii="仿宋" w:hAnsi="仿宋" w:eastAsia="仿宋"/>
          <w:color w:val="000000"/>
          <w:sz w:val="32"/>
        </w:rPr>
        <w:t>预算绩效信息公开，以提高资金使用的透明度。</w:t>
      </w:r>
    </w:p>
    <w:p>
      <w:pPr>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b/>
          <w:sz w:val="32"/>
        </w:rPr>
      </w:pPr>
      <w:r>
        <w:rPr>
          <w:rFonts w:hint="eastAsia" w:ascii="仿宋" w:hAnsi="仿宋" w:eastAsia="仿宋"/>
          <w:sz w:val="32"/>
          <w:lang w:val="en-US" w:eastAsia="zh-CN"/>
        </w:rPr>
        <w:t>7.</w:t>
      </w:r>
      <w:r>
        <w:rPr>
          <w:rFonts w:ascii="仿宋" w:hAnsi="仿宋" w:eastAsia="仿宋"/>
          <w:sz w:val="32"/>
        </w:rPr>
        <w:t>加强宣传培训调研等</w:t>
      </w:r>
      <w:r>
        <w:rPr>
          <w:rFonts w:ascii="仿宋" w:hAnsi="仿宋" w:eastAsia="仿宋"/>
          <w:b/>
          <w:sz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b/>
          <w:sz w:val="32"/>
        </w:rPr>
      </w:pPr>
      <w:r>
        <w:rPr>
          <w:rFonts w:ascii="仿宋" w:hAnsi="仿宋" w:eastAsia="仿宋"/>
          <w:sz w:val="32"/>
        </w:rP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ind w:left="1647" w:leftChars="0" w:hanging="1080" w:firstLineChars="0"/>
        <w:rPr>
          <w:rFonts w:hint="eastAsia" w:ascii="方正仿宋_GBK" w:eastAsia="方正仿宋_GBK"/>
          <w:b/>
          <w:sz w:val="28"/>
        </w:rPr>
      </w:pPr>
      <w:r>
        <w:rPr>
          <w:rFonts w:hint="eastAsia" w:ascii="楷体" w:hAnsi="楷体" w:eastAsia="楷体"/>
          <w:sz w:val="32"/>
          <w:szCs w:val="32"/>
          <w:lang w:eastAsia="zh-CN"/>
        </w:rPr>
        <w:t>预算项目</w:t>
      </w:r>
      <w:r>
        <w:rPr>
          <w:rFonts w:hint="eastAsia" w:ascii="楷体" w:hAnsi="楷体" w:eastAsia="楷体"/>
          <w:sz w:val="32"/>
          <w:szCs w:val="32"/>
        </w:rPr>
        <w:t>绩效目标</w:t>
      </w:r>
    </w:p>
    <w:p>
      <w:pPr>
        <w:ind w:firstLine="560" w:firstLineChars="200"/>
        <w:jc w:val="left"/>
        <w:outlineLvl w:val="1"/>
        <w:rPr>
          <w:rFonts w:hAnsi="宋体"/>
          <w:b/>
          <w:sz w:val="28"/>
        </w:rPr>
      </w:pPr>
      <w:r>
        <w:rPr>
          <w:rFonts w:hint="eastAsia" w:ascii="方正仿宋_GBK" w:eastAsia="方正仿宋_GBK"/>
          <w:b/>
          <w:sz w:val="28"/>
        </w:rPr>
        <w:t>1、百里长廊及联村路、村庄环村林带补贴绩效目标表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0" w:name="_Toc34953500"/>
      <w:r>
        <w:rPr>
          <w:rFonts w:hint="eastAsia" w:ascii="方正仿宋_GBK" w:eastAsia="方正仿宋_GBK"/>
          <w:b/>
          <w:sz w:val="28"/>
        </w:rPr>
        <w:instrText xml:space="preserve">1、百里长廊及联村路、村庄环村林带补贴绩效目标表</w:instrText>
      </w:r>
      <w:bookmarkEnd w:id="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324-0902-YXN-N30Y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百里长廊及联村路、村庄环村林带补贴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百里长廊及联村路，村庄环村林带造林补贴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、提高森林质量，促进林业持续发展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、增加有林面积，提高全县绿化水平，改善生态环境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森林培育任务完成率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当年完成森林培育面积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验收合格占总工程质量的比例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r>
              <w:rPr>
                <w:rFonts w:ascii="方正书宋_GBK" w:eastAsia="方正书宋_GBK"/>
              </w:rPr>
              <w:t xml:space="preserve">    </w:t>
            </w:r>
          </w:p>
        </w:tc>
      </w:tr>
    </w:tbl>
    <w:p>
      <w:pPr>
        <w:ind w:firstLine="560" w:firstLineChars="200"/>
        <w:jc w:val="left"/>
        <w:outlineLvl w:val="1"/>
        <w:rPr>
          <w:rFonts w:hAnsi="宋体"/>
          <w:b/>
          <w:sz w:val="28"/>
        </w:rPr>
      </w:pPr>
      <w:r>
        <w:rPr>
          <w:rFonts w:hint="eastAsia" w:ascii="方正仿宋_GBK" w:eastAsia="方正仿宋_GBK"/>
          <w:b/>
          <w:sz w:val="28"/>
        </w:rPr>
        <w:t>2、编制部分村庄规划经费（美丽办）绩效目标表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34953501"/>
      <w:r>
        <w:rPr>
          <w:rFonts w:hint="eastAsia" w:ascii="方正仿宋_GBK" w:eastAsia="方正仿宋_GBK"/>
          <w:b/>
          <w:sz w:val="28"/>
        </w:rPr>
        <w:instrText xml:space="preserve">2、编制部分村庄规划经费（美丽办）绩效目标表</w:instrText>
      </w:r>
      <w:bookmarkEnd w:id="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324-1202-YXN-76DS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编制部分村庄规划经费（美丽办）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编制部分村庄规划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、完成年度村镇规划编制任务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、完成规划编制，健全规划体系</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成果合格数量占总数量比例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编制成果完成率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完成量占总编制的比例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当年应用的编制规划数量占当年编制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3、编制剩余58个村村庄规划资金绩效目标表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4953502"/>
      <w:r>
        <w:rPr>
          <w:rFonts w:hint="eastAsia" w:ascii="方正仿宋_GBK" w:eastAsia="方正仿宋_GBK"/>
          <w:b/>
          <w:sz w:val="28"/>
        </w:rPr>
        <w:instrText xml:space="preserve">3、编制剩余58个村村庄规划资金绩效目标表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324-1202-YXN-CT4Z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编制剩余</w:t>
            </w:r>
            <w:r>
              <w:rPr>
                <w:rFonts w:ascii="方正书宋_GBK" w:eastAsia="方正书宋_GBK"/>
              </w:rPr>
              <w:t>58</w:t>
            </w:r>
            <w:r>
              <w:rPr>
                <w:rFonts w:hint="eastAsia" w:ascii="方正书宋_GBK" w:eastAsia="方正书宋_GBK"/>
              </w:rPr>
              <w:t>个村村庄规划资金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编制剩余</w:t>
            </w:r>
            <w:r>
              <w:rPr>
                <w:rFonts w:ascii="方正书宋_GBK" w:eastAsia="方正书宋_GBK"/>
              </w:rPr>
              <w:t>58</w:t>
            </w:r>
            <w:r>
              <w:rPr>
                <w:rFonts w:hint="eastAsia" w:ascii="方正书宋_GBK" w:eastAsia="方正书宋_GBK"/>
              </w:rPr>
              <w:t>个村村庄规划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、完成年度村镇规划编制任务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、完成规划编制，健全规划体系</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成果合格数量占总数量比例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编制成果完成率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完成量占总编制的比例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当年应用的编制规划数量占当年编制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4、编制试点村规划经费绩效目标表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4953503"/>
      <w:r>
        <w:rPr>
          <w:rFonts w:hint="eastAsia" w:ascii="方正仿宋_GBK" w:eastAsia="方正仿宋_GBK"/>
          <w:b/>
          <w:sz w:val="28"/>
        </w:rPr>
        <w:instrText xml:space="preserve">4、编制试点村规划经费绩效目标表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324-1202-YXN-IISX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编制试点村规划经费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编制试点村规划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、完成年度村镇规划编制任务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、完成规划编制，健全规划体系</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成果合格数量占总数比例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编制成果完成率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完成量占总编制的比例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当年应用的编制规划数量占当年编制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5、编制无极县全域乡村建设规划资金绩效目标表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3504"/>
      <w:r>
        <w:rPr>
          <w:rFonts w:hint="eastAsia" w:ascii="方正仿宋_GBK" w:eastAsia="方正仿宋_GBK"/>
          <w:b/>
          <w:sz w:val="28"/>
        </w:rPr>
        <w:instrText xml:space="preserve">5、编制无极县全域乡村建设规划资金绩效目标表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324-1202-YXN-515X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编制无极县全域乡村建设规划资金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编制无极县全域乡村建设规划。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、完成年度村镇规划编制任务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、完成规划编制，健全规划体系</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成果合格数量占总数量比例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完成量占总编制的比例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当年应用的编制规划数量占全年编制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6、不动产登记存量数据整合资金绩效目标表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3505"/>
      <w:r>
        <w:rPr>
          <w:rFonts w:hint="eastAsia" w:ascii="方正仿宋_GBK" w:eastAsia="方正仿宋_GBK"/>
          <w:b/>
          <w:sz w:val="28"/>
        </w:rPr>
        <w:instrText xml:space="preserve">6、不动产登记存量数据整合资金绩效目标表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324-0402-YXN-E5G9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不动产登记存量数据整合资金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218.73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218.73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范围为无极县</w:t>
            </w:r>
            <w:r>
              <w:rPr>
                <w:rFonts w:ascii="方正书宋_GBK" w:eastAsia="方正书宋_GBK"/>
              </w:rPr>
              <w:t>,</w:t>
            </w:r>
            <w:r>
              <w:rPr>
                <w:rFonts w:hint="eastAsia" w:ascii="方正书宋_GBK" w:eastAsia="方正书宋_GBK"/>
              </w:rPr>
              <w:t>内容：（</w:t>
            </w:r>
            <w:r>
              <w:rPr>
                <w:rFonts w:ascii="方正书宋_GBK" w:eastAsia="方正书宋_GBK"/>
              </w:rPr>
              <w:t>1</w:t>
            </w:r>
            <w:r>
              <w:rPr>
                <w:rFonts w:hint="eastAsia" w:ascii="方正书宋_GBK" w:eastAsia="方正书宋_GBK"/>
              </w:rPr>
              <w:t>）不动产登记业务流程再造；（</w:t>
            </w:r>
            <w:r>
              <w:rPr>
                <w:rFonts w:ascii="方正书宋_GBK" w:eastAsia="方正书宋_GBK"/>
              </w:rPr>
              <w:t>2</w:t>
            </w:r>
            <w:r>
              <w:rPr>
                <w:rFonts w:hint="eastAsia" w:ascii="方正书宋_GBK" w:eastAsia="方正书宋_GBK"/>
              </w:rPr>
              <w:t>）土地登记数据整理；（</w:t>
            </w:r>
            <w:r>
              <w:rPr>
                <w:rFonts w:ascii="方正书宋_GBK" w:eastAsia="方正书宋_GBK"/>
              </w:rPr>
              <w:t>3</w:t>
            </w:r>
            <w:r>
              <w:rPr>
                <w:rFonts w:hint="eastAsia" w:ascii="方正书宋_GBK" w:eastAsia="方正书宋_GBK"/>
              </w:rPr>
              <w:t>）房产登记系统数据转库</w:t>
            </w:r>
            <w:r>
              <w:rPr>
                <w:rFonts w:ascii="方正书宋_GBK" w:eastAsia="方正书宋_GBK"/>
              </w:rPr>
              <w:t>;</w:t>
            </w:r>
            <w:r>
              <w:rPr>
                <w:rFonts w:hint="eastAsia" w:ascii="方正书宋_GBK" w:eastAsia="方正书宋_GBK"/>
              </w:rPr>
              <w:t>（</w:t>
            </w:r>
            <w:r>
              <w:rPr>
                <w:rFonts w:ascii="方正书宋_GBK" w:eastAsia="方正书宋_GBK"/>
              </w:rPr>
              <w:t>4</w:t>
            </w:r>
            <w:r>
              <w:rPr>
                <w:rFonts w:hint="eastAsia" w:ascii="方正书宋_GBK" w:eastAsia="方正书宋_GBK"/>
              </w:rPr>
              <w:t>）林业数据整理；（</w:t>
            </w:r>
            <w:r>
              <w:rPr>
                <w:rFonts w:ascii="方正书宋_GBK" w:eastAsia="方正书宋_GBK"/>
              </w:rPr>
              <w:t>5</w:t>
            </w:r>
            <w:r>
              <w:rPr>
                <w:rFonts w:hint="eastAsia" w:ascii="方正书宋_GBK" w:eastAsia="方正书宋_GBK"/>
              </w:rPr>
              <w:t>）土地、林业、房产登记数据关联；（</w:t>
            </w:r>
            <w:r>
              <w:rPr>
                <w:rFonts w:ascii="方正书宋_GBK" w:eastAsia="方正书宋_GBK"/>
              </w:rPr>
              <w:t>6</w:t>
            </w:r>
            <w:r>
              <w:rPr>
                <w:rFonts w:hint="eastAsia" w:ascii="方正书宋_GBK" w:eastAsia="方正书宋_GBK"/>
              </w:rPr>
              <w:t>）不动产登记数据修补测量。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、通过不动产登记业务流程再造，开发建设不动产登记信息平台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、以土地登记数据为基础、全面清理整合土地、房屋、林地不动产登记存量数据，将现有分散存放、格式不一、介质不同的不动产登记信息</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建设不动产登记信息平台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通过对现有登记业务进行梳理进行不动产登记业务流程再造，开发建设符合国家标准的不动产登记信息平台。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《国土部关于做好不动产登记信息管理基础平台建设工作的通知》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建设不动产登记数据库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土地登记数据为基础、全面清理整合土地、房屋、林地不动产登记存量数据，将现有分散存放、格式不一、介质不同的不动产登记信息，依据《不动产登记数据库标准（试行）》，通过抽取、转换、补录、整合等方法建设不动产登记数据库</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《不动产登记数据库标准（试行）》；《不动产登记数据库整合技术规范（试行）》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完成不动产统一登记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按照国家和省厅的相关部署完成不动产统一登记工作，确认和保护产权，为全县市场经济保驾护航</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《国土部关于做好不动产登记信息管理基础平台建设工作的通知》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为不动产登记信息平台运行提供数据支撑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土地登记数据为基础、全面清理整合土地、房屋、林地不动产登记存量数据，将现有分散存放、格式不一、介质不同的不动产登记信息，依据《不动产登记数据库标准（试行）》，通过抽取、转换、补录、整合等方法建设不动产登记数据库，为不动产登记信息平台运行提供数据支撑。</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《不动产登记数据库标准（试行）》；《不动产登记数据库整合技术规范（试行）》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560" w:firstLineChars="200"/>
        <w:jc w:val="left"/>
        <w:outlineLvl w:val="1"/>
        <w:rPr>
          <w:rFonts w:hAnsi="宋体"/>
          <w:b/>
          <w:sz w:val="28"/>
        </w:rPr>
      </w:pPr>
      <w:r>
        <w:rPr>
          <w:rFonts w:hint="eastAsia" w:ascii="方正仿宋_GBK" w:eastAsia="方正仿宋_GBK"/>
          <w:b/>
          <w:sz w:val="28"/>
        </w:rPr>
        <w:t>7、不动产登记中心公用经费绩效目标表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3506"/>
      <w:r>
        <w:rPr>
          <w:rFonts w:hint="eastAsia" w:ascii="方正仿宋_GBK" w:eastAsia="方正仿宋_GBK"/>
          <w:b/>
          <w:sz w:val="28"/>
        </w:rPr>
        <w:instrText xml:space="preserve">7、不动产登记中心公用经费绩效目标表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324-0801-YXN-F393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不动产登记中心公用经费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用于不动产日常公用经费支出，如办公费、办公设备购置、通讯服务费、印刷费等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、保证不动产经费正常支出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、保障不动产中心各项事务正常运转</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办公经费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保障办公经费正常支出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保证办公设备购置费用正常支出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保障印刷费用正常支出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保障不动产登记中心事务的正常运转</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群众对不动产登记中心业务整体满意度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8、高铁周边区域开发建设规划费用绩效目标表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3507"/>
      <w:r>
        <w:rPr>
          <w:rFonts w:hint="eastAsia" w:ascii="方正仿宋_GBK" w:eastAsia="方正仿宋_GBK"/>
          <w:b/>
          <w:sz w:val="28"/>
        </w:rPr>
        <w:instrText xml:space="preserve">8、高铁周边区域开发建设规划费用绩效目标表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324-1202-YXN-T0ZG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高铁周边区域开发建设规划费用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无极县高铁站周边区域地图测绘；无极县高铁新区总体规划；无极县高铁新区控制性详细规划。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、高铁新区与中心城区快速交通通道两侧的迎宾景观因素构筑以及高铁新区的用地形态空间布局。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、在总体规划的基础上编制无极县高铁新区控制性详细规划。</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成果合格数量占总数量比率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编制成果完成率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完成量占总编制的比率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当年应用的编制规划数量占当年编制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9、关于提前下达2020年度省级地下水超采综合治理专项资金的通知冀财农（2019）171号绩效目标表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3508"/>
      <w:r>
        <w:rPr>
          <w:rFonts w:hint="eastAsia" w:ascii="方正仿宋_GBK" w:eastAsia="方正仿宋_GBK"/>
          <w:b/>
          <w:sz w:val="28"/>
        </w:rPr>
        <w:instrText xml:space="preserve">9、关于提前下达2020年度省级地下水超采综合治理专项资金的通知冀财农（2019）171号绩效目标表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324-0902-JQN-S7KK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年度省级地下水超采综合治理专项资金的通知冀财农（</w:t>
            </w:r>
            <w:r>
              <w:rPr>
                <w:rFonts w:ascii="方正书宋_GBK" w:eastAsia="方正书宋_GBK"/>
              </w:rPr>
              <w:t>2019</w:t>
            </w:r>
            <w:r>
              <w:rPr>
                <w:rFonts w:hint="eastAsia" w:ascii="方正书宋_GBK" w:eastAsia="方正书宋_GBK"/>
              </w:rPr>
              <w:t>）</w:t>
            </w:r>
            <w:r>
              <w:rPr>
                <w:rFonts w:ascii="方正书宋_GBK" w:eastAsia="方正书宋_GBK"/>
              </w:rPr>
              <w:t>171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地下水超采综合治理非农作物替代农作物的项目补助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、提高地下水超采治理程度</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人均森林覆盖比率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比率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新增森林蓄积量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群众对地下水超采治理的整体满意度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10、关于提前下达2020年市级林业改革发展补助资金的通知（滹沱河绿化建设资金）-石财农（2019）121绩效目标表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3509"/>
      <w:r>
        <w:rPr>
          <w:rFonts w:hint="eastAsia" w:ascii="方正仿宋_GBK" w:eastAsia="方正仿宋_GBK"/>
          <w:b/>
          <w:sz w:val="28"/>
        </w:rPr>
        <w:instrText xml:space="preserve">10、关于提前下达2020年市级林业改革发展补助资金的通知（滹沱河绿化建设资金）-石财农（2019）121绩效目标表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324-0902-JQN-1991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年市级林业改革发展补助资金的通知（滹沱河绿化建设资金）</w:t>
            </w:r>
            <w:r>
              <w:rPr>
                <w:rFonts w:ascii="方正书宋_GBK" w:eastAsia="方正书宋_GBK"/>
              </w:rPr>
              <w:t>-</w:t>
            </w: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提高森林绿化，完成滹沱河绿化建设。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、滹沱河绿化面积完成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、提高森林抚育。</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造林推进林业可持续发展度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造林推进林业可持续发展度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群众对当年造林绿化的整体满意度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11、河北省财政厅关于提前下达2020年省级林业改革发展资金的通知绩效目标表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3510"/>
      <w:r>
        <w:rPr>
          <w:rFonts w:hint="eastAsia" w:ascii="方正仿宋_GBK" w:eastAsia="方正仿宋_GBK"/>
          <w:b/>
          <w:sz w:val="28"/>
        </w:rPr>
        <w:instrText xml:space="preserve">11、河北省财政厅关于提前下达2020年省级林业改革发展资金的通知绩效目标表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324-0901-JBN-QG9Y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年省级林业改革发展资金的通知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用于造林绿化，提高森林覆盖率，购置造林苗木。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、完成森林绿化指标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、提高森林覆盖率</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森林覆盖率提高度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森林覆盖面积比上年提高比率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比率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森林面积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完成植树面积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8000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群众对植树造林满意程度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ind w:firstLine="560" w:firstLineChars="200"/>
        <w:jc w:val="left"/>
        <w:outlineLvl w:val="1"/>
        <w:rPr>
          <w:rFonts w:hAnsi="宋体"/>
          <w:b/>
          <w:sz w:val="28"/>
        </w:rPr>
      </w:pPr>
      <w:r>
        <w:rPr>
          <w:rFonts w:hint="eastAsia" w:ascii="方正仿宋_GBK" w:eastAsia="方正仿宋_GBK"/>
          <w:b/>
          <w:sz w:val="28"/>
        </w:rPr>
        <w:t>12、河北省财政厅关于提前下达2020年中央财政林业改革发展资金预算指标的通知绩效目标表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953511"/>
      <w:r>
        <w:rPr>
          <w:rFonts w:hint="eastAsia" w:ascii="方正仿宋_GBK" w:eastAsia="方正仿宋_GBK"/>
          <w:b/>
          <w:sz w:val="28"/>
        </w:rPr>
        <w:instrText xml:space="preserve">12、河北省财政厅关于提前下达2020年中央财政林业改革发展资金预算指标的通知绩效目标表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324-0903-JBN-W00I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年中央财政林业改革发展资金预算指标的通知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6.19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用于退耕还林到期纳入森林抚育补助资金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、森林抚育完成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、退耕还林补助落实</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退耕还林完成率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退耕亩数占任务比例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造林当期完成率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完成数占任务比例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森林抚育对生态环境的改善情况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森林抚育对生态环境提高的比例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森林抚育带动就业人数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森林抚育带动就业人数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森林管护人员满意度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森林抚育满意人数占总人数比例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13、开展无极县2018年度土地变更调查工作经费绩效目标表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4953512"/>
      <w:r>
        <w:rPr>
          <w:rFonts w:hint="eastAsia" w:ascii="方正仿宋_GBK" w:eastAsia="方正仿宋_GBK"/>
          <w:b/>
          <w:sz w:val="28"/>
        </w:rPr>
        <w:instrText xml:space="preserve">13、开展无极县2018年度土地变更调查工作经费绩效目标表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324-0402-YXN-FSPI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开展无极县</w:t>
            </w:r>
            <w:r>
              <w:rPr>
                <w:rFonts w:ascii="方正书宋_GBK" w:eastAsia="方正书宋_GBK"/>
              </w:rPr>
              <w:t>2018</w:t>
            </w:r>
            <w:r>
              <w:rPr>
                <w:rFonts w:hint="eastAsia" w:ascii="方正书宋_GBK" w:eastAsia="方正书宋_GBK"/>
              </w:rPr>
              <w:t>年度土地变更调查工作经费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用于无极县</w:t>
            </w:r>
            <w:r>
              <w:rPr>
                <w:rFonts w:ascii="方正书宋_GBK" w:eastAsia="方正书宋_GBK"/>
              </w:rPr>
              <w:t>2018</w:t>
            </w:r>
            <w:r>
              <w:rPr>
                <w:rFonts w:hint="eastAsia" w:ascii="方正书宋_GBK" w:eastAsia="方正书宋_GBK"/>
              </w:rPr>
              <w:t>年度土地变更调查工作经费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、为今后十年的土地利用管理与空间规划的编制提供基础数据，基础数据能够满足社会经济宏观调控及各类规划编制的需要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、能够及时、准确的向上级主管部门及县人民政府提供现势性强、数据准确的土地利用现状数据</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农村土地利用现状调查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完成全辖区范围内每块土地的现状调查，在最新土地利用变更调查数据库基础上，通过内外业调查核实土地利用变化情况，确定每块土地的利用现状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土地权属整理调查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完成城镇国有建设用地范围外已完成的集体土地所有权确权登记和国有土地使用权登记成果落实在土地调查成果中，对发生变化的开展补充调查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专项土地调查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基于土地利用现状、土地权属调查成果和资源管理形成的各类管理信息，结合自然资源精细化管理、节约集约用地评价及相关专项工作的需要，完成系列专项用地调查评价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满足省、市、县土地利用现状数据统计分析需要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能够及时、准确的向上级主管部门及县人民政府提供现势性强、数据准确的土地利用现状数据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完善土地调查、监测和统计制度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实现成果信息化管理与共享，能够实时开展土地变化情况调查核实</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农村集体建设用地和宅基地调查成果及城镇地籍、不动产登记等相关成果，对城镇村庄内部的土地利用现状开展细化调查，查清城镇村庄内部商服、工业、仓储、住宅、公共管理与公共服务和特殊用地等地类的土地利用状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560" w:firstLineChars="200"/>
        <w:jc w:val="left"/>
        <w:outlineLvl w:val="1"/>
        <w:rPr>
          <w:rFonts w:hAnsi="宋体"/>
          <w:b/>
          <w:sz w:val="28"/>
        </w:rPr>
      </w:pPr>
      <w:r>
        <w:rPr>
          <w:rFonts w:hint="eastAsia" w:ascii="方正仿宋_GBK" w:eastAsia="方正仿宋_GBK"/>
          <w:b/>
          <w:sz w:val="28"/>
        </w:rPr>
        <w:t>14、美国白蛾防治资金绩效目标表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4953513"/>
      <w:r>
        <w:rPr>
          <w:rFonts w:hint="eastAsia" w:ascii="方正仿宋_GBK" w:eastAsia="方正仿宋_GBK"/>
          <w:b/>
          <w:sz w:val="28"/>
        </w:rPr>
        <w:instrText xml:space="preserve">14、美国白蛾防治资金绩效目标表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324-1102-JQN-HYO6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美国白蛾防治资金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美国白蛾病虫害防治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、防治林业白蛾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、加强生态林业建设</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白蛾病虫害防治率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病虫害防治占全部灾害比率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当年白蛾防治任务完成情况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防治灾害保护林业比率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保护森林资源的情况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bl>
    <w:p>
      <w:pPr>
        <w:ind w:firstLine="560" w:firstLineChars="200"/>
        <w:jc w:val="left"/>
        <w:outlineLvl w:val="1"/>
        <w:rPr>
          <w:rFonts w:hAnsi="宋体"/>
          <w:b/>
          <w:sz w:val="28"/>
        </w:rPr>
      </w:pPr>
      <w:r>
        <w:rPr>
          <w:rFonts w:hint="eastAsia" w:ascii="方正仿宋_GBK" w:eastAsia="方正仿宋_GBK"/>
          <w:b/>
          <w:sz w:val="28"/>
        </w:rPr>
        <w:t>15、农村集体土地所有权补充调查工作经费绩效目标表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4953514"/>
      <w:r>
        <w:rPr>
          <w:rFonts w:hint="eastAsia" w:ascii="方正仿宋_GBK" w:eastAsia="方正仿宋_GBK"/>
          <w:b/>
          <w:sz w:val="28"/>
        </w:rPr>
        <w:instrText xml:space="preserve">15、农村集体土地所有权补充调查工作经费绩效目标表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324-0402-YXN-BTEK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农村集体土地所有权补充调查工作经费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98.70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集中开展农村集体土地所有权补充调查，补充集体土地所有权字段，建立全省农村集体土地所有权登记数据库。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、保障我县经济发展，支撑集体土地转用征收审批等土地管理工作。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、建立健全农村集体土地所有权登记数据库。</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补充调查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补充集体土地所有权登记字段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注销登记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对被征收的集体土地进行注销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保障经济发展，支撑集体土地转用征收等土地管理工作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数据库建设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建立全省农村集体土地所有权登记数据库</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560" w:firstLineChars="200"/>
        <w:jc w:val="left"/>
        <w:outlineLvl w:val="1"/>
        <w:rPr>
          <w:rFonts w:hAnsi="宋体"/>
          <w:b/>
          <w:sz w:val="28"/>
        </w:rPr>
      </w:pPr>
      <w:r>
        <w:rPr>
          <w:rFonts w:hint="eastAsia" w:ascii="方正仿宋_GBK" w:eastAsia="方正仿宋_GBK"/>
          <w:b/>
          <w:sz w:val="28"/>
        </w:rPr>
        <w:t>16、三个高标准基本农田建设项目资金绩效目标表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4953515"/>
      <w:r>
        <w:rPr>
          <w:rFonts w:hint="eastAsia" w:ascii="方正仿宋_GBK" w:eastAsia="方正仿宋_GBK"/>
          <w:b/>
          <w:sz w:val="28"/>
        </w:rPr>
        <w:instrText xml:space="preserve">16、三个高标准基本农田建设项目资金绩效目标表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324-0401-YCN-STHU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三个高标准基本农田建设项目资金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118.60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118.60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用于结算无极县三个高标准基本农田建设项目的工程质保金、监理费、前期费和审计费。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、提升耕地质量</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90000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道路通达率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道路通达率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能够长期较好地开展展演、展映、展播、展示，长期满足人民群众对精神文化的需求。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提升耕地质量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比上年提高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水资源利用率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比上年提高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受益乡镇、村满意度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17、数字无极地理空间框架建设项目资金绩效目标表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4953516"/>
      <w:r>
        <w:rPr>
          <w:rFonts w:hint="eastAsia" w:ascii="方正仿宋_GBK" w:eastAsia="方正仿宋_GBK"/>
          <w:b/>
          <w:sz w:val="28"/>
        </w:rPr>
        <w:instrText xml:space="preserve">17、数字无极地理空间框架建设项目资金绩效目标表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324-0801-YXN-RKVG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数字无极地理空间框架建设项目资金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389.83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389.83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数字城市建设：项目设计、数据采集、更新、整合、入库、系统开发、地理空间信息的软件设备、应用系统的开发等。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、通过实施数字地理信息框架建设，为我县经济社会信息化发展提供基础平台。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、通过实施数字地理信息框架建设，为我县共享地理信息资源提供服务和有力保障。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前期工作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项目设计及数据更新整合等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软件设备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地理空间信息平台所需软件设备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系统开发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示范应用系统开发</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提供平台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为经济社会信息化提供平台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资源共享</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为共享地理信息资源提供服务和有力保障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560" w:firstLineChars="200"/>
        <w:jc w:val="left"/>
        <w:outlineLvl w:val="1"/>
        <w:rPr>
          <w:rFonts w:hAnsi="宋体"/>
          <w:b/>
          <w:sz w:val="28"/>
        </w:rPr>
      </w:pPr>
      <w:r>
        <w:rPr>
          <w:rFonts w:hint="eastAsia" w:ascii="方正仿宋_GBK" w:eastAsia="方正仿宋_GBK"/>
          <w:b/>
          <w:sz w:val="28"/>
        </w:rPr>
        <w:t>18、土地综合整治提质改造示范项目经费绩效目标表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4953517"/>
      <w:r>
        <w:rPr>
          <w:rFonts w:hint="eastAsia" w:ascii="方正仿宋_GBK" w:eastAsia="方正仿宋_GBK"/>
          <w:b/>
          <w:sz w:val="28"/>
        </w:rPr>
        <w:instrText xml:space="preserve">18、土地综合整治提质改造示范项目经费绩效目标表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324-0401-YXN-B3O4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土地综合整治提质改造示范项目经费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用于结算无极县土地综合整治提质改造项目前期可研费。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、提升耕地质量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、三级指标</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90000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道路通达率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道路通达率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能够长期较好地开展展演、展映、展播、展示，长期满足人民群众对精神文化的需求。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提升耕地质量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比上年提高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水资源利用率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比上年提高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受益乡镇、村满意度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p>
        </w:tc>
      </w:tr>
    </w:tbl>
    <w:p>
      <w:pPr>
        <w:ind w:firstLine="560" w:firstLineChars="200"/>
        <w:jc w:val="left"/>
        <w:outlineLvl w:val="1"/>
        <w:rPr>
          <w:rFonts w:hAnsi="宋体"/>
          <w:b/>
          <w:sz w:val="28"/>
        </w:rPr>
      </w:pPr>
      <w:r>
        <w:rPr>
          <w:rFonts w:hint="eastAsia" w:ascii="方正仿宋_GBK" w:eastAsia="方正仿宋_GBK"/>
          <w:b/>
          <w:sz w:val="28"/>
        </w:rPr>
        <w:t>19、网络划转人员经费绩效目标表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4953518"/>
      <w:r>
        <w:rPr>
          <w:rFonts w:hint="eastAsia" w:ascii="方正仿宋_GBK" w:eastAsia="方正仿宋_GBK"/>
          <w:b/>
          <w:sz w:val="28"/>
        </w:rPr>
        <w:instrText xml:space="preserve">19、网络划转人员经费绩效目标表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324-0802-YXN-YC2Y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网络划转人员经费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按时支付划转人员经费及缴纳保险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、完成人员工资及交纳保险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、提高单位运行质量</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正常工资、保险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支付时间完成情况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接受人员的满意程度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20、违法建设违法占地拆除费绩效目标表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4953519"/>
      <w:r>
        <w:rPr>
          <w:rFonts w:hint="eastAsia" w:ascii="方正仿宋_GBK" w:eastAsia="方正仿宋_GBK"/>
          <w:b/>
          <w:sz w:val="28"/>
        </w:rPr>
        <w:instrText xml:space="preserve">20、违法建设违法占地拆除费绩效目标表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324-0701-YXN-6HAU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违法建设违法占地拆除费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对违法占地、违法建筑全部进行拆除并清理清运地上建筑垃圾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、对违法占地违法建筑进行拆除到位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、清理并清运地上建筑垃圾，达到复耕条件</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共拆除违建</w:t>
            </w:r>
            <w:r>
              <w:rPr>
                <w:rFonts w:ascii="方正书宋_GBK" w:eastAsia="方正书宋_GBK"/>
              </w:rPr>
              <w:t>52</w:t>
            </w:r>
            <w:r>
              <w:rPr>
                <w:rFonts w:hint="eastAsia" w:ascii="方正书宋_GBK" w:eastAsia="方正书宋_GBK"/>
              </w:rPr>
              <w:t>块，包括房屋或大棚房</w:t>
            </w:r>
            <w:r>
              <w:rPr>
                <w:rFonts w:ascii="方正书宋_GBK" w:eastAsia="方正书宋_GBK"/>
              </w:rPr>
              <w:t>356</w:t>
            </w:r>
            <w:r>
              <w:rPr>
                <w:rFonts w:hint="eastAsia" w:ascii="方正书宋_GBK" w:eastAsia="方正书宋_GBK"/>
              </w:rPr>
              <w:t>块、浇筑地面</w:t>
            </w:r>
            <w:r>
              <w:rPr>
                <w:rFonts w:ascii="方正书宋_GBK" w:eastAsia="方正书宋_GBK"/>
              </w:rPr>
              <w:t>17</w:t>
            </w:r>
            <w:r>
              <w:rPr>
                <w:rFonts w:hint="eastAsia" w:ascii="方正书宋_GBK" w:eastAsia="方正书宋_GBK"/>
              </w:rPr>
              <w:t>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共拆除面积</w:t>
            </w:r>
            <w:r>
              <w:rPr>
                <w:rFonts w:ascii="方正书宋_GBK" w:eastAsia="方正书宋_GBK"/>
              </w:rPr>
              <w:t>100282</w:t>
            </w:r>
            <w:r>
              <w:rPr>
                <w:rFonts w:hint="eastAsia" w:ascii="方正书宋_GBK" w:eastAsia="方正书宋_GBK"/>
              </w:rPr>
              <w:t>平米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拆除违法地块到位，清理地上垃圾达到复耕条件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560" w:firstLineChars="200"/>
        <w:jc w:val="left"/>
        <w:outlineLvl w:val="1"/>
        <w:rPr>
          <w:rFonts w:hAnsi="宋体"/>
          <w:b/>
          <w:sz w:val="28"/>
        </w:rPr>
      </w:pPr>
      <w:r>
        <w:rPr>
          <w:rFonts w:hint="eastAsia" w:ascii="方正仿宋_GBK" w:eastAsia="方正仿宋_GBK"/>
          <w:b/>
          <w:sz w:val="28"/>
        </w:rPr>
        <w:t>21、违法占地测量费用绩效目标表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4953520"/>
      <w:r>
        <w:rPr>
          <w:rFonts w:hint="eastAsia" w:ascii="方正仿宋_GBK" w:eastAsia="方正仿宋_GBK"/>
          <w:b/>
          <w:sz w:val="28"/>
        </w:rPr>
        <w:instrText xml:space="preserve">21、违法占地测量费用绩效目标表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324-0701-YXN-NGL0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违法占地测量费用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18.63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18.63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用于对违法占地的测量，以便更好的完善地块信息，掌握地类性质和土地利用总体规划情况。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、测量违法地块的坐标，完善地块信息。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、测量违法占地坐标，以便准确掌握地类性质和土地利用总体规划情况。</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测量违法占地坐标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准确测量出违法占地地块的坐标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完善地块信息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准确掌握地理性质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违法占地查处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对违法占地进行立案查处，保障我县土地健康性发展</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ind w:firstLine="2241" w:firstLineChars="800"/>
        <w:jc w:val="left"/>
        <w:outlineLvl w:val="1"/>
        <w:rPr>
          <w:rFonts w:hAnsi="宋体"/>
          <w:b/>
          <w:sz w:val="28"/>
        </w:rPr>
      </w:pPr>
      <w:r>
        <w:rPr>
          <w:rFonts w:hint="eastAsia" w:ascii="方正仿宋_GBK" w:eastAsia="方正仿宋_GBK"/>
          <w:b/>
          <w:sz w:val="28"/>
        </w:rPr>
        <w:t>22、滹沱河堤外绿化补贴绩效目标表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4953521"/>
      <w:r>
        <w:rPr>
          <w:rFonts w:hint="eastAsia" w:ascii="方正仿宋_GBK" w:eastAsia="方正仿宋_GBK"/>
          <w:b/>
          <w:sz w:val="28"/>
        </w:rPr>
        <w:instrText xml:space="preserve">22、滹沱河堤外绿化补贴绩效目标表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无极县自然资源和规划局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324-0902-YXN-8GTS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滹沱河堤外绿化补贴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年地下水超采林业项目滹沱河河堤绿化补贴。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、提高森林质量，促进林业持续发展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、增加有林面积，提高全县绿化水平，改善生态环境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森林培育任务完成率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当年完成森林培育面积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验收合格占总工程质量的比例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历史指标</w:t>
            </w:r>
          </w:p>
        </w:tc>
      </w:tr>
    </w:tbl>
    <w:p>
      <w:pPr>
        <w:widowControl w:val="0"/>
        <w:numPr>
          <w:ilvl w:val="0"/>
          <w:numId w:val="0"/>
        </w:numPr>
        <w:jc w:val="both"/>
        <w:rPr>
          <w:rFonts w:hint="eastAsia" w:ascii="楷体" w:hAnsi="楷体" w:eastAsia="楷体"/>
          <w:sz w:val="32"/>
          <w:szCs w:val="32"/>
        </w:rPr>
      </w:pPr>
    </w:p>
    <w:p>
      <w:pPr>
        <w:widowControl w:val="0"/>
        <w:numPr>
          <w:ilvl w:val="0"/>
          <w:numId w:val="0"/>
        </w:numPr>
        <w:jc w:val="both"/>
        <w:rPr>
          <w:rFonts w:hint="eastAsia" w:ascii="楷体" w:hAnsi="楷体" w:eastAsia="楷体"/>
          <w:sz w:val="32"/>
          <w:szCs w:val="32"/>
        </w:rPr>
      </w:pPr>
    </w:p>
    <w:p>
      <w:pPr>
        <w:spacing w:line="300" w:lineRule="exact"/>
        <w:ind w:firstLine="420" w:firstLineChars="200"/>
        <w:jc w:val="left"/>
      </w:pPr>
    </w:p>
    <w:p>
      <w:pPr>
        <w:spacing w:line="300" w:lineRule="exact"/>
        <w:ind w:firstLine="420" w:firstLineChars="200"/>
        <w:jc w:val="left"/>
        <w:sectPr>
          <w:pgSz w:w="16839" w:h="11907" w:orient="landscape"/>
          <w:pgMar w:top="1304" w:right="1984" w:bottom="1304" w:left="1134" w:header="851" w:footer="992" w:gutter="0"/>
          <w:cols w:space="0" w:num="1"/>
          <w:rtlGutter w:val="0"/>
          <w:docGrid w:type="lines" w:linePitch="320" w:charSpace="0"/>
        </w:sectPr>
      </w:pPr>
    </w:p>
    <w:p>
      <w:pPr>
        <w:numPr>
          <w:ilvl w:val="0"/>
          <w:numId w:val="2"/>
        </w:numPr>
        <w:autoSpaceDE w:val="0"/>
        <w:autoSpaceDN w:val="0"/>
        <w:adjustRightInd w:val="0"/>
        <w:ind w:firstLine="640" w:firstLineChars="200"/>
        <w:jc w:val="left"/>
        <w:rPr>
          <w:rFonts w:hint="eastAsia" w:ascii="黑体" w:hAnsi="黑体" w:eastAsia="黑体" w:cs="仿宋_GB2312"/>
          <w:sz w:val="32"/>
          <w:szCs w:val="32"/>
        </w:rPr>
      </w:pPr>
      <w:r>
        <w:rPr>
          <w:rFonts w:hint="eastAsia" w:ascii="黑体" w:hAnsi="黑体" w:eastAsia="黑体" w:cs="仿宋_GB2312"/>
          <w:sz w:val="32"/>
          <w:szCs w:val="32"/>
        </w:rPr>
        <w:t>政府采购预算情况</w:t>
      </w:r>
    </w:p>
    <w:p>
      <w:pPr>
        <w:numPr>
          <w:ilvl w:val="0"/>
          <w:numId w:val="0"/>
        </w:numPr>
        <w:autoSpaceDE w:val="0"/>
        <w:autoSpaceDN w:val="0"/>
        <w:adjustRightInd w:val="0"/>
        <w:jc w:val="left"/>
        <w:rPr>
          <w:rFonts w:hint="eastAsia" w:ascii="仿宋" w:hAnsi="仿宋" w:eastAsia="仿宋" w:cs="仿宋"/>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sz w:val="32"/>
          <w:szCs w:val="32"/>
          <w:lang w:val="en-US" w:eastAsia="zh-CN"/>
        </w:rPr>
        <w:t xml:space="preserve"> 2020年，安排政府采购预算0万元，具体内容见下表</w:t>
      </w:r>
    </w:p>
    <w:p>
      <w:pPr>
        <w:jc w:val="center"/>
        <w:outlineLvl w:val="0"/>
        <w:rPr>
          <w:rFonts w:ascii="方正小标宋_GBK" w:eastAsia="方正小标宋_GBK"/>
          <w:sz w:val="32"/>
        </w:rPr>
      </w:pPr>
      <w:r>
        <w:rPr>
          <w:rFonts w:hint="eastAsia" w:ascii="黑体" w:hAnsi="黑体" w:eastAsia="黑体" w:cs="仿宋_GB2312"/>
          <w:sz w:val="32"/>
          <w:szCs w:val="32"/>
          <w:lang w:val="en-US" w:eastAsia="zh-CN"/>
        </w:rPr>
        <w:t xml:space="preserve">    </w:t>
      </w:r>
      <w:bookmarkStart w:id="22" w:name="_Toc2579293"/>
      <w:r>
        <w:rPr>
          <w:rFonts w:hint="eastAsia" w:ascii="方正小标宋_GBK" w:eastAsia="方正小标宋_GBK"/>
          <w:sz w:val="32"/>
        </w:rPr>
        <w:t>部门政府采购预算</w:t>
      </w:r>
      <w:bookmarkEnd w:id="22"/>
    </w:p>
    <w:tbl>
      <w:tblPr>
        <w:tblStyle w:val="4"/>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1033"/>
        <w:gridCol w:w="915"/>
        <w:gridCol w:w="926"/>
        <w:gridCol w:w="714"/>
        <w:gridCol w:w="714"/>
        <w:gridCol w:w="846"/>
        <w:gridCol w:w="904"/>
        <w:gridCol w:w="904"/>
        <w:gridCol w:w="905"/>
        <w:gridCol w:w="905"/>
        <w:gridCol w:w="907"/>
        <w:gridCol w:w="907"/>
        <w:gridCol w:w="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54"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val="en-US" w:eastAsia="zh-CN"/>
              </w:rPr>
            </w:pPr>
            <w:r>
              <w:rPr>
                <w:rFonts w:hint="eastAsia" w:ascii="方正小标宋_GBK" w:eastAsia="方正小标宋_GBK"/>
                <w:sz w:val="24"/>
                <w:lang w:val="en-US" w:eastAsia="zh-CN"/>
              </w:rPr>
              <w:t>324自然资源局</w:t>
            </w:r>
          </w:p>
        </w:tc>
        <w:tc>
          <w:tcPr>
            <w:tcW w:w="629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3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2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298"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3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8"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6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continue"/>
            <w:vAlign w:val="center"/>
          </w:tcPr>
          <w:p>
            <w:pPr>
              <w:spacing w:line="300" w:lineRule="exact"/>
              <w:jc w:val="left"/>
              <w:outlineLvl w:val="0"/>
            </w:pPr>
          </w:p>
        </w:tc>
        <w:tc>
          <w:tcPr>
            <w:tcW w:w="1033"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continue"/>
            <w:vAlign w:val="center"/>
          </w:tcPr>
          <w:p>
            <w:pPr>
              <w:spacing w:line="300" w:lineRule="exact"/>
              <w:jc w:val="left"/>
              <w:outlineLvl w:val="0"/>
            </w:pPr>
          </w:p>
        </w:tc>
        <w:tc>
          <w:tcPr>
            <w:tcW w:w="90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6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hint="default" w:ascii="方正书宋_GBK" w:eastAsia="方正书宋_GBK"/>
                <w:b/>
                <w:lang w:val="en-US" w:eastAsia="zh-CN"/>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bl>
    <w:p>
      <w:pPr>
        <w:numPr>
          <w:ilvl w:val="0"/>
          <w:numId w:val="0"/>
        </w:numPr>
        <w:autoSpaceDE w:val="0"/>
        <w:autoSpaceDN w:val="0"/>
        <w:adjustRightInd w:val="0"/>
        <w:jc w:val="left"/>
        <w:rPr>
          <w:rFonts w:hint="default" w:ascii="黑体" w:hAnsi="黑体" w:eastAsia="黑体" w:cs="仿宋_GB2312"/>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b w:val="0"/>
          <w:bCs w:val="0"/>
          <w:sz w:val="32"/>
          <w:szCs w:val="32"/>
          <w:lang w:val="en-US" w:eastAsia="zh-CN"/>
        </w:rPr>
        <w:t xml:space="preserve"> 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hint="eastAsia" w:ascii="仿宋" w:hAnsi="仿宋" w:eastAsia="仿宋" w:cs="仿宋"/>
          <w:sz w:val="32"/>
          <w:szCs w:val="32"/>
        </w:rPr>
      </w:pPr>
      <w:r>
        <w:rPr>
          <w:rFonts w:hint="eastAsia" w:ascii="仿宋" w:hAnsi="仿宋" w:eastAsia="仿宋" w:cs="仿宋"/>
          <w:sz w:val="32"/>
          <w:szCs w:val="32"/>
          <w:lang w:val="en-US" w:eastAsia="zh-CN"/>
        </w:rPr>
        <w:t>无极县自然资源和规划局</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711.83</w:t>
      </w:r>
      <w:r>
        <w:rPr>
          <w:rFonts w:hint="eastAsia" w:ascii="仿宋" w:hAnsi="仿宋" w:eastAsia="仿宋" w:cs="仿宋"/>
          <w:sz w:val="32"/>
          <w:szCs w:val="32"/>
        </w:rPr>
        <w:t>万元（详见下表）。本年度拟购置固定资产金额为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88" w:firstLineChars="215"/>
        <w:jc w:val="center"/>
        <w:rPr>
          <w:rFonts w:ascii="仿宋" w:hAnsi="仿宋" w:eastAsia="仿宋"/>
          <w:sz w:val="32"/>
        </w:rPr>
      </w:pPr>
      <w:r>
        <w:rPr>
          <w:rFonts w:hint="eastAsia" w:ascii="仿宋" w:hAnsi="仿宋" w:eastAsia="仿宋" w:cs="仿宋"/>
          <w:sz w:val="32"/>
          <w:szCs w:val="32"/>
          <w:lang w:eastAsia="zh-CN"/>
        </w:rPr>
        <w:t>无极县</w:t>
      </w:r>
      <w:r>
        <w:rPr>
          <w:rFonts w:hint="eastAsia" w:ascii="仿宋" w:hAnsi="仿宋" w:eastAsia="仿宋" w:cs="仿宋"/>
          <w:sz w:val="32"/>
          <w:szCs w:val="32"/>
          <w:lang w:val="en-US" w:eastAsia="zh-CN"/>
        </w:rPr>
        <w:t>自然资源和规划局</w:t>
      </w:r>
      <w:r>
        <w:rPr>
          <w:rFonts w:hint="eastAsia" w:ascii="仿宋" w:hAnsi="仿宋" w:eastAsia="仿宋"/>
          <w:sz w:val="32"/>
        </w:rPr>
        <w:t>固定资产占用情况表</w:t>
      </w:r>
    </w:p>
    <w:tbl>
      <w:tblPr>
        <w:tblStyle w:val="4"/>
        <w:tblW w:w="141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35"/>
        <w:gridCol w:w="3009"/>
        <w:gridCol w:w="4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9744" w:type="dxa"/>
            <w:gridSpan w:val="2"/>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编制部门：</w:t>
            </w:r>
            <w:r>
              <w:rPr>
                <w:rFonts w:hint="eastAsia" w:ascii="仿宋" w:hAnsi="仿宋" w:eastAsia="仿宋" w:cs="仿宋"/>
                <w:sz w:val="32"/>
                <w:szCs w:val="32"/>
                <w:lang w:eastAsia="zh-CN"/>
              </w:rPr>
              <w:t>无极县</w:t>
            </w:r>
            <w:r>
              <w:rPr>
                <w:rFonts w:hint="eastAsia" w:ascii="仿宋" w:hAnsi="仿宋" w:eastAsia="仿宋" w:cs="仿宋"/>
                <w:sz w:val="32"/>
                <w:szCs w:val="32"/>
                <w:lang w:val="en-US" w:eastAsia="zh-CN"/>
              </w:rPr>
              <w:t>自然资源和规划局</w:t>
            </w:r>
          </w:p>
        </w:tc>
        <w:tc>
          <w:tcPr>
            <w:tcW w:w="4396" w:type="dxa"/>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截止时间：201</w:t>
            </w:r>
            <w:r>
              <w:rPr>
                <w:rFonts w:hint="eastAsia" w:ascii="仿宋_GB2312" w:hAnsi="仿宋" w:eastAsia="仿宋_GB2312" w:cs="宋体"/>
                <w:kern w:val="0"/>
                <w:sz w:val="32"/>
                <w:szCs w:val="32"/>
                <w:lang w:val="en-US" w:eastAsia="zh-CN"/>
              </w:rPr>
              <w:t>9</w:t>
            </w:r>
            <w:r>
              <w:rPr>
                <w:rFonts w:hint="eastAsia" w:ascii="仿宋_GB2312" w:hAnsi="仿宋" w:eastAsia="仿宋_GB2312" w:cs="宋体"/>
                <w:kern w:val="0"/>
                <w:sz w:val="32"/>
                <w:szCs w:val="32"/>
              </w:rPr>
              <w:t xml:space="preserve">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项   目</w:t>
            </w:r>
          </w:p>
        </w:tc>
        <w:tc>
          <w:tcPr>
            <w:tcW w:w="3009"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数量</w:t>
            </w:r>
          </w:p>
        </w:tc>
        <w:tc>
          <w:tcPr>
            <w:tcW w:w="4396"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资产总额</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711.83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1、房屋（平方米）</w:t>
            </w:r>
          </w:p>
        </w:tc>
        <w:tc>
          <w:tcPr>
            <w:tcW w:w="3009"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1600</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153.14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  其中：办公用房（平方米）</w:t>
            </w:r>
          </w:p>
        </w:tc>
        <w:tc>
          <w:tcPr>
            <w:tcW w:w="3009"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800</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151.43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2、车辆（台、辆）</w:t>
            </w:r>
          </w:p>
        </w:tc>
        <w:tc>
          <w:tcPr>
            <w:tcW w:w="3009" w:type="dxa"/>
            <w:tcBorders>
              <w:top w:val="nil"/>
              <w:left w:val="nil"/>
              <w:bottom w:val="single" w:color="auto" w:sz="4" w:space="0"/>
              <w:right w:val="single" w:color="auto" w:sz="4" w:space="0"/>
            </w:tcBorders>
            <w:vAlign w:val="center"/>
          </w:tcPr>
          <w:p>
            <w:pPr>
              <w:widowControl/>
              <w:jc w:val="center"/>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lang w:val="en-US" w:eastAsia="zh-CN"/>
              </w:rPr>
              <w:t>25</w:t>
            </w:r>
          </w:p>
        </w:tc>
        <w:tc>
          <w:tcPr>
            <w:tcW w:w="4396" w:type="dxa"/>
            <w:tcBorders>
              <w:top w:val="nil"/>
              <w:left w:val="nil"/>
              <w:bottom w:val="single" w:color="auto" w:sz="4" w:space="0"/>
              <w:right w:val="single" w:color="auto" w:sz="4" w:space="0"/>
            </w:tcBorders>
            <w:vAlign w:val="center"/>
          </w:tcPr>
          <w:p>
            <w:pPr>
              <w:widowControl/>
              <w:jc w:val="center"/>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lang w:val="en-US" w:eastAsia="zh-CN"/>
              </w:rPr>
              <w:t>182.4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3、单价在</w:t>
            </w:r>
            <w:r>
              <w:rPr>
                <w:rFonts w:hint="eastAsia" w:ascii="仿宋_GB2312" w:hAnsi="仿宋" w:eastAsia="仿宋_GB2312" w:cs="宋体"/>
                <w:kern w:val="0"/>
                <w:sz w:val="32"/>
                <w:szCs w:val="32"/>
                <w:lang w:val="en-US" w:eastAsia="zh-CN"/>
              </w:rPr>
              <w:t>20</w:t>
            </w:r>
            <w:r>
              <w:rPr>
                <w:rFonts w:hint="eastAsia" w:ascii="仿宋_GB2312" w:hAnsi="仿宋" w:eastAsia="仿宋_GB2312" w:cs="宋体"/>
                <w:kern w:val="0"/>
                <w:sz w:val="32"/>
                <w:szCs w:val="32"/>
              </w:rPr>
              <w:t>万元以上设备</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4、其他固定资产</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376.29</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p>
      <w:pPr>
        <w:ind w:firstLine="688" w:firstLineChars="215"/>
        <w:rPr>
          <w:rFonts w:ascii="仿宋" w:hAnsi="仿宋" w:eastAsia="仿宋"/>
          <w:sz w:val="32"/>
          <w:szCs w:val="32"/>
        </w:rPr>
      </w:pPr>
    </w:p>
    <w:sectPr>
      <w:pgSz w:w="16838" w:h="11906" w:orient="landscape"/>
      <w:pgMar w:top="1633" w:right="1440" w:bottom="1576"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A0023CF"/>
    <w:multiLevelType w:val="singleLevel"/>
    <w:tmpl w:val="BA0023CF"/>
    <w:lvl w:ilvl="0" w:tentative="0">
      <w:start w:val="6"/>
      <w:numFmt w:val="chineseCounting"/>
      <w:suff w:val="nothing"/>
      <w:lvlText w:val="%1、"/>
      <w:lvlJc w:val="left"/>
      <w:rPr>
        <w:rFonts w:hint="eastAsia"/>
      </w:rPr>
    </w:lvl>
  </w:abstractNum>
  <w:abstractNum w:abstractNumId="1">
    <w:nsid w:val="00000005"/>
    <w:multiLevelType w:val="multilevel"/>
    <w:tmpl w:val="00000005"/>
    <w:lvl w:ilvl="0" w:tentative="0">
      <w:start w:val="1"/>
      <w:numFmt w:val="japaneseCounting"/>
      <w:lvlText w:val="（%1）"/>
      <w:lvlJc w:val="left"/>
      <w:pPr>
        <w:ind w:left="1647"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D7DDA"/>
    <w:rsid w:val="094C579A"/>
    <w:rsid w:val="0B292E63"/>
    <w:rsid w:val="0F4F025A"/>
    <w:rsid w:val="1A547CA7"/>
    <w:rsid w:val="1ED6779A"/>
    <w:rsid w:val="21AE61C3"/>
    <w:rsid w:val="23904823"/>
    <w:rsid w:val="2BEA49C6"/>
    <w:rsid w:val="2C031A96"/>
    <w:rsid w:val="3BD63125"/>
    <w:rsid w:val="48346AE3"/>
    <w:rsid w:val="487075D5"/>
    <w:rsid w:val="504C5AFB"/>
    <w:rsid w:val="54302959"/>
    <w:rsid w:val="5FCE6C6F"/>
    <w:rsid w:val="6D690DD5"/>
    <w:rsid w:val="6DF10F89"/>
    <w:rsid w:val="72560DCA"/>
    <w:rsid w:val="79DA4C19"/>
    <w:rsid w:val="7FF549E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customStyle="1" w:styleId="6">
    <w:name w:val="List Paragraph"/>
    <w:basedOn w:val="1"/>
    <w:qFormat/>
    <w:uiPriority w:val="0"/>
    <w:pPr>
      <w:ind w:firstLine="420" w:firstLineChars="200"/>
    </w:pPr>
  </w:style>
  <w:style w:type="character" w:customStyle="1" w:styleId="7">
    <w:name w:val="页眉 字符"/>
    <w:basedOn w:val="5"/>
    <w:link w:val="3"/>
    <w:semiHidden/>
    <w:qFormat/>
    <w:uiPriority w:val="0"/>
    <w:rPr>
      <w:rFonts w:ascii="Times New Roman" w:hAnsi="Times New Roman" w:eastAsia="宋体" w:cs="Times New Roman"/>
      <w:sz w:val="18"/>
      <w:szCs w:val="18"/>
    </w:rPr>
  </w:style>
  <w:style w:type="character" w:customStyle="1" w:styleId="8">
    <w:name w:val="页脚 字符"/>
    <w:basedOn w:val="5"/>
    <w:link w:val="2"/>
    <w:semiHidden/>
    <w:qFormat/>
    <w:uiPriority w:val="0"/>
    <w:rPr>
      <w:rFonts w:ascii="Times New Roman" w:hAnsi="Times New Roman" w:eastAsia="宋体" w:cs="Times New Roman"/>
      <w:sz w:val="18"/>
      <w:szCs w:val="18"/>
    </w:rPr>
  </w:style>
  <w:style w:type="paragraph" w:customStyle="1" w:styleId="9">
    <w:name w:val="普通(网站)1"/>
    <w:basedOn w:val="1"/>
    <w:qFormat/>
    <w:uiPriority w:val="2"/>
    <w:pPr>
      <w:jc w:val="left"/>
    </w:pPr>
    <w:rPr>
      <w:rFonts w:ascii="宋体" w:hAnsi="宋体" w:eastAsia="宋体"/>
      <w:sz w:val="24"/>
    </w:rPr>
  </w:style>
  <w:style w:type="paragraph" w:customStyle="1" w:styleId="10">
    <w:name w:val="正文 New"/>
    <w:basedOn w:val="11"/>
    <w:qFormat/>
    <w:uiPriority w:val="2"/>
    <w:pPr>
      <w:widowControl/>
      <w:spacing w:line="408" w:lineRule="auto"/>
      <w:ind w:left="1"/>
      <w:jc w:val="both"/>
    </w:pPr>
    <w:rPr>
      <w:rFonts w:ascii="Times New Roman" w:hAnsi="Times New Roman" w:eastAsia="Times New Roman"/>
      <w:color w:val="000000"/>
      <w:sz w:val="21"/>
    </w:rPr>
  </w:style>
  <w:style w:type="paragraph" w:customStyle="1" w:styleId="11">
    <w:name w:val="[Normal]"/>
    <w:qFormat/>
    <w:uiPriority w:val="6"/>
    <w:rPr>
      <w:rFonts w:ascii="宋体" w:hAnsi="宋体" w:eastAsia="宋体" w:cs="Times New Roman"/>
      <w:color w:val="auto"/>
      <w:position w:val="0"/>
      <w:sz w:val="24"/>
      <w:szCs w:val="22"/>
      <w:u w:val="none"/>
      <w:shd w:val="clear" w:color="auto" w:fill="auto"/>
      <w:lang w:val="en-US" w:eastAsia="en-US" w:bidi="ar-SA"/>
    </w:rPr>
  </w:style>
  <w:style w:type="character" w:customStyle="1" w:styleId="12">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13</Pages>
  <Words>707</Words>
  <Characters>4032</Characters>
  <Lines>33</Lines>
  <Paragraphs>9</Paragraphs>
  <TotalTime>5</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2024-01-31T05:34:26Z</dcterms:modified>
  <dc:title>谷 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AD5BBC8F1AF149878EA1BE6DE760C216</vt:lpwstr>
  </property>
</Properties>
</file>