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18" w:name="_GoBack"/>
      <w:bookmarkEnd w:id="18"/>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jc w:val="center"/>
        <w:rPr>
          <w:rFonts w:eastAsia="Times New Roman"/>
        </w:rPr>
      </w:pPr>
      <w:r>
        <w:rPr>
          <w:rFonts w:hint="eastAsia" w:ascii="黑体" w:hAnsi="黑体" w:eastAsia="黑体" w:cs="黑体"/>
          <w:b/>
          <w:color w:val="000000"/>
          <w:sz w:val="30"/>
        </w:rPr>
        <w:t>第一部分</w:t>
      </w:r>
      <w:r>
        <w:rPr>
          <w:rFonts w:ascii="黑体" w:hAnsi="黑体" w:eastAsia="黑体" w:cs="黑体"/>
          <w:b/>
          <w:color w:val="000000"/>
          <w:sz w:val="30"/>
        </w:rPr>
        <w:t xml:space="preserve">  </w:t>
      </w:r>
      <w:r>
        <w:rPr>
          <w:rFonts w:hint="eastAsia" w:ascii="黑体" w:hAnsi="黑体" w:eastAsia="黑体" w:cs="黑体"/>
          <w:b/>
          <w:color w:val="000000"/>
          <w:sz w:val="30"/>
        </w:rPr>
        <w:t>部门预算</w:t>
      </w:r>
    </w:p>
    <w:p>
      <w:pPr>
        <w:rPr>
          <w:rFonts w:eastAsia="Times New Roman"/>
        </w:rPr>
      </w:pPr>
      <w:r>
        <w:rPr>
          <w:rFonts w:hint="eastAsia" w:ascii="方正楷体_GBK" w:hAnsi="方正楷体_GBK" w:eastAsia="方正楷体_GBK" w:cs="方正楷体_GBK"/>
          <w:b/>
          <w:color w:val="000000"/>
          <w:sz w:val="28"/>
        </w:rPr>
        <w:t>部门预算公开表</w:t>
      </w:r>
    </w:p>
    <w:p>
      <w:pPr>
        <w:pStyle w:val="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7"/>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7"/>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7"/>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7"/>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7"/>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7"/>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7"/>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7"/>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7"/>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7"/>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7"/>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7"/>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w:t>
      </w:r>
      <w:r>
        <w:rPr>
          <w:rFonts w:hint="eastAsia"/>
          <w:lang w:val="en-US" w:eastAsia="zh-CN"/>
        </w:rPr>
        <w:t>6</w:t>
      </w:r>
      <w:r>
        <w:fldChar w:fldCharType="end"/>
      </w:r>
      <w:r>
        <w:fldChar w:fldCharType="end"/>
      </w:r>
    </w:p>
    <w:p>
      <w:pPr>
        <w:pStyle w:val="7"/>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7"/>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7"/>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28</w:t>
      </w:r>
      <w:r>
        <w:fldChar w:fldCharType="end"/>
      </w:r>
      <w:r>
        <w:fldChar w:fldCharType="end"/>
      </w:r>
    </w:p>
    <w:p>
      <w:pPr>
        <w:pStyle w:val="7"/>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2126"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6661" w:type="dxa"/>
            <w:gridSpan w:val="2"/>
            <w:vAlign w:val="center"/>
          </w:tcPr>
          <w:p>
            <w:pPr>
              <w:pStyle w:val="19"/>
            </w:pPr>
            <w:r>
              <w:rPr>
                <w:rFonts w:hint="eastAsia"/>
              </w:rPr>
              <w:t>收入</w:t>
            </w:r>
          </w:p>
        </w:tc>
        <w:tc>
          <w:tcPr>
            <w:tcW w:w="6661" w:type="dxa"/>
            <w:gridSpan w:val="2"/>
            <w:vAlign w:val="center"/>
          </w:tcPr>
          <w:p>
            <w:pPr>
              <w:pStyle w:val="19"/>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9"/>
            </w:pPr>
            <w:r>
              <w:rPr>
                <w:rFonts w:hint="eastAsia"/>
              </w:rPr>
              <w:t>项</w:t>
            </w:r>
            <w:r>
              <w:t xml:space="preserve">  </w:t>
            </w:r>
            <w:r>
              <w:rPr>
                <w:rFonts w:hint="eastAsia"/>
              </w:rPr>
              <w:t>目</w:t>
            </w:r>
          </w:p>
        </w:tc>
        <w:tc>
          <w:tcPr>
            <w:tcW w:w="2126" w:type="dxa"/>
            <w:vAlign w:val="center"/>
          </w:tcPr>
          <w:p>
            <w:pPr>
              <w:pStyle w:val="19"/>
            </w:pPr>
            <w:r>
              <w:rPr>
                <w:rFonts w:hint="eastAsia"/>
              </w:rPr>
              <w:t>预算数</w:t>
            </w:r>
          </w:p>
        </w:tc>
        <w:tc>
          <w:tcPr>
            <w:tcW w:w="4535" w:type="dxa"/>
            <w:vAlign w:val="center"/>
          </w:tcPr>
          <w:p>
            <w:pPr>
              <w:pStyle w:val="19"/>
            </w:pPr>
            <w:r>
              <w:rPr>
                <w:rFonts w:hint="eastAsia"/>
              </w:rPr>
              <w:t>项</w:t>
            </w:r>
            <w:r>
              <w:t xml:space="preserve">  </w:t>
            </w:r>
            <w:r>
              <w:rPr>
                <w:rFonts w:hint="eastAsia"/>
              </w:rPr>
              <w:t>目</w:t>
            </w:r>
          </w:p>
        </w:tc>
        <w:tc>
          <w:tcPr>
            <w:tcW w:w="2126" w:type="dxa"/>
            <w:vAlign w:val="center"/>
          </w:tcPr>
          <w:p>
            <w:pPr>
              <w:pStyle w:val="19"/>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4535" w:type="dxa"/>
            <w:vAlign w:val="center"/>
          </w:tcPr>
          <w:p>
            <w:pPr>
              <w:pStyle w:val="19"/>
            </w:pPr>
            <w:r>
              <w:t>1</w:t>
            </w:r>
          </w:p>
        </w:tc>
        <w:tc>
          <w:tcPr>
            <w:tcW w:w="2126" w:type="dxa"/>
            <w:vAlign w:val="center"/>
          </w:tcPr>
          <w:p>
            <w:pPr>
              <w:pStyle w:val="19"/>
            </w:pPr>
            <w:r>
              <w:t>2</w:t>
            </w:r>
          </w:p>
        </w:tc>
        <w:tc>
          <w:tcPr>
            <w:tcW w:w="4535" w:type="dxa"/>
            <w:vAlign w:val="center"/>
          </w:tcPr>
          <w:p>
            <w:pPr>
              <w:pStyle w:val="19"/>
            </w:pPr>
            <w:r>
              <w:t>3</w:t>
            </w:r>
          </w:p>
        </w:tc>
        <w:tc>
          <w:tcPr>
            <w:tcW w:w="2126" w:type="dxa"/>
            <w:vAlign w:val="center"/>
          </w:tcPr>
          <w:p>
            <w:pPr>
              <w:pStyle w:val="1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4535" w:type="dxa"/>
            <w:vAlign w:val="center"/>
          </w:tcPr>
          <w:p>
            <w:pPr>
              <w:pStyle w:val="21"/>
            </w:pPr>
            <w:r>
              <w:rPr>
                <w:rFonts w:hint="eastAsia"/>
              </w:rPr>
              <w:t>一、一般公共预算拨款收入</w:t>
            </w:r>
          </w:p>
        </w:tc>
        <w:tc>
          <w:tcPr>
            <w:tcW w:w="2126" w:type="dxa"/>
            <w:vAlign w:val="center"/>
          </w:tcPr>
          <w:p>
            <w:pPr>
              <w:pStyle w:val="20"/>
            </w:pPr>
            <w:r>
              <w:t>555.50</w:t>
            </w:r>
          </w:p>
        </w:tc>
        <w:tc>
          <w:tcPr>
            <w:tcW w:w="4535" w:type="dxa"/>
            <w:vAlign w:val="center"/>
          </w:tcPr>
          <w:p>
            <w:pPr>
              <w:pStyle w:val="21"/>
            </w:pPr>
            <w:r>
              <w:rPr>
                <w:rFonts w:hint="eastAsia"/>
              </w:rPr>
              <w:t>一、一般公共服务支出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4535" w:type="dxa"/>
            <w:vAlign w:val="center"/>
          </w:tcPr>
          <w:p>
            <w:pPr>
              <w:pStyle w:val="21"/>
            </w:pPr>
            <w:r>
              <w:rPr>
                <w:rFonts w:hint="eastAsia"/>
              </w:rPr>
              <w:t>二、政府性基金预算拨款收入</w:t>
            </w:r>
          </w:p>
        </w:tc>
        <w:tc>
          <w:tcPr>
            <w:tcW w:w="2126" w:type="dxa"/>
            <w:vAlign w:val="center"/>
          </w:tcPr>
          <w:p>
            <w:pPr>
              <w:pStyle w:val="20"/>
            </w:pPr>
          </w:p>
        </w:tc>
        <w:tc>
          <w:tcPr>
            <w:tcW w:w="4535" w:type="dxa"/>
            <w:vAlign w:val="center"/>
          </w:tcPr>
          <w:p>
            <w:pPr>
              <w:pStyle w:val="21"/>
            </w:pPr>
            <w:r>
              <w:rPr>
                <w:rFonts w:hint="eastAsia"/>
              </w:rPr>
              <w:t>二、外交支出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4535" w:type="dxa"/>
            <w:vAlign w:val="center"/>
          </w:tcPr>
          <w:p>
            <w:pPr>
              <w:pStyle w:val="21"/>
            </w:pPr>
            <w:r>
              <w:rPr>
                <w:rFonts w:hint="eastAsia"/>
              </w:rPr>
              <w:t>三、国有资本经营预算拨款收入</w:t>
            </w:r>
          </w:p>
        </w:tc>
        <w:tc>
          <w:tcPr>
            <w:tcW w:w="2126" w:type="dxa"/>
            <w:vAlign w:val="center"/>
          </w:tcPr>
          <w:p>
            <w:pPr>
              <w:pStyle w:val="20"/>
            </w:pPr>
          </w:p>
        </w:tc>
        <w:tc>
          <w:tcPr>
            <w:tcW w:w="4535" w:type="dxa"/>
            <w:vAlign w:val="center"/>
          </w:tcPr>
          <w:p>
            <w:pPr>
              <w:pStyle w:val="21"/>
            </w:pPr>
            <w:r>
              <w:rPr>
                <w:rFonts w:hint="eastAsia"/>
              </w:rPr>
              <w:t>三、国防支出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4535" w:type="dxa"/>
            <w:vAlign w:val="center"/>
          </w:tcPr>
          <w:p>
            <w:pPr>
              <w:pStyle w:val="21"/>
            </w:pPr>
            <w:r>
              <w:rPr>
                <w:rFonts w:hint="eastAsia"/>
              </w:rPr>
              <w:t>四、财政专户管理资金收入</w:t>
            </w:r>
          </w:p>
        </w:tc>
        <w:tc>
          <w:tcPr>
            <w:tcW w:w="2126" w:type="dxa"/>
            <w:vAlign w:val="center"/>
          </w:tcPr>
          <w:p>
            <w:pPr>
              <w:pStyle w:val="20"/>
            </w:pPr>
          </w:p>
        </w:tc>
        <w:tc>
          <w:tcPr>
            <w:tcW w:w="4535" w:type="dxa"/>
            <w:vAlign w:val="center"/>
          </w:tcPr>
          <w:p>
            <w:pPr>
              <w:pStyle w:val="21"/>
            </w:pPr>
            <w:r>
              <w:rPr>
                <w:rFonts w:hint="eastAsia"/>
              </w:rPr>
              <w:t>四、公共安全支出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4535" w:type="dxa"/>
            <w:vAlign w:val="center"/>
          </w:tcPr>
          <w:p>
            <w:pPr>
              <w:pStyle w:val="21"/>
            </w:pPr>
            <w:r>
              <w:rPr>
                <w:rFonts w:hint="eastAsia"/>
              </w:rPr>
              <w:t>五、事业收入</w:t>
            </w:r>
          </w:p>
        </w:tc>
        <w:tc>
          <w:tcPr>
            <w:tcW w:w="2126" w:type="dxa"/>
            <w:vAlign w:val="center"/>
          </w:tcPr>
          <w:p>
            <w:pPr>
              <w:pStyle w:val="20"/>
            </w:pPr>
          </w:p>
        </w:tc>
        <w:tc>
          <w:tcPr>
            <w:tcW w:w="4535" w:type="dxa"/>
            <w:vAlign w:val="center"/>
          </w:tcPr>
          <w:p>
            <w:pPr>
              <w:pStyle w:val="21"/>
            </w:pPr>
            <w:r>
              <w:rPr>
                <w:rFonts w:hint="eastAsia"/>
              </w:rPr>
              <w:t>五、教育支出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4535" w:type="dxa"/>
            <w:vAlign w:val="center"/>
          </w:tcPr>
          <w:p>
            <w:pPr>
              <w:pStyle w:val="21"/>
            </w:pPr>
            <w:r>
              <w:rPr>
                <w:rFonts w:hint="eastAsia"/>
              </w:rPr>
              <w:t>六、事业单位经营收入</w:t>
            </w:r>
          </w:p>
        </w:tc>
        <w:tc>
          <w:tcPr>
            <w:tcW w:w="2126" w:type="dxa"/>
            <w:vAlign w:val="center"/>
          </w:tcPr>
          <w:p>
            <w:pPr>
              <w:pStyle w:val="20"/>
            </w:pPr>
          </w:p>
        </w:tc>
        <w:tc>
          <w:tcPr>
            <w:tcW w:w="4535" w:type="dxa"/>
            <w:vAlign w:val="center"/>
          </w:tcPr>
          <w:p>
            <w:pPr>
              <w:pStyle w:val="21"/>
            </w:pPr>
            <w:r>
              <w:rPr>
                <w:rFonts w:hint="eastAsia"/>
              </w:rPr>
              <w:t>六、科学技术支出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4535" w:type="dxa"/>
            <w:vAlign w:val="center"/>
          </w:tcPr>
          <w:p>
            <w:pPr>
              <w:pStyle w:val="21"/>
            </w:pPr>
            <w:r>
              <w:rPr>
                <w:rFonts w:hint="eastAsia"/>
              </w:rPr>
              <w:t>七、上级补助收入</w:t>
            </w:r>
          </w:p>
        </w:tc>
        <w:tc>
          <w:tcPr>
            <w:tcW w:w="2126" w:type="dxa"/>
            <w:vAlign w:val="center"/>
          </w:tcPr>
          <w:p>
            <w:pPr>
              <w:pStyle w:val="20"/>
            </w:pPr>
          </w:p>
        </w:tc>
        <w:tc>
          <w:tcPr>
            <w:tcW w:w="4535" w:type="dxa"/>
            <w:vAlign w:val="center"/>
          </w:tcPr>
          <w:p>
            <w:pPr>
              <w:pStyle w:val="21"/>
            </w:pPr>
            <w:r>
              <w:rPr>
                <w:rFonts w:hint="eastAsia"/>
              </w:rPr>
              <w:t>七、文化旅游体育与传媒支出</w:t>
            </w:r>
          </w:p>
        </w:tc>
        <w:tc>
          <w:tcPr>
            <w:tcW w:w="2126" w:type="dxa"/>
            <w:vAlign w:val="center"/>
          </w:tcPr>
          <w:p>
            <w:pPr>
              <w:pStyle w:val="20"/>
            </w:pPr>
            <w:r>
              <w:t>491.40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4535" w:type="dxa"/>
            <w:vAlign w:val="center"/>
          </w:tcPr>
          <w:p>
            <w:pPr>
              <w:pStyle w:val="21"/>
            </w:pPr>
            <w:r>
              <w:rPr>
                <w:rFonts w:hint="eastAsia"/>
              </w:rPr>
              <w:t>八、附属单位上缴收入</w:t>
            </w:r>
          </w:p>
        </w:tc>
        <w:tc>
          <w:tcPr>
            <w:tcW w:w="2126" w:type="dxa"/>
            <w:vAlign w:val="center"/>
          </w:tcPr>
          <w:p>
            <w:pPr>
              <w:pStyle w:val="20"/>
            </w:pPr>
          </w:p>
        </w:tc>
        <w:tc>
          <w:tcPr>
            <w:tcW w:w="4535" w:type="dxa"/>
            <w:vAlign w:val="center"/>
          </w:tcPr>
          <w:p>
            <w:pPr>
              <w:pStyle w:val="21"/>
            </w:pPr>
            <w:r>
              <w:rPr>
                <w:rFonts w:hint="eastAsia"/>
              </w:rPr>
              <w:t>八、社会保障和就业支出</w:t>
            </w:r>
          </w:p>
        </w:tc>
        <w:tc>
          <w:tcPr>
            <w:tcW w:w="2126" w:type="dxa"/>
            <w:vAlign w:val="center"/>
          </w:tcPr>
          <w:p>
            <w:pPr>
              <w:pStyle w:val="20"/>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4535" w:type="dxa"/>
            <w:vAlign w:val="center"/>
          </w:tcPr>
          <w:p>
            <w:pPr>
              <w:pStyle w:val="21"/>
            </w:pPr>
            <w:r>
              <w:rPr>
                <w:rFonts w:hint="eastAsia"/>
              </w:rPr>
              <w:t>九、其他收入</w:t>
            </w:r>
          </w:p>
        </w:tc>
        <w:tc>
          <w:tcPr>
            <w:tcW w:w="2126" w:type="dxa"/>
            <w:vAlign w:val="center"/>
          </w:tcPr>
          <w:p>
            <w:pPr>
              <w:pStyle w:val="20"/>
            </w:pPr>
          </w:p>
        </w:tc>
        <w:tc>
          <w:tcPr>
            <w:tcW w:w="4535" w:type="dxa"/>
            <w:vAlign w:val="center"/>
          </w:tcPr>
          <w:p>
            <w:pPr>
              <w:pStyle w:val="21"/>
            </w:pPr>
            <w:r>
              <w:rPr>
                <w:rFonts w:hint="eastAsia"/>
              </w:rPr>
              <w:t>九、社会保险基金支出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十、卫生健康支出</w:t>
            </w:r>
          </w:p>
        </w:tc>
        <w:tc>
          <w:tcPr>
            <w:tcW w:w="2126" w:type="dxa"/>
            <w:vAlign w:val="center"/>
          </w:tcPr>
          <w:p>
            <w:pPr>
              <w:pStyle w:val="20"/>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11</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十一、节能环保支出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12</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十二、城乡社区支出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13</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十三、农林水支出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14</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十四、交通运输支出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15</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十五、资源勘探工业信息等支出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16</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十六、商业服务业等支出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17</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十七、金融支出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18</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十八、援助其他地区支出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19</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十九、自然资源海洋气象等支出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20</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二十、住房保障支出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21</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二十一、粮油物资储备支出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22</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二十二、国有资本经营预算支出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23</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二十三、灾害防治及应急管理支出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24</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二十四、预备费</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25</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二十五、其他支出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26</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二十六、转移性支出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27</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二十七、债务还本支出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28</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二十八、债务付息支出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29</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二十九、债务发行费用支出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30</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三十、抗疫特别国债安排的支出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31</w:t>
            </w:r>
          </w:p>
        </w:tc>
        <w:tc>
          <w:tcPr>
            <w:tcW w:w="4535" w:type="dxa"/>
            <w:vAlign w:val="center"/>
          </w:tcPr>
          <w:p>
            <w:pPr>
              <w:pStyle w:val="23"/>
            </w:pPr>
            <w:r>
              <w:rPr>
                <w:rFonts w:hint="eastAsia"/>
              </w:rPr>
              <w:t>本年收入合计</w:t>
            </w:r>
          </w:p>
        </w:tc>
        <w:tc>
          <w:tcPr>
            <w:tcW w:w="2126" w:type="dxa"/>
            <w:vAlign w:val="center"/>
          </w:tcPr>
          <w:p>
            <w:pPr>
              <w:pStyle w:val="24"/>
            </w:pPr>
            <w:r>
              <w:t>555.50</w:t>
            </w:r>
          </w:p>
        </w:tc>
        <w:tc>
          <w:tcPr>
            <w:tcW w:w="4535" w:type="dxa"/>
            <w:vAlign w:val="center"/>
          </w:tcPr>
          <w:p>
            <w:pPr>
              <w:pStyle w:val="23"/>
            </w:pPr>
            <w:r>
              <w:rPr>
                <w:rFonts w:hint="eastAsia"/>
              </w:rPr>
              <w:t>本年支出合计</w:t>
            </w:r>
          </w:p>
        </w:tc>
        <w:tc>
          <w:tcPr>
            <w:tcW w:w="2126" w:type="dxa"/>
            <w:vAlign w:val="center"/>
          </w:tcPr>
          <w:p>
            <w:pPr>
              <w:pStyle w:val="24"/>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32</w:t>
            </w:r>
          </w:p>
        </w:tc>
        <w:tc>
          <w:tcPr>
            <w:tcW w:w="4535" w:type="dxa"/>
            <w:vAlign w:val="center"/>
          </w:tcPr>
          <w:p>
            <w:pPr>
              <w:pStyle w:val="21"/>
            </w:pPr>
            <w:r>
              <w:rPr>
                <w:rFonts w:hint="eastAsia"/>
              </w:rPr>
              <w:t>上年结转结余</w:t>
            </w:r>
          </w:p>
        </w:tc>
        <w:tc>
          <w:tcPr>
            <w:tcW w:w="2126" w:type="dxa"/>
            <w:vAlign w:val="center"/>
          </w:tcPr>
          <w:p>
            <w:pPr>
              <w:pStyle w:val="20"/>
            </w:pPr>
          </w:p>
        </w:tc>
        <w:tc>
          <w:tcPr>
            <w:tcW w:w="4535" w:type="dxa"/>
            <w:vAlign w:val="center"/>
          </w:tcPr>
          <w:p>
            <w:pPr>
              <w:pStyle w:val="21"/>
            </w:pPr>
            <w:r>
              <w:rPr>
                <w:rFonts w:hint="eastAsia"/>
              </w:rPr>
              <w:t>年终结转结余</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33</w:t>
            </w:r>
          </w:p>
        </w:tc>
        <w:tc>
          <w:tcPr>
            <w:tcW w:w="4535" w:type="dxa"/>
            <w:vAlign w:val="center"/>
          </w:tcPr>
          <w:p>
            <w:pPr>
              <w:pStyle w:val="23"/>
            </w:pPr>
            <w:r>
              <w:rPr>
                <w:rFonts w:hint="eastAsia"/>
              </w:rPr>
              <w:t>收入总计</w:t>
            </w:r>
          </w:p>
        </w:tc>
        <w:tc>
          <w:tcPr>
            <w:tcW w:w="2126" w:type="dxa"/>
            <w:vAlign w:val="center"/>
          </w:tcPr>
          <w:p>
            <w:pPr>
              <w:pStyle w:val="24"/>
            </w:pPr>
            <w:r>
              <w:t>555.50</w:t>
            </w:r>
          </w:p>
        </w:tc>
        <w:tc>
          <w:tcPr>
            <w:tcW w:w="4535" w:type="dxa"/>
            <w:vAlign w:val="center"/>
          </w:tcPr>
          <w:p>
            <w:pPr>
              <w:pStyle w:val="23"/>
            </w:pPr>
            <w:r>
              <w:rPr>
                <w:rFonts w:hint="eastAsia"/>
              </w:rPr>
              <w:t>支出总计</w:t>
            </w:r>
          </w:p>
        </w:tc>
        <w:tc>
          <w:tcPr>
            <w:tcW w:w="2126" w:type="dxa"/>
            <w:vAlign w:val="center"/>
          </w:tcPr>
          <w:p>
            <w:pPr>
              <w:pStyle w:val="24"/>
            </w:pPr>
            <w:r>
              <w:t>555.50</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3402" w:type="dxa"/>
            <w:gridSpan w:val="3"/>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9"/>
            </w:pPr>
            <w:r>
              <w:rPr>
                <w:rFonts w:hint="eastAsia"/>
              </w:rPr>
              <w:t>序号</w:t>
            </w:r>
          </w:p>
        </w:tc>
        <w:tc>
          <w:tcPr>
            <w:tcW w:w="2551" w:type="dxa"/>
            <w:gridSpan w:val="2"/>
            <w:vAlign w:val="center"/>
          </w:tcPr>
          <w:p>
            <w:pPr>
              <w:pStyle w:val="19"/>
            </w:pPr>
            <w:r>
              <w:rPr>
                <w:rFonts w:hint="eastAsia"/>
              </w:rPr>
              <w:t>功能分类科目</w:t>
            </w:r>
          </w:p>
        </w:tc>
        <w:tc>
          <w:tcPr>
            <w:tcW w:w="1134" w:type="dxa"/>
            <w:vMerge w:val="restart"/>
            <w:vAlign w:val="center"/>
          </w:tcPr>
          <w:p>
            <w:pPr>
              <w:pStyle w:val="19"/>
            </w:pPr>
            <w:r>
              <w:rPr>
                <w:rFonts w:hint="eastAsia"/>
              </w:rPr>
              <w:t>合计</w:t>
            </w:r>
          </w:p>
        </w:tc>
        <w:tc>
          <w:tcPr>
            <w:tcW w:w="9071" w:type="dxa"/>
            <w:gridSpan w:val="8"/>
            <w:vAlign w:val="center"/>
          </w:tcPr>
          <w:p>
            <w:pPr>
              <w:pStyle w:val="19"/>
            </w:pPr>
            <w:r>
              <w:rPr>
                <w:rFonts w:hint="eastAsia"/>
              </w:rPr>
              <w:t>本年收入</w:t>
            </w:r>
          </w:p>
        </w:tc>
        <w:tc>
          <w:tcPr>
            <w:tcW w:w="1134" w:type="dxa"/>
            <w:vMerge w:val="restart"/>
            <w:vAlign w:val="center"/>
          </w:tcPr>
          <w:p>
            <w:pPr>
              <w:pStyle w:val="19"/>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9"/>
            </w:pPr>
            <w:r>
              <w:rPr>
                <w:rFonts w:hint="eastAsia"/>
              </w:rPr>
              <w:t>科目</w:t>
            </w:r>
            <w:r>
              <w:t xml:space="preserve">    </w:t>
            </w:r>
            <w:r>
              <w:rPr>
                <w:rFonts w:hint="eastAsia"/>
              </w:rPr>
              <w:t>编码</w:t>
            </w:r>
          </w:p>
        </w:tc>
        <w:tc>
          <w:tcPr>
            <w:tcW w:w="1559" w:type="dxa"/>
            <w:vAlign w:val="center"/>
          </w:tcPr>
          <w:p>
            <w:pPr>
              <w:pStyle w:val="19"/>
            </w:pPr>
            <w:r>
              <w:rPr>
                <w:rFonts w:hint="eastAsia"/>
              </w:rPr>
              <w:t>科目名称</w:t>
            </w:r>
          </w:p>
        </w:tc>
        <w:tc>
          <w:tcPr>
            <w:tcW w:w="1134" w:type="dxa"/>
            <w:vMerge w:val="continue"/>
          </w:tcPr>
          <w:p/>
        </w:tc>
        <w:tc>
          <w:tcPr>
            <w:tcW w:w="1134" w:type="dxa"/>
            <w:vAlign w:val="center"/>
          </w:tcPr>
          <w:p>
            <w:pPr>
              <w:pStyle w:val="19"/>
            </w:pPr>
            <w:r>
              <w:rPr>
                <w:rFonts w:hint="eastAsia"/>
              </w:rPr>
              <w:t>小计</w:t>
            </w:r>
          </w:p>
        </w:tc>
        <w:tc>
          <w:tcPr>
            <w:tcW w:w="1134" w:type="dxa"/>
            <w:vAlign w:val="center"/>
          </w:tcPr>
          <w:p>
            <w:pPr>
              <w:pStyle w:val="19"/>
            </w:pPr>
            <w:r>
              <w:rPr>
                <w:rFonts w:hint="eastAsia"/>
              </w:rPr>
              <w:t>财政拨款</w:t>
            </w:r>
            <w:r>
              <w:t xml:space="preserve"> </w:t>
            </w:r>
            <w:r>
              <w:rPr>
                <w:rFonts w:hint="eastAsia"/>
              </w:rPr>
              <w:t>收入</w:t>
            </w:r>
          </w:p>
        </w:tc>
        <w:tc>
          <w:tcPr>
            <w:tcW w:w="1134" w:type="dxa"/>
            <w:vAlign w:val="center"/>
          </w:tcPr>
          <w:p>
            <w:pPr>
              <w:pStyle w:val="19"/>
            </w:pPr>
            <w:r>
              <w:rPr>
                <w:rFonts w:hint="eastAsia"/>
              </w:rPr>
              <w:t>财政专户</w:t>
            </w:r>
            <w:r>
              <w:t xml:space="preserve"> </w:t>
            </w:r>
            <w:r>
              <w:rPr>
                <w:rFonts w:hint="eastAsia"/>
              </w:rPr>
              <w:t>收入</w:t>
            </w:r>
          </w:p>
        </w:tc>
        <w:tc>
          <w:tcPr>
            <w:tcW w:w="1134" w:type="dxa"/>
            <w:vAlign w:val="center"/>
          </w:tcPr>
          <w:p>
            <w:pPr>
              <w:pStyle w:val="19"/>
            </w:pPr>
            <w:r>
              <w:rPr>
                <w:rFonts w:hint="eastAsia"/>
              </w:rPr>
              <w:t>事业收入</w:t>
            </w:r>
          </w:p>
        </w:tc>
        <w:tc>
          <w:tcPr>
            <w:tcW w:w="1134" w:type="dxa"/>
            <w:vAlign w:val="center"/>
          </w:tcPr>
          <w:p>
            <w:pPr>
              <w:pStyle w:val="19"/>
            </w:pPr>
            <w:r>
              <w:rPr>
                <w:rFonts w:hint="eastAsia"/>
              </w:rPr>
              <w:t>经营收入</w:t>
            </w:r>
          </w:p>
        </w:tc>
        <w:tc>
          <w:tcPr>
            <w:tcW w:w="1134" w:type="dxa"/>
            <w:vAlign w:val="center"/>
          </w:tcPr>
          <w:p>
            <w:pPr>
              <w:pStyle w:val="19"/>
            </w:pPr>
            <w:r>
              <w:rPr>
                <w:rFonts w:hint="eastAsia"/>
              </w:rPr>
              <w:t>上级补助收入</w:t>
            </w:r>
          </w:p>
        </w:tc>
        <w:tc>
          <w:tcPr>
            <w:tcW w:w="1134" w:type="dxa"/>
            <w:vAlign w:val="center"/>
          </w:tcPr>
          <w:p>
            <w:pPr>
              <w:pStyle w:val="19"/>
            </w:pPr>
            <w:r>
              <w:rPr>
                <w:rFonts w:hint="eastAsia"/>
              </w:rPr>
              <w:t>附属单位上缴收入</w:t>
            </w:r>
          </w:p>
        </w:tc>
        <w:tc>
          <w:tcPr>
            <w:tcW w:w="1134" w:type="dxa"/>
            <w:vAlign w:val="center"/>
          </w:tcPr>
          <w:p>
            <w:pPr>
              <w:pStyle w:val="19"/>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9"/>
            </w:pPr>
            <w:r>
              <w:rPr>
                <w:rFonts w:hint="eastAsia"/>
              </w:rPr>
              <w:t>栏次</w:t>
            </w:r>
          </w:p>
        </w:tc>
        <w:tc>
          <w:tcPr>
            <w:tcW w:w="992" w:type="dxa"/>
            <w:vAlign w:val="center"/>
          </w:tcPr>
          <w:p>
            <w:pPr>
              <w:pStyle w:val="19"/>
            </w:pPr>
            <w:r>
              <w:t>1</w:t>
            </w:r>
          </w:p>
        </w:tc>
        <w:tc>
          <w:tcPr>
            <w:tcW w:w="1559" w:type="dxa"/>
            <w:vAlign w:val="center"/>
          </w:tcPr>
          <w:p>
            <w:pPr>
              <w:pStyle w:val="19"/>
            </w:pPr>
            <w:r>
              <w:t>2</w:t>
            </w:r>
          </w:p>
        </w:tc>
        <w:tc>
          <w:tcPr>
            <w:tcW w:w="1134" w:type="dxa"/>
            <w:vAlign w:val="center"/>
          </w:tcPr>
          <w:p>
            <w:pPr>
              <w:pStyle w:val="19"/>
            </w:pPr>
            <w:r>
              <w:t>3</w:t>
            </w:r>
          </w:p>
        </w:tc>
        <w:tc>
          <w:tcPr>
            <w:tcW w:w="1134" w:type="dxa"/>
            <w:vAlign w:val="center"/>
          </w:tcPr>
          <w:p>
            <w:pPr>
              <w:pStyle w:val="19"/>
            </w:pPr>
            <w:r>
              <w:t>4</w:t>
            </w:r>
          </w:p>
        </w:tc>
        <w:tc>
          <w:tcPr>
            <w:tcW w:w="1134" w:type="dxa"/>
            <w:vAlign w:val="center"/>
          </w:tcPr>
          <w:p>
            <w:pPr>
              <w:pStyle w:val="19"/>
            </w:pPr>
            <w:r>
              <w:t>5</w:t>
            </w:r>
          </w:p>
        </w:tc>
        <w:tc>
          <w:tcPr>
            <w:tcW w:w="1134" w:type="dxa"/>
            <w:vAlign w:val="center"/>
          </w:tcPr>
          <w:p>
            <w:pPr>
              <w:pStyle w:val="19"/>
            </w:pPr>
            <w:r>
              <w:t>6</w:t>
            </w:r>
          </w:p>
        </w:tc>
        <w:tc>
          <w:tcPr>
            <w:tcW w:w="1134" w:type="dxa"/>
            <w:vAlign w:val="center"/>
          </w:tcPr>
          <w:p>
            <w:pPr>
              <w:pStyle w:val="19"/>
            </w:pPr>
            <w:r>
              <w:t>7</w:t>
            </w:r>
          </w:p>
        </w:tc>
        <w:tc>
          <w:tcPr>
            <w:tcW w:w="1134" w:type="dxa"/>
            <w:vAlign w:val="center"/>
          </w:tcPr>
          <w:p>
            <w:pPr>
              <w:pStyle w:val="19"/>
            </w:pPr>
            <w:r>
              <w:t>8</w:t>
            </w:r>
          </w:p>
        </w:tc>
        <w:tc>
          <w:tcPr>
            <w:tcW w:w="1134" w:type="dxa"/>
            <w:vAlign w:val="center"/>
          </w:tcPr>
          <w:p>
            <w:pPr>
              <w:pStyle w:val="19"/>
            </w:pPr>
            <w:r>
              <w:t>9</w:t>
            </w:r>
          </w:p>
        </w:tc>
        <w:tc>
          <w:tcPr>
            <w:tcW w:w="1134" w:type="dxa"/>
            <w:vAlign w:val="center"/>
          </w:tcPr>
          <w:p>
            <w:pPr>
              <w:pStyle w:val="19"/>
            </w:pPr>
            <w:r>
              <w:t>10</w:t>
            </w:r>
          </w:p>
        </w:tc>
        <w:tc>
          <w:tcPr>
            <w:tcW w:w="1134" w:type="dxa"/>
            <w:vAlign w:val="center"/>
          </w:tcPr>
          <w:p>
            <w:pPr>
              <w:pStyle w:val="19"/>
            </w:pPr>
            <w:r>
              <w:t>11</w:t>
            </w:r>
          </w:p>
        </w:tc>
        <w:tc>
          <w:tcPr>
            <w:tcW w:w="1134" w:type="dxa"/>
            <w:vAlign w:val="center"/>
          </w:tcPr>
          <w:p>
            <w:pPr>
              <w:pStyle w:val="1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1</w:t>
            </w:r>
          </w:p>
        </w:tc>
        <w:tc>
          <w:tcPr>
            <w:tcW w:w="992" w:type="dxa"/>
            <w:vAlign w:val="center"/>
          </w:tcPr>
          <w:p>
            <w:pPr>
              <w:pStyle w:val="25"/>
            </w:pPr>
          </w:p>
        </w:tc>
        <w:tc>
          <w:tcPr>
            <w:tcW w:w="1559" w:type="dxa"/>
            <w:vAlign w:val="center"/>
          </w:tcPr>
          <w:p>
            <w:pPr>
              <w:pStyle w:val="23"/>
            </w:pPr>
            <w:r>
              <w:rPr>
                <w:rFonts w:hint="eastAsia"/>
              </w:rPr>
              <w:t>合计</w:t>
            </w:r>
          </w:p>
        </w:tc>
        <w:tc>
          <w:tcPr>
            <w:tcW w:w="1134" w:type="dxa"/>
            <w:vAlign w:val="center"/>
          </w:tcPr>
          <w:p>
            <w:pPr>
              <w:pStyle w:val="24"/>
            </w:pPr>
            <w:r>
              <w:t>555.50</w:t>
            </w:r>
          </w:p>
        </w:tc>
        <w:tc>
          <w:tcPr>
            <w:tcW w:w="1134" w:type="dxa"/>
            <w:vAlign w:val="center"/>
          </w:tcPr>
          <w:p>
            <w:pPr>
              <w:pStyle w:val="24"/>
            </w:pPr>
            <w:r>
              <w:t>555.50</w:t>
            </w:r>
          </w:p>
        </w:tc>
        <w:tc>
          <w:tcPr>
            <w:tcW w:w="1134" w:type="dxa"/>
            <w:vAlign w:val="center"/>
          </w:tcPr>
          <w:p>
            <w:pPr>
              <w:pStyle w:val="24"/>
            </w:pPr>
            <w:r>
              <w:t>555.50</w:t>
            </w: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2</w:t>
            </w:r>
          </w:p>
        </w:tc>
        <w:tc>
          <w:tcPr>
            <w:tcW w:w="992" w:type="dxa"/>
            <w:vAlign w:val="center"/>
          </w:tcPr>
          <w:p>
            <w:pPr>
              <w:pStyle w:val="21"/>
            </w:pPr>
            <w:r>
              <w:t>207</w:t>
            </w:r>
          </w:p>
        </w:tc>
        <w:tc>
          <w:tcPr>
            <w:tcW w:w="1559" w:type="dxa"/>
            <w:vAlign w:val="center"/>
          </w:tcPr>
          <w:p>
            <w:pPr>
              <w:pStyle w:val="21"/>
            </w:pPr>
            <w:r>
              <w:rPr>
                <w:rFonts w:hint="eastAsia"/>
              </w:rPr>
              <w:t>文化旅游体育与传媒支出</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3</w:t>
            </w:r>
          </w:p>
        </w:tc>
        <w:tc>
          <w:tcPr>
            <w:tcW w:w="992" w:type="dxa"/>
            <w:vAlign w:val="center"/>
          </w:tcPr>
          <w:p>
            <w:pPr>
              <w:pStyle w:val="21"/>
            </w:pPr>
            <w:r>
              <w:t>20708</w:t>
            </w:r>
          </w:p>
        </w:tc>
        <w:tc>
          <w:tcPr>
            <w:tcW w:w="1559" w:type="dxa"/>
            <w:vAlign w:val="center"/>
          </w:tcPr>
          <w:p>
            <w:pPr>
              <w:pStyle w:val="21"/>
            </w:pPr>
            <w:r>
              <w:rPr>
                <w:rFonts w:hint="eastAsia"/>
              </w:rPr>
              <w:t>广播电视</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4</w:t>
            </w:r>
          </w:p>
        </w:tc>
        <w:tc>
          <w:tcPr>
            <w:tcW w:w="992" w:type="dxa"/>
            <w:vAlign w:val="center"/>
          </w:tcPr>
          <w:p>
            <w:pPr>
              <w:pStyle w:val="21"/>
            </w:pPr>
            <w:r>
              <w:t>2070808</w:t>
            </w:r>
          </w:p>
        </w:tc>
        <w:tc>
          <w:tcPr>
            <w:tcW w:w="1559" w:type="dxa"/>
            <w:vAlign w:val="center"/>
          </w:tcPr>
          <w:p>
            <w:pPr>
              <w:pStyle w:val="21"/>
            </w:pPr>
            <w:r>
              <w:rPr>
                <w:rFonts w:hint="eastAsia"/>
              </w:rPr>
              <w:t>广播电视事务</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5</w:t>
            </w:r>
          </w:p>
        </w:tc>
        <w:tc>
          <w:tcPr>
            <w:tcW w:w="992" w:type="dxa"/>
            <w:vAlign w:val="center"/>
          </w:tcPr>
          <w:p>
            <w:pPr>
              <w:pStyle w:val="21"/>
            </w:pPr>
            <w:r>
              <w:t>208</w:t>
            </w:r>
          </w:p>
        </w:tc>
        <w:tc>
          <w:tcPr>
            <w:tcW w:w="1559" w:type="dxa"/>
            <w:vAlign w:val="center"/>
          </w:tcPr>
          <w:p>
            <w:pPr>
              <w:pStyle w:val="21"/>
            </w:pPr>
            <w:r>
              <w:rPr>
                <w:rFonts w:hint="eastAsia"/>
              </w:rPr>
              <w:t>社会保障和就业支出</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6</w:t>
            </w:r>
          </w:p>
        </w:tc>
        <w:tc>
          <w:tcPr>
            <w:tcW w:w="992" w:type="dxa"/>
            <w:vAlign w:val="center"/>
          </w:tcPr>
          <w:p>
            <w:pPr>
              <w:pStyle w:val="21"/>
            </w:pPr>
            <w:r>
              <w:t>20805</w:t>
            </w:r>
          </w:p>
        </w:tc>
        <w:tc>
          <w:tcPr>
            <w:tcW w:w="1559" w:type="dxa"/>
            <w:vAlign w:val="center"/>
          </w:tcPr>
          <w:p>
            <w:pPr>
              <w:pStyle w:val="21"/>
            </w:pPr>
            <w:r>
              <w:rPr>
                <w:rFonts w:hint="eastAsia"/>
              </w:rPr>
              <w:t>行政事业单位养老支出</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7</w:t>
            </w:r>
          </w:p>
        </w:tc>
        <w:tc>
          <w:tcPr>
            <w:tcW w:w="992" w:type="dxa"/>
            <w:vAlign w:val="center"/>
          </w:tcPr>
          <w:p>
            <w:pPr>
              <w:pStyle w:val="21"/>
            </w:pPr>
            <w:r>
              <w:t>2080505</w:t>
            </w:r>
          </w:p>
        </w:tc>
        <w:tc>
          <w:tcPr>
            <w:tcW w:w="1559" w:type="dxa"/>
            <w:vAlign w:val="center"/>
          </w:tcPr>
          <w:p>
            <w:pPr>
              <w:pStyle w:val="21"/>
            </w:pPr>
            <w:r>
              <w:rPr>
                <w:rFonts w:hint="eastAsia"/>
              </w:rPr>
              <w:t>机关事业单位基本养老保险缴费支出</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8</w:t>
            </w:r>
          </w:p>
        </w:tc>
        <w:tc>
          <w:tcPr>
            <w:tcW w:w="992" w:type="dxa"/>
            <w:vAlign w:val="center"/>
          </w:tcPr>
          <w:p>
            <w:pPr>
              <w:pStyle w:val="21"/>
            </w:pPr>
            <w:r>
              <w:t>210</w:t>
            </w:r>
          </w:p>
        </w:tc>
        <w:tc>
          <w:tcPr>
            <w:tcW w:w="1559" w:type="dxa"/>
            <w:vAlign w:val="center"/>
          </w:tcPr>
          <w:p>
            <w:pPr>
              <w:pStyle w:val="21"/>
            </w:pPr>
            <w:r>
              <w:rPr>
                <w:rFonts w:hint="eastAsia"/>
              </w:rPr>
              <w:t>卫生健康支出</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9</w:t>
            </w:r>
          </w:p>
        </w:tc>
        <w:tc>
          <w:tcPr>
            <w:tcW w:w="992" w:type="dxa"/>
            <w:vAlign w:val="center"/>
          </w:tcPr>
          <w:p>
            <w:pPr>
              <w:pStyle w:val="21"/>
            </w:pPr>
            <w:r>
              <w:t>21011</w:t>
            </w:r>
          </w:p>
        </w:tc>
        <w:tc>
          <w:tcPr>
            <w:tcW w:w="1559" w:type="dxa"/>
            <w:vAlign w:val="center"/>
          </w:tcPr>
          <w:p>
            <w:pPr>
              <w:pStyle w:val="21"/>
            </w:pPr>
            <w:r>
              <w:rPr>
                <w:rFonts w:hint="eastAsia"/>
              </w:rPr>
              <w:t>行政事业单位医疗</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10</w:t>
            </w:r>
          </w:p>
        </w:tc>
        <w:tc>
          <w:tcPr>
            <w:tcW w:w="992" w:type="dxa"/>
            <w:vAlign w:val="center"/>
          </w:tcPr>
          <w:p>
            <w:pPr>
              <w:pStyle w:val="21"/>
            </w:pPr>
            <w:r>
              <w:t>2101102</w:t>
            </w:r>
          </w:p>
        </w:tc>
        <w:tc>
          <w:tcPr>
            <w:tcW w:w="1559" w:type="dxa"/>
            <w:vAlign w:val="center"/>
          </w:tcPr>
          <w:p>
            <w:pPr>
              <w:pStyle w:val="21"/>
            </w:pPr>
            <w:r>
              <w:rPr>
                <w:rFonts w:hint="eastAsia"/>
              </w:rPr>
              <w:t>事业单位医疗</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2721" w:type="dxa"/>
            <w:gridSpan w:val="2"/>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528" w:type="dxa"/>
            <w:gridSpan w:val="2"/>
            <w:vAlign w:val="center"/>
          </w:tcPr>
          <w:p>
            <w:pPr>
              <w:pStyle w:val="19"/>
            </w:pPr>
            <w:r>
              <w:rPr>
                <w:rFonts w:hint="eastAsia"/>
              </w:rPr>
              <w:t>功能分类科目</w:t>
            </w:r>
          </w:p>
        </w:tc>
        <w:tc>
          <w:tcPr>
            <w:tcW w:w="1361" w:type="dxa"/>
            <w:vMerge w:val="restart"/>
            <w:vAlign w:val="center"/>
          </w:tcPr>
          <w:p>
            <w:pPr>
              <w:pStyle w:val="19"/>
            </w:pPr>
            <w:r>
              <w:rPr>
                <w:rFonts w:hint="eastAsia"/>
              </w:rPr>
              <w:t>合计</w:t>
            </w:r>
          </w:p>
        </w:tc>
        <w:tc>
          <w:tcPr>
            <w:tcW w:w="1361" w:type="dxa"/>
            <w:vMerge w:val="restart"/>
            <w:vAlign w:val="center"/>
          </w:tcPr>
          <w:p>
            <w:pPr>
              <w:pStyle w:val="19"/>
            </w:pPr>
            <w:r>
              <w:rPr>
                <w:rFonts w:hint="eastAsia"/>
              </w:rPr>
              <w:t>基本支出</w:t>
            </w:r>
          </w:p>
        </w:tc>
        <w:tc>
          <w:tcPr>
            <w:tcW w:w="1361" w:type="dxa"/>
            <w:vMerge w:val="restart"/>
            <w:vAlign w:val="center"/>
          </w:tcPr>
          <w:p>
            <w:pPr>
              <w:pStyle w:val="19"/>
            </w:pPr>
            <w:r>
              <w:rPr>
                <w:rFonts w:hint="eastAsia"/>
              </w:rPr>
              <w:t>项目支出</w:t>
            </w:r>
          </w:p>
        </w:tc>
        <w:tc>
          <w:tcPr>
            <w:tcW w:w="1361" w:type="dxa"/>
            <w:vMerge w:val="restart"/>
            <w:vAlign w:val="center"/>
          </w:tcPr>
          <w:p>
            <w:pPr>
              <w:pStyle w:val="19"/>
            </w:pPr>
            <w:r>
              <w:rPr>
                <w:rFonts w:hint="eastAsia"/>
              </w:rPr>
              <w:t>经营支出</w:t>
            </w:r>
          </w:p>
        </w:tc>
        <w:tc>
          <w:tcPr>
            <w:tcW w:w="1361" w:type="dxa"/>
            <w:vMerge w:val="restart"/>
            <w:vAlign w:val="center"/>
          </w:tcPr>
          <w:p>
            <w:pPr>
              <w:pStyle w:val="19"/>
            </w:pPr>
            <w:r>
              <w:rPr>
                <w:rFonts w:hint="eastAsia"/>
              </w:rPr>
              <w:t>上解上级</w:t>
            </w:r>
            <w:r>
              <w:t xml:space="preserve">     </w:t>
            </w:r>
            <w:r>
              <w:rPr>
                <w:rFonts w:hint="eastAsia"/>
              </w:rPr>
              <w:t>支出</w:t>
            </w:r>
          </w:p>
        </w:tc>
        <w:tc>
          <w:tcPr>
            <w:tcW w:w="1361" w:type="dxa"/>
            <w:vMerge w:val="restart"/>
            <w:vAlign w:val="center"/>
          </w:tcPr>
          <w:p>
            <w:pPr>
              <w:pStyle w:val="19"/>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9"/>
            </w:pPr>
            <w:r>
              <w:rPr>
                <w:rFonts w:hint="eastAsia"/>
              </w:rPr>
              <w:t>科目</w:t>
            </w:r>
            <w:r>
              <w:t xml:space="preserve">    </w:t>
            </w:r>
            <w:r>
              <w:rPr>
                <w:rFonts w:hint="eastAsia"/>
              </w:rPr>
              <w:t>编码</w:t>
            </w:r>
          </w:p>
        </w:tc>
        <w:tc>
          <w:tcPr>
            <w:tcW w:w="4535" w:type="dxa"/>
            <w:vAlign w:val="center"/>
          </w:tcPr>
          <w:p>
            <w:pPr>
              <w:pStyle w:val="19"/>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992" w:type="dxa"/>
            <w:vAlign w:val="center"/>
          </w:tcPr>
          <w:p>
            <w:pPr>
              <w:pStyle w:val="19"/>
            </w:pPr>
            <w:r>
              <w:t>1</w:t>
            </w:r>
          </w:p>
        </w:tc>
        <w:tc>
          <w:tcPr>
            <w:tcW w:w="4535" w:type="dxa"/>
            <w:vAlign w:val="center"/>
          </w:tcPr>
          <w:p>
            <w:pPr>
              <w:pStyle w:val="19"/>
            </w:pPr>
            <w:r>
              <w:t>2</w:t>
            </w:r>
          </w:p>
        </w:tc>
        <w:tc>
          <w:tcPr>
            <w:tcW w:w="1361" w:type="dxa"/>
            <w:vAlign w:val="center"/>
          </w:tcPr>
          <w:p>
            <w:pPr>
              <w:pStyle w:val="19"/>
            </w:pPr>
            <w:r>
              <w:t>3</w:t>
            </w:r>
          </w:p>
        </w:tc>
        <w:tc>
          <w:tcPr>
            <w:tcW w:w="1361" w:type="dxa"/>
            <w:vAlign w:val="center"/>
          </w:tcPr>
          <w:p>
            <w:pPr>
              <w:pStyle w:val="19"/>
            </w:pPr>
            <w:r>
              <w:t>4</w:t>
            </w:r>
          </w:p>
        </w:tc>
        <w:tc>
          <w:tcPr>
            <w:tcW w:w="1361" w:type="dxa"/>
            <w:vAlign w:val="center"/>
          </w:tcPr>
          <w:p>
            <w:pPr>
              <w:pStyle w:val="19"/>
            </w:pPr>
            <w:r>
              <w:t>5</w:t>
            </w:r>
          </w:p>
        </w:tc>
        <w:tc>
          <w:tcPr>
            <w:tcW w:w="1361" w:type="dxa"/>
            <w:vAlign w:val="center"/>
          </w:tcPr>
          <w:p>
            <w:pPr>
              <w:pStyle w:val="19"/>
            </w:pPr>
            <w:r>
              <w:t>6</w:t>
            </w:r>
          </w:p>
        </w:tc>
        <w:tc>
          <w:tcPr>
            <w:tcW w:w="1361" w:type="dxa"/>
            <w:vAlign w:val="center"/>
          </w:tcPr>
          <w:p>
            <w:pPr>
              <w:pStyle w:val="19"/>
            </w:pPr>
            <w:r>
              <w:t>7</w:t>
            </w:r>
          </w:p>
        </w:tc>
        <w:tc>
          <w:tcPr>
            <w:tcW w:w="1361" w:type="dxa"/>
            <w:vAlign w:val="center"/>
          </w:tcPr>
          <w:p>
            <w:pPr>
              <w:pStyle w:val="1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992" w:type="dxa"/>
            <w:vAlign w:val="center"/>
          </w:tcPr>
          <w:p>
            <w:pPr>
              <w:pStyle w:val="25"/>
            </w:pPr>
          </w:p>
        </w:tc>
        <w:tc>
          <w:tcPr>
            <w:tcW w:w="4535" w:type="dxa"/>
            <w:vAlign w:val="center"/>
          </w:tcPr>
          <w:p>
            <w:pPr>
              <w:pStyle w:val="23"/>
            </w:pPr>
            <w:r>
              <w:rPr>
                <w:rFonts w:hint="eastAsia"/>
              </w:rPr>
              <w:t>合计</w:t>
            </w:r>
          </w:p>
        </w:tc>
        <w:tc>
          <w:tcPr>
            <w:tcW w:w="1361" w:type="dxa"/>
            <w:vAlign w:val="center"/>
          </w:tcPr>
          <w:p>
            <w:pPr>
              <w:pStyle w:val="24"/>
            </w:pPr>
            <w:r>
              <w:t>555.50</w:t>
            </w:r>
          </w:p>
        </w:tc>
        <w:tc>
          <w:tcPr>
            <w:tcW w:w="1361" w:type="dxa"/>
            <w:vAlign w:val="center"/>
          </w:tcPr>
          <w:p>
            <w:pPr>
              <w:pStyle w:val="24"/>
            </w:pPr>
            <w:r>
              <w:t>441.80</w:t>
            </w:r>
          </w:p>
        </w:tc>
        <w:tc>
          <w:tcPr>
            <w:tcW w:w="1361" w:type="dxa"/>
            <w:vAlign w:val="center"/>
          </w:tcPr>
          <w:p>
            <w:pPr>
              <w:pStyle w:val="24"/>
            </w:pPr>
            <w:r>
              <w:t>113.70</w:t>
            </w:r>
          </w:p>
        </w:tc>
        <w:tc>
          <w:tcPr>
            <w:tcW w:w="1361" w:type="dxa"/>
            <w:vAlign w:val="center"/>
          </w:tcPr>
          <w:p>
            <w:pPr>
              <w:pStyle w:val="24"/>
            </w:pPr>
          </w:p>
        </w:tc>
        <w:tc>
          <w:tcPr>
            <w:tcW w:w="1361" w:type="dxa"/>
            <w:vAlign w:val="center"/>
          </w:tcPr>
          <w:p>
            <w:pPr>
              <w:pStyle w:val="24"/>
            </w:pPr>
          </w:p>
        </w:tc>
        <w:tc>
          <w:tcPr>
            <w:tcW w:w="1361" w:type="dxa"/>
            <w:vAlign w:val="center"/>
          </w:tcPr>
          <w:p>
            <w:pPr>
              <w:pStyle w:val="2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992" w:type="dxa"/>
            <w:vAlign w:val="center"/>
          </w:tcPr>
          <w:p>
            <w:pPr>
              <w:pStyle w:val="21"/>
            </w:pPr>
            <w:r>
              <w:t>207</w:t>
            </w:r>
          </w:p>
        </w:tc>
        <w:tc>
          <w:tcPr>
            <w:tcW w:w="4535" w:type="dxa"/>
            <w:vAlign w:val="center"/>
          </w:tcPr>
          <w:p>
            <w:pPr>
              <w:pStyle w:val="21"/>
            </w:pPr>
            <w:r>
              <w:rPr>
                <w:rFonts w:hint="eastAsia"/>
              </w:rPr>
              <w:t>文化旅游体育与传媒支出</w:t>
            </w:r>
          </w:p>
        </w:tc>
        <w:tc>
          <w:tcPr>
            <w:tcW w:w="1361" w:type="dxa"/>
            <w:vAlign w:val="center"/>
          </w:tcPr>
          <w:p>
            <w:pPr>
              <w:pStyle w:val="20"/>
            </w:pPr>
            <w:r>
              <w:t>491.40</w:t>
            </w:r>
          </w:p>
        </w:tc>
        <w:tc>
          <w:tcPr>
            <w:tcW w:w="1361" w:type="dxa"/>
            <w:vAlign w:val="center"/>
          </w:tcPr>
          <w:p>
            <w:pPr>
              <w:pStyle w:val="20"/>
            </w:pPr>
            <w:r>
              <w:t>377.70</w:t>
            </w:r>
          </w:p>
        </w:tc>
        <w:tc>
          <w:tcPr>
            <w:tcW w:w="1361" w:type="dxa"/>
            <w:vAlign w:val="center"/>
          </w:tcPr>
          <w:p>
            <w:pPr>
              <w:pStyle w:val="20"/>
            </w:pPr>
            <w:r>
              <w:t>113.70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992" w:type="dxa"/>
            <w:vAlign w:val="center"/>
          </w:tcPr>
          <w:p>
            <w:pPr>
              <w:pStyle w:val="21"/>
            </w:pPr>
            <w:r>
              <w:t>20708</w:t>
            </w:r>
          </w:p>
        </w:tc>
        <w:tc>
          <w:tcPr>
            <w:tcW w:w="4535" w:type="dxa"/>
            <w:vAlign w:val="center"/>
          </w:tcPr>
          <w:p>
            <w:pPr>
              <w:pStyle w:val="21"/>
            </w:pPr>
            <w:r>
              <w:rPr>
                <w:rFonts w:hint="eastAsia"/>
              </w:rPr>
              <w:t>广播电视</w:t>
            </w:r>
          </w:p>
        </w:tc>
        <w:tc>
          <w:tcPr>
            <w:tcW w:w="1361" w:type="dxa"/>
            <w:vAlign w:val="center"/>
          </w:tcPr>
          <w:p>
            <w:pPr>
              <w:pStyle w:val="20"/>
            </w:pPr>
            <w:r>
              <w:t>491.40</w:t>
            </w:r>
          </w:p>
        </w:tc>
        <w:tc>
          <w:tcPr>
            <w:tcW w:w="1361" w:type="dxa"/>
            <w:vAlign w:val="center"/>
          </w:tcPr>
          <w:p>
            <w:pPr>
              <w:pStyle w:val="20"/>
            </w:pPr>
            <w:r>
              <w:t>377.70</w:t>
            </w:r>
          </w:p>
        </w:tc>
        <w:tc>
          <w:tcPr>
            <w:tcW w:w="1361" w:type="dxa"/>
            <w:vAlign w:val="center"/>
          </w:tcPr>
          <w:p>
            <w:pPr>
              <w:pStyle w:val="20"/>
            </w:pPr>
            <w:r>
              <w:t>113.70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992" w:type="dxa"/>
            <w:vAlign w:val="center"/>
          </w:tcPr>
          <w:p>
            <w:pPr>
              <w:pStyle w:val="21"/>
            </w:pPr>
            <w:r>
              <w:t>2070808</w:t>
            </w:r>
          </w:p>
        </w:tc>
        <w:tc>
          <w:tcPr>
            <w:tcW w:w="4535" w:type="dxa"/>
            <w:vAlign w:val="center"/>
          </w:tcPr>
          <w:p>
            <w:pPr>
              <w:pStyle w:val="21"/>
            </w:pPr>
            <w:r>
              <w:rPr>
                <w:rFonts w:hint="eastAsia"/>
              </w:rPr>
              <w:t>广播电视事务</w:t>
            </w:r>
          </w:p>
        </w:tc>
        <w:tc>
          <w:tcPr>
            <w:tcW w:w="1361" w:type="dxa"/>
            <w:vAlign w:val="center"/>
          </w:tcPr>
          <w:p>
            <w:pPr>
              <w:pStyle w:val="20"/>
            </w:pPr>
            <w:r>
              <w:t>491.40</w:t>
            </w:r>
          </w:p>
        </w:tc>
        <w:tc>
          <w:tcPr>
            <w:tcW w:w="1361" w:type="dxa"/>
            <w:vAlign w:val="center"/>
          </w:tcPr>
          <w:p>
            <w:pPr>
              <w:pStyle w:val="20"/>
            </w:pPr>
            <w:r>
              <w:t>377.70</w:t>
            </w:r>
          </w:p>
        </w:tc>
        <w:tc>
          <w:tcPr>
            <w:tcW w:w="1361" w:type="dxa"/>
            <w:vAlign w:val="center"/>
          </w:tcPr>
          <w:p>
            <w:pPr>
              <w:pStyle w:val="20"/>
            </w:pPr>
            <w:r>
              <w:t>113.70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992" w:type="dxa"/>
            <w:vAlign w:val="center"/>
          </w:tcPr>
          <w:p>
            <w:pPr>
              <w:pStyle w:val="21"/>
            </w:pPr>
            <w:r>
              <w:t>208</w:t>
            </w:r>
          </w:p>
        </w:tc>
        <w:tc>
          <w:tcPr>
            <w:tcW w:w="4535" w:type="dxa"/>
            <w:vAlign w:val="center"/>
          </w:tcPr>
          <w:p>
            <w:pPr>
              <w:pStyle w:val="21"/>
            </w:pPr>
            <w:r>
              <w:rPr>
                <w:rFonts w:hint="eastAsia"/>
              </w:rPr>
              <w:t>社会保障和就业支出</w:t>
            </w:r>
          </w:p>
        </w:tc>
        <w:tc>
          <w:tcPr>
            <w:tcW w:w="1361" w:type="dxa"/>
            <w:vAlign w:val="center"/>
          </w:tcPr>
          <w:p>
            <w:pPr>
              <w:pStyle w:val="20"/>
            </w:pPr>
            <w:r>
              <w:t>42.00</w:t>
            </w:r>
          </w:p>
        </w:tc>
        <w:tc>
          <w:tcPr>
            <w:tcW w:w="1361" w:type="dxa"/>
            <w:vAlign w:val="center"/>
          </w:tcPr>
          <w:p>
            <w:pPr>
              <w:pStyle w:val="20"/>
            </w:pPr>
            <w:r>
              <w:t>42.00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992" w:type="dxa"/>
            <w:vAlign w:val="center"/>
          </w:tcPr>
          <w:p>
            <w:pPr>
              <w:pStyle w:val="21"/>
            </w:pPr>
            <w:r>
              <w:t>20805</w:t>
            </w:r>
          </w:p>
        </w:tc>
        <w:tc>
          <w:tcPr>
            <w:tcW w:w="4535" w:type="dxa"/>
            <w:vAlign w:val="center"/>
          </w:tcPr>
          <w:p>
            <w:pPr>
              <w:pStyle w:val="21"/>
            </w:pPr>
            <w:r>
              <w:rPr>
                <w:rFonts w:hint="eastAsia"/>
              </w:rPr>
              <w:t>行政事业单位养老支出</w:t>
            </w:r>
          </w:p>
        </w:tc>
        <w:tc>
          <w:tcPr>
            <w:tcW w:w="1361" w:type="dxa"/>
            <w:vAlign w:val="center"/>
          </w:tcPr>
          <w:p>
            <w:pPr>
              <w:pStyle w:val="20"/>
            </w:pPr>
            <w:r>
              <w:t>42.00</w:t>
            </w:r>
          </w:p>
        </w:tc>
        <w:tc>
          <w:tcPr>
            <w:tcW w:w="1361" w:type="dxa"/>
            <w:vAlign w:val="center"/>
          </w:tcPr>
          <w:p>
            <w:pPr>
              <w:pStyle w:val="20"/>
            </w:pPr>
            <w:r>
              <w:t>42.00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992" w:type="dxa"/>
            <w:vAlign w:val="center"/>
          </w:tcPr>
          <w:p>
            <w:pPr>
              <w:pStyle w:val="21"/>
            </w:pPr>
            <w:r>
              <w:t>2080505</w:t>
            </w:r>
          </w:p>
        </w:tc>
        <w:tc>
          <w:tcPr>
            <w:tcW w:w="4535" w:type="dxa"/>
            <w:vAlign w:val="center"/>
          </w:tcPr>
          <w:p>
            <w:pPr>
              <w:pStyle w:val="21"/>
            </w:pPr>
            <w:r>
              <w:rPr>
                <w:rFonts w:hint="eastAsia"/>
              </w:rPr>
              <w:t>机关事业单位基本养老保险缴费支出</w:t>
            </w:r>
          </w:p>
        </w:tc>
        <w:tc>
          <w:tcPr>
            <w:tcW w:w="1361" w:type="dxa"/>
            <w:vAlign w:val="center"/>
          </w:tcPr>
          <w:p>
            <w:pPr>
              <w:pStyle w:val="20"/>
            </w:pPr>
            <w:r>
              <w:t>42.00</w:t>
            </w:r>
          </w:p>
        </w:tc>
        <w:tc>
          <w:tcPr>
            <w:tcW w:w="1361" w:type="dxa"/>
            <w:vAlign w:val="center"/>
          </w:tcPr>
          <w:p>
            <w:pPr>
              <w:pStyle w:val="20"/>
            </w:pPr>
            <w:r>
              <w:t>42.00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992" w:type="dxa"/>
            <w:vAlign w:val="center"/>
          </w:tcPr>
          <w:p>
            <w:pPr>
              <w:pStyle w:val="21"/>
            </w:pPr>
            <w:r>
              <w:t>210</w:t>
            </w:r>
          </w:p>
        </w:tc>
        <w:tc>
          <w:tcPr>
            <w:tcW w:w="4535" w:type="dxa"/>
            <w:vAlign w:val="center"/>
          </w:tcPr>
          <w:p>
            <w:pPr>
              <w:pStyle w:val="21"/>
            </w:pPr>
            <w:r>
              <w:rPr>
                <w:rFonts w:hint="eastAsia"/>
              </w:rPr>
              <w:t>卫生健康支出</w:t>
            </w:r>
          </w:p>
        </w:tc>
        <w:tc>
          <w:tcPr>
            <w:tcW w:w="1361" w:type="dxa"/>
            <w:vAlign w:val="center"/>
          </w:tcPr>
          <w:p>
            <w:pPr>
              <w:pStyle w:val="20"/>
            </w:pPr>
            <w:r>
              <w:t>22.10</w:t>
            </w:r>
          </w:p>
        </w:tc>
        <w:tc>
          <w:tcPr>
            <w:tcW w:w="1361" w:type="dxa"/>
            <w:vAlign w:val="center"/>
          </w:tcPr>
          <w:p>
            <w:pPr>
              <w:pStyle w:val="20"/>
            </w:pPr>
            <w:r>
              <w:t>22.10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992" w:type="dxa"/>
            <w:vAlign w:val="center"/>
          </w:tcPr>
          <w:p>
            <w:pPr>
              <w:pStyle w:val="21"/>
            </w:pPr>
            <w:r>
              <w:t>21011</w:t>
            </w:r>
          </w:p>
        </w:tc>
        <w:tc>
          <w:tcPr>
            <w:tcW w:w="4535" w:type="dxa"/>
            <w:vAlign w:val="center"/>
          </w:tcPr>
          <w:p>
            <w:pPr>
              <w:pStyle w:val="21"/>
            </w:pPr>
            <w:r>
              <w:rPr>
                <w:rFonts w:hint="eastAsia"/>
              </w:rPr>
              <w:t>行政事业单位医疗</w:t>
            </w:r>
          </w:p>
        </w:tc>
        <w:tc>
          <w:tcPr>
            <w:tcW w:w="1361" w:type="dxa"/>
            <w:vAlign w:val="center"/>
          </w:tcPr>
          <w:p>
            <w:pPr>
              <w:pStyle w:val="20"/>
            </w:pPr>
            <w:r>
              <w:t>22.10</w:t>
            </w:r>
          </w:p>
        </w:tc>
        <w:tc>
          <w:tcPr>
            <w:tcW w:w="1361" w:type="dxa"/>
            <w:vAlign w:val="center"/>
          </w:tcPr>
          <w:p>
            <w:pPr>
              <w:pStyle w:val="20"/>
            </w:pPr>
            <w:r>
              <w:t>22.10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992" w:type="dxa"/>
            <w:vAlign w:val="center"/>
          </w:tcPr>
          <w:p>
            <w:pPr>
              <w:pStyle w:val="21"/>
            </w:pPr>
            <w:r>
              <w:t>2101102</w:t>
            </w:r>
          </w:p>
        </w:tc>
        <w:tc>
          <w:tcPr>
            <w:tcW w:w="4535" w:type="dxa"/>
            <w:vAlign w:val="center"/>
          </w:tcPr>
          <w:p>
            <w:pPr>
              <w:pStyle w:val="21"/>
            </w:pPr>
            <w:r>
              <w:rPr>
                <w:rFonts w:hint="eastAsia"/>
              </w:rPr>
              <w:t>事业单位医疗</w:t>
            </w:r>
          </w:p>
        </w:tc>
        <w:tc>
          <w:tcPr>
            <w:tcW w:w="1361" w:type="dxa"/>
            <w:vAlign w:val="center"/>
          </w:tcPr>
          <w:p>
            <w:pPr>
              <w:pStyle w:val="20"/>
            </w:pPr>
            <w:r>
              <w:t>22.10</w:t>
            </w:r>
          </w:p>
        </w:tc>
        <w:tc>
          <w:tcPr>
            <w:tcW w:w="1361" w:type="dxa"/>
            <w:vAlign w:val="center"/>
          </w:tcPr>
          <w:p>
            <w:pPr>
              <w:pStyle w:val="20"/>
            </w:pPr>
            <w:r>
              <w:t>22.10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3402"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4876" w:type="dxa"/>
            <w:gridSpan w:val="2"/>
            <w:vAlign w:val="center"/>
          </w:tcPr>
          <w:p>
            <w:pPr>
              <w:pStyle w:val="19"/>
            </w:pPr>
            <w:r>
              <w:rPr>
                <w:rFonts w:hint="eastAsia"/>
              </w:rPr>
              <w:t>收入</w:t>
            </w:r>
          </w:p>
        </w:tc>
        <w:tc>
          <w:tcPr>
            <w:tcW w:w="9298" w:type="dxa"/>
            <w:gridSpan w:val="5"/>
            <w:vAlign w:val="center"/>
          </w:tcPr>
          <w:p>
            <w:pPr>
              <w:pStyle w:val="19"/>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9"/>
            </w:pPr>
            <w:r>
              <w:rPr>
                <w:rFonts w:hint="eastAsia"/>
              </w:rPr>
              <w:t>项</w:t>
            </w:r>
            <w:r>
              <w:t xml:space="preserve">  </w:t>
            </w:r>
            <w:r>
              <w:rPr>
                <w:rFonts w:hint="eastAsia"/>
              </w:rPr>
              <w:t>目</w:t>
            </w:r>
          </w:p>
        </w:tc>
        <w:tc>
          <w:tcPr>
            <w:tcW w:w="1474" w:type="dxa"/>
            <w:vAlign w:val="center"/>
          </w:tcPr>
          <w:p>
            <w:pPr>
              <w:pStyle w:val="19"/>
            </w:pPr>
            <w:r>
              <w:rPr>
                <w:rFonts w:hint="eastAsia"/>
              </w:rPr>
              <w:t>金额</w:t>
            </w:r>
          </w:p>
        </w:tc>
        <w:tc>
          <w:tcPr>
            <w:tcW w:w="3402" w:type="dxa"/>
            <w:vAlign w:val="center"/>
          </w:tcPr>
          <w:p>
            <w:pPr>
              <w:pStyle w:val="19"/>
            </w:pPr>
            <w:r>
              <w:rPr>
                <w:rFonts w:hint="eastAsia"/>
              </w:rPr>
              <w:t>项</w:t>
            </w:r>
            <w:r>
              <w:t xml:space="preserve">  </w:t>
            </w:r>
            <w:r>
              <w:rPr>
                <w:rFonts w:hint="eastAsia"/>
              </w:rPr>
              <w:t>目</w:t>
            </w:r>
          </w:p>
        </w:tc>
        <w:tc>
          <w:tcPr>
            <w:tcW w:w="1474" w:type="dxa"/>
            <w:vAlign w:val="center"/>
          </w:tcPr>
          <w:p>
            <w:pPr>
              <w:pStyle w:val="19"/>
            </w:pPr>
            <w:r>
              <w:rPr>
                <w:rFonts w:hint="eastAsia"/>
              </w:rPr>
              <w:t>合计</w:t>
            </w:r>
          </w:p>
        </w:tc>
        <w:tc>
          <w:tcPr>
            <w:tcW w:w="1474" w:type="dxa"/>
            <w:vAlign w:val="center"/>
          </w:tcPr>
          <w:p>
            <w:pPr>
              <w:pStyle w:val="19"/>
            </w:pPr>
            <w:r>
              <w:rPr>
                <w:rFonts w:hint="eastAsia"/>
              </w:rPr>
              <w:t>一般公共预算财政拨款</w:t>
            </w:r>
          </w:p>
        </w:tc>
        <w:tc>
          <w:tcPr>
            <w:tcW w:w="1474" w:type="dxa"/>
            <w:vAlign w:val="center"/>
          </w:tcPr>
          <w:p>
            <w:pPr>
              <w:pStyle w:val="19"/>
            </w:pPr>
            <w:r>
              <w:rPr>
                <w:rFonts w:hint="eastAsia"/>
              </w:rPr>
              <w:t>政府性基金预算财政</w:t>
            </w:r>
            <w:r>
              <w:t xml:space="preserve">    </w:t>
            </w:r>
            <w:r>
              <w:rPr>
                <w:rFonts w:hint="eastAsia"/>
              </w:rPr>
              <w:t>拨款</w:t>
            </w:r>
          </w:p>
        </w:tc>
        <w:tc>
          <w:tcPr>
            <w:tcW w:w="1474" w:type="dxa"/>
            <w:vAlign w:val="center"/>
          </w:tcPr>
          <w:p>
            <w:pPr>
              <w:pStyle w:val="19"/>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3402" w:type="dxa"/>
            <w:vAlign w:val="center"/>
          </w:tcPr>
          <w:p>
            <w:pPr>
              <w:pStyle w:val="19"/>
            </w:pPr>
            <w:r>
              <w:t>1</w:t>
            </w:r>
          </w:p>
        </w:tc>
        <w:tc>
          <w:tcPr>
            <w:tcW w:w="1474" w:type="dxa"/>
            <w:vAlign w:val="center"/>
          </w:tcPr>
          <w:p>
            <w:pPr>
              <w:pStyle w:val="19"/>
            </w:pPr>
            <w:r>
              <w:t>2</w:t>
            </w:r>
          </w:p>
        </w:tc>
        <w:tc>
          <w:tcPr>
            <w:tcW w:w="3402" w:type="dxa"/>
            <w:vAlign w:val="center"/>
          </w:tcPr>
          <w:p>
            <w:pPr>
              <w:pStyle w:val="19"/>
            </w:pPr>
            <w:r>
              <w:t>3</w:t>
            </w:r>
          </w:p>
        </w:tc>
        <w:tc>
          <w:tcPr>
            <w:tcW w:w="1474" w:type="dxa"/>
            <w:vAlign w:val="center"/>
          </w:tcPr>
          <w:p>
            <w:pPr>
              <w:pStyle w:val="19"/>
            </w:pPr>
            <w:r>
              <w:t>4</w:t>
            </w:r>
          </w:p>
        </w:tc>
        <w:tc>
          <w:tcPr>
            <w:tcW w:w="1474" w:type="dxa"/>
            <w:vAlign w:val="center"/>
          </w:tcPr>
          <w:p>
            <w:pPr>
              <w:pStyle w:val="19"/>
            </w:pPr>
            <w:r>
              <w:t>5</w:t>
            </w:r>
          </w:p>
        </w:tc>
        <w:tc>
          <w:tcPr>
            <w:tcW w:w="1474" w:type="dxa"/>
            <w:vAlign w:val="center"/>
          </w:tcPr>
          <w:p>
            <w:pPr>
              <w:pStyle w:val="19"/>
            </w:pPr>
            <w:r>
              <w:t>6</w:t>
            </w:r>
          </w:p>
        </w:tc>
        <w:tc>
          <w:tcPr>
            <w:tcW w:w="1474" w:type="dxa"/>
            <w:vAlign w:val="center"/>
          </w:tcPr>
          <w:p>
            <w:pPr>
              <w:pStyle w:val="1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3402" w:type="dxa"/>
            <w:vAlign w:val="center"/>
          </w:tcPr>
          <w:p>
            <w:pPr>
              <w:pStyle w:val="21"/>
            </w:pPr>
            <w:r>
              <w:rPr>
                <w:rFonts w:hint="eastAsia"/>
              </w:rPr>
              <w:t>一、一般公共预算拨款</w:t>
            </w:r>
          </w:p>
        </w:tc>
        <w:tc>
          <w:tcPr>
            <w:tcW w:w="1474" w:type="dxa"/>
            <w:vAlign w:val="center"/>
          </w:tcPr>
          <w:p>
            <w:pPr>
              <w:pStyle w:val="20"/>
            </w:pPr>
            <w:r>
              <w:t>555.50</w:t>
            </w:r>
          </w:p>
        </w:tc>
        <w:tc>
          <w:tcPr>
            <w:tcW w:w="3402" w:type="dxa"/>
            <w:vAlign w:val="center"/>
          </w:tcPr>
          <w:p>
            <w:pPr>
              <w:pStyle w:val="21"/>
            </w:pPr>
            <w:r>
              <w:rPr>
                <w:rFonts w:hint="eastAsia"/>
              </w:rPr>
              <w:t>一、一般公共服务支出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3402" w:type="dxa"/>
            <w:vAlign w:val="center"/>
          </w:tcPr>
          <w:p>
            <w:pPr>
              <w:pStyle w:val="21"/>
            </w:pPr>
            <w:r>
              <w:rPr>
                <w:rFonts w:hint="eastAsia"/>
              </w:rPr>
              <w:t>二、政府性基金预算拨款</w:t>
            </w:r>
          </w:p>
        </w:tc>
        <w:tc>
          <w:tcPr>
            <w:tcW w:w="1474" w:type="dxa"/>
            <w:vAlign w:val="center"/>
          </w:tcPr>
          <w:p>
            <w:pPr>
              <w:pStyle w:val="20"/>
            </w:pPr>
          </w:p>
        </w:tc>
        <w:tc>
          <w:tcPr>
            <w:tcW w:w="3402" w:type="dxa"/>
            <w:vAlign w:val="center"/>
          </w:tcPr>
          <w:p>
            <w:pPr>
              <w:pStyle w:val="21"/>
            </w:pPr>
            <w:r>
              <w:rPr>
                <w:rFonts w:hint="eastAsia"/>
              </w:rPr>
              <w:t>二、外交支出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3402" w:type="dxa"/>
            <w:vAlign w:val="center"/>
          </w:tcPr>
          <w:p>
            <w:pPr>
              <w:pStyle w:val="21"/>
            </w:pPr>
            <w:r>
              <w:rPr>
                <w:rFonts w:hint="eastAsia"/>
              </w:rPr>
              <w:t>三、国有资本经营预算拨款</w:t>
            </w:r>
          </w:p>
        </w:tc>
        <w:tc>
          <w:tcPr>
            <w:tcW w:w="1474" w:type="dxa"/>
            <w:vAlign w:val="center"/>
          </w:tcPr>
          <w:p>
            <w:pPr>
              <w:pStyle w:val="20"/>
            </w:pPr>
          </w:p>
        </w:tc>
        <w:tc>
          <w:tcPr>
            <w:tcW w:w="3402" w:type="dxa"/>
            <w:vAlign w:val="center"/>
          </w:tcPr>
          <w:p>
            <w:pPr>
              <w:pStyle w:val="21"/>
            </w:pPr>
            <w:r>
              <w:rPr>
                <w:rFonts w:hint="eastAsia"/>
              </w:rPr>
              <w:t>三、国防支出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四、公共安全支出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五、教育支出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六、科学技术支出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七、文化旅游体育与传媒支出</w:t>
            </w:r>
          </w:p>
        </w:tc>
        <w:tc>
          <w:tcPr>
            <w:tcW w:w="1474" w:type="dxa"/>
            <w:vAlign w:val="center"/>
          </w:tcPr>
          <w:p>
            <w:pPr>
              <w:pStyle w:val="20"/>
            </w:pPr>
            <w:r>
              <w:t>491.40</w:t>
            </w:r>
          </w:p>
        </w:tc>
        <w:tc>
          <w:tcPr>
            <w:tcW w:w="1474" w:type="dxa"/>
            <w:vAlign w:val="center"/>
          </w:tcPr>
          <w:p>
            <w:pPr>
              <w:pStyle w:val="20"/>
            </w:pPr>
            <w:r>
              <w:t>491.40</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八、社会保障和就业支出</w:t>
            </w:r>
          </w:p>
        </w:tc>
        <w:tc>
          <w:tcPr>
            <w:tcW w:w="1474" w:type="dxa"/>
            <w:vAlign w:val="center"/>
          </w:tcPr>
          <w:p>
            <w:pPr>
              <w:pStyle w:val="20"/>
            </w:pPr>
            <w:r>
              <w:t>42.00</w:t>
            </w:r>
          </w:p>
        </w:tc>
        <w:tc>
          <w:tcPr>
            <w:tcW w:w="1474" w:type="dxa"/>
            <w:vAlign w:val="center"/>
          </w:tcPr>
          <w:p>
            <w:pPr>
              <w:pStyle w:val="20"/>
            </w:pPr>
            <w:r>
              <w:t>42.00</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九、社会保险基金支出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十、卫生健康支出</w:t>
            </w:r>
          </w:p>
        </w:tc>
        <w:tc>
          <w:tcPr>
            <w:tcW w:w="1474" w:type="dxa"/>
            <w:vAlign w:val="center"/>
          </w:tcPr>
          <w:p>
            <w:pPr>
              <w:pStyle w:val="20"/>
            </w:pPr>
            <w:r>
              <w:t>22.10</w:t>
            </w:r>
          </w:p>
        </w:tc>
        <w:tc>
          <w:tcPr>
            <w:tcW w:w="1474" w:type="dxa"/>
            <w:vAlign w:val="center"/>
          </w:tcPr>
          <w:p>
            <w:pPr>
              <w:pStyle w:val="20"/>
            </w:pPr>
            <w:r>
              <w:t>22.10</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11</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十一、节能环保支出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12</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十二、城乡社区支出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13</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十三、农林水支出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14</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十四、交通运输支出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15</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十五、资源勘探工业信息等支出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16</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十六、商业服务业等支出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17</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十七、金融支出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18</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十八、援助其他地区支出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19</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十九、自然资源海洋气象等支出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20</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二十、住房保障支出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21</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二十一、粮油物资储备支出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22</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二十二、国有资本经营预算支出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23</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二十三、灾害防治及应急管理支出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24</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二十四、预备费</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25</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二十五、其他支出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26</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二十六、转移性支出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27</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二十七、债务还本支出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28</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二十八、债务付息支出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29</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二十九、债务发行费用支出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30</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三十、抗疫特别国债安排的支出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31</w:t>
            </w:r>
          </w:p>
        </w:tc>
        <w:tc>
          <w:tcPr>
            <w:tcW w:w="3402" w:type="dxa"/>
            <w:vAlign w:val="center"/>
          </w:tcPr>
          <w:p>
            <w:pPr>
              <w:pStyle w:val="23"/>
            </w:pPr>
            <w:r>
              <w:rPr>
                <w:rFonts w:hint="eastAsia"/>
              </w:rPr>
              <w:t>本年收入合计</w:t>
            </w:r>
          </w:p>
        </w:tc>
        <w:tc>
          <w:tcPr>
            <w:tcW w:w="1474" w:type="dxa"/>
            <w:vAlign w:val="center"/>
          </w:tcPr>
          <w:p>
            <w:pPr>
              <w:pStyle w:val="24"/>
            </w:pPr>
            <w:r>
              <w:t>555.50</w:t>
            </w:r>
          </w:p>
        </w:tc>
        <w:tc>
          <w:tcPr>
            <w:tcW w:w="3402" w:type="dxa"/>
            <w:vAlign w:val="center"/>
          </w:tcPr>
          <w:p>
            <w:pPr>
              <w:pStyle w:val="23"/>
            </w:pPr>
            <w:r>
              <w:rPr>
                <w:rFonts w:hint="eastAsia"/>
              </w:rPr>
              <w:t>本年支出合计</w:t>
            </w:r>
          </w:p>
        </w:tc>
        <w:tc>
          <w:tcPr>
            <w:tcW w:w="1474" w:type="dxa"/>
            <w:vAlign w:val="center"/>
          </w:tcPr>
          <w:p>
            <w:pPr>
              <w:pStyle w:val="24"/>
            </w:pPr>
            <w:r>
              <w:t>555.50</w:t>
            </w:r>
          </w:p>
        </w:tc>
        <w:tc>
          <w:tcPr>
            <w:tcW w:w="1474" w:type="dxa"/>
            <w:vAlign w:val="center"/>
          </w:tcPr>
          <w:p>
            <w:pPr>
              <w:pStyle w:val="24"/>
            </w:pPr>
            <w:r>
              <w:t>555.50</w:t>
            </w:r>
          </w:p>
        </w:tc>
        <w:tc>
          <w:tcPr>
            <w:tcW w:w="1474" w:type="dxa"/>
            <w:vAlign w:val="center"/>
          </w:tcPr>
          <w:p>
            <w:pPr>
              <w:pStyle w:val="24"/>
            </w:pPr>
          </w:p>
        </w:tc>
        <w:tc>
          <w:tcPr>
            <w:tcW w:w="1474" w:type="dxa"/>
            <w:vAlign w:val="center"/>
          </w:tcPr>
          <w:p>
            <w:pPr>
              <w:pStyle w:val="2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32</w:t>
            </w:r>
          </w:p>
        </w:tc>
        <w:tc>
          <w:tcPr>
            <w:tcW w:w="3402" w:type="dxa"/>
            <w:vAlign w:val="center"/>
          </w:tcPr>
          <w:p>
            <w:pPr>
              <w:pStyle w:val="21"/>
            </w:pPr>
            <w:r>
              <w:rPr>
                <w:rFonts w:hint="eastAsia"/>
              </w:rPr>
              <w:t>年初财政拨款结转和结余</w:t>
            </w:r>
          </w:p>
        </w:tc>
        <w:tc>
          <w:tcPr>
            <w:tcW w:w="1474" w:type="dxa"/>
            <w:vAlign w:val="center"/>
          </w:tcPr>
          <w:p>
            <w:pPr>
              <w:pStyle w:val="20"/>
            </w:pPr>
          </w:p>
        </w:tc>
        <w:tc>
          <w:tcPr>
            <w:tcW w:w="3402" w:type="dxa"/>
            <w:vAlign w:val="center"/>
          </w:tcPr>
          <w:p>
            <w:pPr>
              <w:pStyle w:val="21"/>
            </w:pPr>
            <w:r>
              <w:rPr>
                <w:rFonts w:hint="eastAsia"/>
              </w:rPr>
              <w:t>年末财政拨款结转和结余</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33</w:t>
            </w:r>
          </w:p>
        </w:tc>
        <w:tc>
          <w:tcPr>
            <w:tcW w:w="3402" w:type="dxa"/>
            <w:vAlign w:val="center"/>
          </w:tcPr>
          <w:p>
            <w:pPr>
              <w:pStyle w:val="21"/>
            </w:pPr>
            <w:r>
              <w:rPr>
                <w:rFonts w:hint="eastAsia"/>
              </w:rPr>
              <w:t>一、一般公共预算拨款</w:t>
            </w:r>
          </w:p>
        </w:tc>
        <w:tc>
          <w:tcPr>
            <w:tcW w:w="1474" w:type="dxa"/>
            <w:vAlign w:val="center"/>
          </w:tcPr>
          <w:p>
            <w:pPr>
              <w:pStyle w:val="20"/>
            </w:pPr>
          </w:p>
        </w:tc>
        <w:tc>
          <w:tcPr>
            <w:tcW w:w="3402" w:type="dxa"/>
            <w:vAlign w:val="center"/>
          </w:tcPr>
          <w:p>
            <w:pPr>
              <w:pStyle w:val="21"/>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34</w:t>
            </w:r>
          </w:p>
        </w:tc>
        <w:tc>
          <w:tcPr>
            <w:tcW w:w="3402" w:type="dxa"/>
            <w:vAlign w:val="center"/>
          </w:tcPr>
          <w:p>
            <w:pPr>
              <w:pStyle w:val="21"/>
            </w:pPr>
            <w:r>
              <w:rPr>
                <w:rFonts w:hint="eastAsia"/>
              </w:rPr>
              <w:t>二、政府性基金预算拨款</w:t>
            </w:r>
          </w:p>
        </w:tc>
        <w:tc>
          <w:tcPr>
            <w:tcW w:w="1474" w:type="dxa"/>
            <w:vAlign w:val="center"/>
          </w:tcPr>
          <w:p>
            <w:pPr>
              <w:pStyle w:val="20"/>
            </w:pPr>
          </w:p>
        </w:tc>
        <w:tc>
          <w:tcPr>
            <w:tcW w:w="3402" w:type="dxa"/>
            <w:vAlign w:val="center"/>
          </w:tcPr>
          <w:p>
            <w:pPr>
              <w:pStyle w:val="21"/>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35</w:t>
            </w:r>
          </w:p>
        </w:tc>
        <w:tc>
          <w:tcPr>
            <w:tcW w:w="3402" w:type="dxa"/>
            <w:vAlign w:val="center"/>
          </w:tcPr>
          <w:p>
            <w:pPr>
              <w:pStyle w:val="21"/>
            </w:pPr>
            <w:r>
              <w:rPr>
                <w:rFonts w:hint="eastAsia"/>
              </w:rPr>
              <w:t>三、国有资本经营预算拨款</w:t>
            </w:r>
          </w:p>
        </w:tc>
        <w:tc>
          <w:tcPr>
            <w:tcW w:w="1474" w:type="dxa"/>
            <w:vAlign w:val="center"/>
          </w:tcPr>
          <w:p>
            <w:pPr>
              <w:pStyle w:val="20"/>
            </w:pPr>
          </w:p>
        </w:tc>
        <w:tc>
          <w:tcPr>
            <w:tcW w:w="3402" w:type="dxa"/>
            <w:vAlign w:val="center"/>
          </w:tcPr>
          <w:p>
            <w:pPr>
              <w:pStyle w:val="21"/>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36</w:t>
            </w:r>
          </w:p>
        </w:tc>
        <w:tc>
          <w:tcPr>
            <w:tcW w:w="3402" w:type="dxa"/>
            <w:vAlign w:val="center"/>
          </w:tcPr>
          <w:p>
            <w:pPr>
              <w:pStyle w:val="23"/>
            </w:pPr>
            <w:r>
              <w:rPr>
                <w:rFonts w:hint="eastAsia"/>
              </w:rPr>
              <w:t>收入总计</w:t>
            </w:r>
          </w:p>
        </w:tc>
        <w:tc>
          <w:tcPr>
            <w:tcW w:w="1474" w:type="dxa"/>
            <w:vAlign w:val="center"/>
          </w:tcPr>
          <w:p>
            <w:pPr>
              <w:pStyle w:val="24"/>
            </w:pPr>
            <w:r>
              <w:t>555.50</w:t>
            </w:r>
          </w:p>
        </w:tc>
        <w:tc>
          <w:tcPr>
            <w:tcW w:w="3402" w:type="dxa"/>
            <w:vAlign w:val="center"/>
          </w:tcPr>
          <w:p>
            <w:pPr>
              <w:pStyle w:val="23"/>
            </w:pPr>
            <w:r>
              <w:rPr>
                <w:rFonts w:hint="eastAsia"/>
              </w:rPr>
              <w:t>支出总计</w:t>
            </w:r>
          </w:p>
        </w:tc>
        <w:tc>
          <w:tcPr>
            <w:tcW w:w="1474" w:type="dxa"/>
            <w:vAlign w:val="center"/>
          </w:tcPr>
          <w:p>
            <w:pPr>
              <w:pStyle w:val="24"/>
            </w:pPr>
            <w:r>
              <w:t>555.50</w:t>
            </w:r>
          </w:p>
        </w:tc>
        <w:tc>
          <w:tcPr>
            <w:tcW w:w="1474" w:type="dxa"/>
            <w:vAlign w:val="center"/>
          </w:tcPr>
          <w:p>
            <w:pPr>
              <w:pStyle w:val="24"/>
            </w:pPr>
            <w:r>
              <w:t>555.50</w:t>
            </w:r>
          </w:p>
        </w:tc>
        <w:tc>
          <w:tcPr>
            <w:tcW w:w="1474" w:type="dxa"/>
            <w:vAlign w:val="center"/>
          </w:tcPr>
          <w:p>
            <w:pPr>
              <w:pStyle w:val="24"/>
            </w:pPr>
          </w:p>
        </w:tc>
        <w:tc>
          <w:tcPr>
            <w:tcW w:w="1474" w:type="dxa"/>
            <w:vAlign w:val="center"/>
          </w:tcPr>
          <w:p>
            <w:pPr>
              <w:pStyle w:val="24"/>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功能分类科目</w:t>
            </w:r>
          </w:p>
        </w:tc>
        <w:tc>
          <w:tcPr>
            <w:tcW w:w="2551" w:type="dxa"/>
            <w:vMerge w:val="restart"/>
            <w:vAlign w:val="center"/>
          </w:tcPr>
          <w:p>
            <w:pPr>
              <w:pStyle w:val="19"/>
            </w:pPr>
            <w:r>
              <w:rPr>
                <w:rFonts w:hint="eastAsia"/>
              </w:rPr>
              <w:t>合计</w:t>
            </w:r>
          </w:p>
        </w:tc>
        <w:tc>
          <w:tcPr>
            <w:tcW w:w="2551" w:type="dxa"/>
            <w:vMerge w:val="restart"/>
            <w:vAlign w:val="center"/>
          </w:tcPr>
          <w:p>
            <w:pPr>
              <w:pStyle w:val="19"/>
            </w:pPr>
            <w:r>
              <w:rPr>
                <w:rFonts w:hint="eastAsia"/>
              </w:rPr>
              <w:t>基本支出</w:t>
            </w:r>
          </w:p>
        </w:tc>
        <w:tc>
          <w:tcPr>
            <w:tcW w:w="2551" w:type="dxa"/>
            <w:vMerge w:val="restart"/>
            <w:vAlign w:val="center"/>
          </w:tcPr>
          <w:p>
            <w:pPr>
              <w:pStyle w:val="19"/>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1191" w:type="dxa"/>
            <w:vAlign w:val="center"/>
          </w:tcPr>
          <w:p>
            <w:pPr>
              <w:pStyle w:val="25"/>
            </w:pPr>
          </w:p>
        </w:tc>
        <w:tc>
          <w:tcPr>
            <w:tcW w:w="4535" w:type="dxa"/>
            <w:vAlign w:val="center"/>
          </w:tcPr>
          <w:p>
            <w:pPr>
              <w:pStyle w:val="23"/>
            </w:pPr>
            <w:r>
              <w:rPr>
                <w:rFonts w:hint="eastAsia"/>
              </w:rPr>
              <w:t>合计</w:t>
            </w:r>
          </w:p>
        </w:tc>
        <w:tc>
          <w:tcPr>
            <w:tcW w:w="2551" w:type="dxa"/>
            <w:vAlign w:val="center"/>
          </w:tcPr>
          <w:p>
            <w:pPr>
              <w:pStyle w:val="24"/>
            </w:pPr>
            <w:r>
              <w:t>555.50</w:t>
            </w:r>
          </w:p>
        </w:tc>
        <w:tc>
          <w:tcPr>
            <w:tcW w:w="2551" w:type="dxa"/>
            <w:vAlign w:val="center"/>
          </w:tcPr>
          <w:p>
            <w:pPr>
              <w:pStyle w:val="24"/>
            </w:pPr>
            <w:r>
              <w:t>441.80</w:t>
            </w:r>
          </w:p>
        </w:tc>
        <w:tc>
          <w:tcPr>
            <w:tcW w:w="2551" w:type="dxa"/>
            <w:vAlign w:val="center"/>
          </w:tcPr>
          <w:p>
            <w:pPr>
              <w:pStyle w:val="24"/>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1191" w:type="dxa"/>
            <w:vAlign w:val="center"/>
          </w:tcPr>
          <w:p>
            <w:pPr>
              <w:pStyle w:val="21"/>
            </w:pPr>
            <w:r>
              <w:t>207</w:t>
            </w:r>
          </w:p>
        </w:tc>
        <w:tc>
          <w:tcPr>
            <w:tcW w:w="4535" w:type="dxa"/>
            <w:vAlign w:val="center"/>
          </w:tcPr>
          <w:p>
            <w:pPr>
              <w:pStyle w:val="21"/>
            </w:pPr>
            <w:r>
              <w:rPr>
                <w:rFonts w:hint="eastAsia"/>
              </w:rPr>
              <w:t>文化旅游体育与传媒支出</w:t>
            </w:r>
          </w:p>
        </w:tc>
        <w:tc>
          <w:tcPr>
            <w:tcW w:w="2551" w:type="dxa"/>
            <w:vAlign w:val="center"/>
          </w:tcPr>
          <w:p>
            <w:pPr>
              <w:pStyle w:val="20"/>
            </w:pPr>
            <w:r>
              <w:t>491.40</w:t>
            </w:r>
          </w:p>
        </w:tc>
        <w:tc>
          <w:tcPr>
            <w:tcW w:w="2551" w:type="dxa"/>
            <w:vAlign w:val="center"/>
          </w:tcPr>
          <w:p>
            <w:pPr>
              <w:pStyle w:val="20"/>
            </w:pPr>
            <w:r>
              <w:t>377.70</w:t>
            </w:r>
          </w:p>
        </w:tc>
        <w:tc>
          <w:tcPr>
            <w:tcW w:w="2551" w:type="dxa"/>
            <w:vAlign w:val="center"/>
          </w:tcPr>
          <w:p>
            <w:pPr>
              <w:pStyle w:val="20"/>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1191" w:type="dxa"/>
            <w:vAlign w:val="center"/>
          </w:tcPr>
          <w:p>
            <w:pPr>
              <w:pStyle w:val="21"/>
            </w:pPr>
            <w:r>
              <w:t>20708</w:t>
            </w:r>
          </w:p>
        </w:tc>
        <w:tc>
          <w:tcPr>
            <w:tcW w:w="4535" w:type="dxa"/>
            <w:vAlign w:val="center"/>
          </w:tcPr>
          <w:p>
            <w:pPr>
              <w:pStyle w:val="21"/>
            </w:pPr>
            <w:r>
              <w:rPr>
                <w:rFonts w:hint="eastAsia"/>
              </w:rPr>
              <w:t>广播电视</w:t>
            </w:r>
          </w:p>
        </w:tc>
        <w:tc>
          <w:tcPr>
            <w:tcW w:w="2551" w:type="dxa"/>
            <w:vAlign w:val="center"/>
          </w:tcPr>
          <w:p>
            <w:pPr>
              <w:pStyle w:val="20"/>
            </w:pPr>
            <w:r>
              <w:t>491.40</w:t>
            </w:r>
          </w:p>
        </w:tc>
        <w:tc>
          <w:tcPr>
            <w:tcW w:w="2551" w:type="dxa"/>
            <w:vAlign w:val="center"/>
          </w:tcPr>
          <w:p>
            <w:pPr>
              <w:pStyle w:val="20"/>
            </w:pPr>
            <w:r>
              <w:t>377.70</w:t>
            </w:r>
          </w:p>
        </w:tc>
        <w:tc>
          <w:tcPr>
            <w:tcW w:w="2551" w:type="dxa"/>
            <w:vAlign w:val="center"/>
          </w:tcPr>
          <w:p>
            <w:pPr>
              <w:pStyle w:val="20"/>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1191" w:type="dxa"/>
            <w:vAlign w:val="center"/>
          </w:tcPr>
          <w:p>
            <w:pPr>
              <w:pStyle w:val="21"/>
            </w:pPr>
            <w:r>
              <w:t>2070808</w:t>
            </w:r>
          </w:p>
        </w:tc>
        <w:tc>
          <w:tcPr>
            <w:tcW w:w="4535" w:type="dxa"/>
            <w:vAlign w:val="center"/>
          </w:tcPr>
          <w:p>
            <w:pPr>
              <w:pStyle w:val="21"/>
            </w:pPr>
            <w:r>
              <w:rPr>
                <w:rFonts w:hint="eastAsia"/>
              </w:rPr>
              <w:t>广播电视事务</w:t>
            </w:r>
          </w:p>
        </w:tc>
        <w:tc>
          <w:tcPr>
            <w:tcW w:w="2551" w:type="dxa"/>
            <w:vAlign w:val="center"/>
          </w:tcPr>
          <w:p>
            <w:pPr>
              <w:pStyle w:val="20"/>
            </w:pPr>
            <w:r>
              <w:t>491.40</w:t>
            </w:r>
          </w:p>
        </w:tc>
        <w:tc>
          <w:tcPr>
            <w:tcW w:w="2551" w:type="dxa"/>
            <w:vAlign w:val="center"/>
          </w:tcPr>
          <w:p>
            <w:pPr>
              <w:pStyle w:val="20"/>
            </w:pPr>
            <w:r>
              <w:t>377.70</w:t>
            </w:r>
          </w:p>
        </w:tc>
        <w:tc>
          <w:tcPr>
            <w:tcW w:w="2551" w:type="dxa"/>
            <w:vAlign w:val="center"/>
          </w:tcPr>
          <w:p>
            <w:pPr>
              <w:pStyle w:val="20"/>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1191" w:type="dxa"/>
            <w:vAlign w:val="center"/>
          </w:tcPr>
          <w:p>
            <w:pPr>
              <w:pStyle w:val="21"/>
            </w:pPr>
            <w:r>
              <w:t>208</w:t>
            </w:r>
          </w:p>
        </w:tc>
        <w:tc>
          <w:tcPr>
            <w:tcW w:w="4535" w:type="dxa"/>
            <w:vAlign w:val="center"/>
          </w:tcPr>
          <w:p>
            <w:pPr>
              <w:pStyle w:val="21"/>
            </w:pPr>
            <w:r>
              <w:rPr>
                <w:rFonts w:hint="eastAsia"/>
              </w:rPr>
              <w:t>社会保障和就业支出</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1191" w:type="dxa"/>
            <w:vAlign w:val="center"/>
          </w:tcPr>
          <w:p>
            <w:pPr>
              <w:pStyle w:val="21"/>
            </w:pPr>
            <w:r>
              <w:t>20805</w:t>
            </w:r>
          </w:p>
        </w:tc>
        <w:tc>
          <w:tcPr>
            <w:tcW w:w="4535" w:type="dxa"/>
            <w:vAlign w:val="center"/>
          </w:tcPr>
          <w:p>
            <w:pPr>
              <w:pStyle w:val="21"/>
            </w:pPr>
            <w:r>
              <w:rPr>
                <w:rFonts w:hint="eastAsia"/>
              </w:rPr>
              <w:t>行政事业单位养老支出</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1191" w:type="dxa"/>
            <w:vAlign w:val="center"/>
          </w:tcPr>
          <w:p>
            <w:pPr>
              <w:pStyle w:val="21"/>
            </w:pPr>
            <w:r>
              <w:t>2080505</w:t>
            </w:r>
          </w:p>
        </w:tc>
        <w:tc>
          <w:tcPr>
            <w:tcW w:w="4535" w:type="dxa"/>
            <w:vAlign w:val="center"/>
          </w:tcPr>
          <w:p>
            <w:pPr>
              <w:pStyle w:val="21"/>
            </w:pPr>
            <w:r>
              <w:rPr>
                <w:rFonts w:hint="eastAsia"/>
              </w:rPr>
              <w:t>机关事业单位基本养老保险缴费支出</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1191" w:type="dxa"/>
            <w:vAlign w:val="center"/>
          </w:tcPr>
          <w:p>
            <w:pPr>
              <w:pStyle w:val="21"/>
            </w:pPr>
            <w:r>
              <w:t>210</w:t>
            </w:r>
          </w:p>
        </w:tc>
        <w:tc>
          <w:tcPr>
            <w:tcW w:w="4535" w:type="dxa"/>
            <w:vAlign w:val="center"/>
          </w:tcPr>
          <w:p>
            <w:pPr>
              <w:pStyle w:val="21"/>
            </w:pPr>
            <w:r>
              <w:rPr>
                <w:rFonts w:hint="eastAsia"/>
              </w:rPr>
              <w:t>卫生健康支出</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1191" w:type="dxa"/>
            <w:vAlign w:val="center"/>
          </w:tcPr>
          <w:p>
            <w:pPr>
              <w:pStyle w:val="21"/>
            </w:pPr>
            <w:r>
              <w:t>21011</w:t>
            </w:r>
          </w:p>
        </w:tc>
        <w:tc>
          <w:tcPr>
            <w:tcW w:w="4535" w:type="dxa"/>
            <w:vAlign w:val="center"/>
          </w:tcPr>
          <w:p>
            <w:pPr>
              <w:pStyle w:val="21"/>
            </w:pPr>
            <w:r>
              <w:rPr>
                <w:rFonts w:hint="eastAsia"/>
              </w:rPr>
              <w:t>行政事业单位医疗</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1191" w:type="dxa"/>
            <w:vAlign w:val="center"/>
          </w:tcPr>
          <w:p>
            <w:pPr>
              <w:pStyle w:val="21"/>
            </w:pPr>
            <w:r>
              <w:t>2101102</w:t>
            </w:r>
          </w:p>
        </w:tc>
        <w:tc>
          <w:tcPr>
            <w:tcW w:w="4535" w:type="dxa"/>
            <w:vAlign w:val="center"/>
          </w:tcPr>
          <w:p>
            <w:pPr>
              <w:pStyle w:val="21"/>
            </w:pPr>
            <w:r>
              <w:rPr>
                <w:rFonts w:hint="eastAsia"/>
              </w:rPr>
              <w:t>事业单位医疗</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支出部门经济分类科目</w:t>
            </w:r>
          </w:p>
        </w:tc>
        <w:tc>
          <w:tcPr>
            <w:tcW w:w="7654" w:type="dxa"/>
            <w:gridSpan w:val="3"/>
            <w:vAlign w:val="center"/>
          </w:tcPr>
          <w:p>
            <w:pPr>
              <w:pStyle w:val="19"/>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Align w:val="center"/>
          </w:tcPr>
          <w:p>
            <w:pPr>
              <w:pStyle w:val="19"/>
            </w:pPr>
            <w:r>
              <w:rPr>
                <w:rFonts w:hint="eastAsia"/>
              </w:rPr>
              <w:t>合计</w:t>
            </w:r>
          </w:p>
        </w:tc>
        <w:tc>
          <w:tcPr>
            <w:tcW w:w="2551" w:type="dxa"/>
            <w:vAlign w:val="center"/>
          </w:tcPr>
          <w:p>
            <w:pPr>
              <w:pStyle w:val="19"/>
            </w:pPr>
            <w:r>
              <w:rPr>
                <w:rFonts w:hint="eastAsia"/>
              </w:rPr>
              <w:t>人员经费</w:t>
            </w:r>
          </w:p>
        </w:tc>
        <w:tc>
          <w:tcPr>
            <w:tcW w:w="2551" w:type="dxa"/>
            <w:vAlign w:val="center"/>
          </w:tcPr>
          <w:p>
            <w:pPr>
              <w:pStyle w:val="19"/>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1191" w:type="dxa"/>
            <w:vAlign w:val="center"/>
          </w:tcPr>
          <w:p>
            <w:pPr>
              <w:pStyle w:val="25"/>
            </w:pPr>
          </w:p>
        </w:tc>
        <w:tc>
          <w:tcPr>
            <w:tcW w:w="4535" w:type="dxa"/>
            <w:vAlign w:val="center"/>
          </w:tcPr>
          <w:p>
            <w:pPr>
              <w:pStyle w:val="23"/>
            </w:pPr>
            <w:r>
              <w:rPr>
                <w:rFonts w:hint="eastAsia"/>
              </w:rPr>
              <w:t>合计</w:t>
            </w:r>
          </w:p>
        </w:tc>
        <w:tc>
          <w:tcPr>
            <w:tcW w:w="2551" w:type="dxa"/>
            <w:vAlign w:val="center"/>
          </w:tcPr>
          <w:p>
            <w:pPr>
              <w:pStyle w:val="24"/>
            </w:pPr>
            <w:r>
              <w:t>441.80</w:t>
            </w:r>
          </w:p>
        </w:tc>
        <w:tc>
          <w:tcPr>
            <w:tcW w:w="2551" w:type="dxa"/>
            <w:vAlign w:val="center"/>
          </w:tcPr>
          <w:p>
            <w:pPr>
              <w:pStyle w:val="24"/>
            </w:pPr>
            <w:r>
              <w:t>411.80</w:t>
            </w:r>
          </w:p>
        </w:tc>
        <w:tc>
          <w:tcPr>
            <w:tcW w:w="2551" w:type="dxa"/>
            <w:vAlign w:val="center"/>
          </w:tcPr>
          <w:p>
            <w:pPr>
              <w:pStyle w:val="2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1191" w:type="dxa"/>
            <w:vAlign w:val="center"/>
          </w:tcPr>
          <w:p>
            <w:pPr>
              <w:pStyle w:val="21"/>
            </w:pPr>
            <w:r>
              <w:t>301</w:t>
            </w:r>
          </w:p>
        </w:tc>
        <w:tc>
          <w:tcPr>
            <w:tcW w:w="4535" w:type="dxa"/>
            <w:vAlign w:val="center"/>
          </w:tcPr>
          <w:p>
            <w:pPr>
              <w:pStyle w:val="21"/>
            </w:pPr>
            <w:r>
              <w:rPr>
                <w:rFonts w:hint="eastAsia"/>
              </w:rPr>
              <w:t>工资福利支出</w:t>
            </w:r>
          </w:p>
        </w:tc>
        <w:tc>
          <w:tcPr>
            <w:tcW w:w="2551" w:type="dxa"/>
            <w:vAlign w:val="center"/>
          </w:tcPr>
          <w:p>
            <w:pPr>
              <w:pStyle w:val="20"/>
            </w:pPr>
            <w:r>
              <w:t>399.70</w:t>
            </w:r>
          </w:p>
        </w:tc>
        <w:tc>
          <w:tcPr>
            <w:tcW w:w="2551" w:type="dxa"/>
            <w:vAlign w:val="center"/>
          </w:tcPr>
          <w:p>
            <w:pPr>
              <w:pStyle w:val="20"/>
            </w:pPr>
            <w:r>
              <w:t>399.70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1191" w:type="dxa"/>
            <w:vAlign w:val="center"/>
          </w:tcPr>
          <w:p>
            <w:pPr>
              <w:pStyle w:val="21"/>
            </w:pPr>
            <w:r>
              <w:t>30101</w:t>
            </w:r>
          </w:p>
        </w:tc>
        <w:tc>
          <w:tcPr>
            <w:tcW w:w="4535" w:type="dxa"/>
            <w:vAlign w:val="center"/>
          </w:tcPr>
          <w:p>
            <w:pPr>
              <w:pStyle w:val="21"/>
            </w:pPr>
            <w:r>
              <w:rPr>
                <w:rFonts w:hint="eastAsia"/>
              </w:rPr>
              <w:t>基本工资</w:t>
            </w:r>
          </w:p>
        </w:tc>
        <w:tc>
          <w:tcPr>
            <w:tcW w:w="2551" w:type="dxa"/>
            <w:vAlign w:val="center"/>
          </w:tcPr>
          <w:p>
            <w:pPr>
              <w:pStyle w:val="20"/>
            </w:pPr>
            <w:r>
              <w:t>155.00</w:t>
            </w:r>
          </w:p>
        </w:tc>
        <w:tc>
          <w:tcPr>
            <w:tcW w:w="2551" w:type="dxa"/>
            <w:vAlign w:val="center"/>
          </w:tcPr>
          <w:p>
            <w:pPr>
              <w:pStyle w:val="20"/>
            </w:pPr>
            <w:r>
              <w:t>155.00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1191" w:type="dxa"/>
            <w:vAlign w:val="center"/>
          </w:tcPr>
          <w:p>
            <w:pPr>
              <w:pStyle w:val="21"/>
            </w:pPr>
            <w:r>
              <w:t>30102</w:t>
            </w:r>
          </w:p>
        </w:tc>
        <w:tc>
          <w:tcPr>
            <w:tcW w:w="4535" w:type="dxa"/>
            <w:vAlign w:val="center"/>
          </w:tcPr>
          <w:p>
            <w:pPr>
              <w:pStyle w:val="21"/>
            </w:pPr>
            <w:r>
              <w:rPr>
                <w:rFonts w:hint="eastAsia"/>
              </w:rPr>
              <w:t>津贴补贴</w:t>
            </w:r>
          </w:p>
        </w:tc>
        <w:tc>
          <w:tcPr>
            <w:tcW w:w="2551" w:type="dxa"/>
            <w:vAlign w:val="center"/>
          </w:tcPr>
          <w:p>
            <w:pPr>
              <w:pStyle w:val="20"/>
            </w:pPr>
            <w:r>
              <w:t>32.00</w:t>
            </w:r>
          </w:p>
        </w:tc>
        <w:tc>
          <w:tcPr>
            <w:tcW w:w="2551" w:type="dxa"/>
            <w:vAlign w:val="center"/>
          </w:tcPr>
          <w:p>
            <w:pPr>
              <w:pStyle w:val="20"/>
            </w:pPr>
            <w:r>
              <w:t>32.00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1191" w:type="dxa"/>
            <w:vAlign w:val="center"/>
          </w:tcPr>
          <w:p>
            <w:pPr>
              <w:pStyle w:val="21"/>
            </w:pPr>
            <w:r>
              <w:t>30103</w:t>
            </w:r>
          </w:p>
        </w:tc>
        <w:tc>
          <w:tcPr>
            <w:tcW w:w="4535" w:type="dxa"/>
            <w:vAlign w:val="center"/>
          </w:tcPr>
          <w:p>
            <w:pPr>
              <w:pStyle w:val="21"/>
            </w:pPr>
            <w:r>
              <w:rPr>
                <w:rFonts w:hint="eastAsia"/>
              </w:rPr>
              <w:t>奖金</w:t>
            </w:r>
          </w:p>
        </w:tc>
        <w:tc>
          <w:tcPr>
            <w:tcW w:w="2551" w:type="dxa"/>
            <w:vAlign w:val="center"/>
          </w:tcPr>
          <w:p>
            <w:pPr>
              <w:pStyle w:val="20"/>
            </w:pPr>
            <w:r>
              <w:t>67.40</w:t>
            </w:r>
          </w:p>
        </w:tc>
        <w:tc>
          <w:tcPr>
            <w:tcW w:w="2551" w:type="dxa"/>
            <w:vAlign w:val="center"/>
          </w:tcPr>
          <w:p>
            <w:pPr>
              <w:pStyle w:val="20"/>
            </w:pPr>
            <w:r>
              <w:t>67.40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1191" w:type="dxa"/>
            <w:vAlign w:val="center"/>
          </w:tcPr>
          <w:p>
            <w:pPr>
              <w:pStyle w:val="21"/>
            </w:pPr>
            <w:r>
              <w:t>30107</w:t>
            </w:r>
          </w:p>
        </w:tc>
        <w:tc>
          <w:tcPr>
            <w:tcW w:w="4535" w:type="dxa"/>
            <w:vAlign w:val="center"/>
          </w:tcPr>
          <w:p>
            <w:pPr>
              <w:pStyle w:val="21"/>
            </w:pPr>
            <w:r>
              <w:rPr>
                <w:rFonts w:hint="eastAsia"/>
              </w:rPr>
              <w:t>绩效工资</w:t>
            </w:r>
          </w:p>
        </w:tc>
        <w:tc>
          <w:tcPr>
            <w:tcW w:w="2551" w:type="dxa"/>
            <w:vAlign w:val="center"/>
          </w:tcPr>
          <w:p>
            <w:pPr>
              <w:pStyle w:val="20"/>
            </w:pPr>
            <w:r>
              <w:t>78.00</w:t>
            </w:r>
          </w:p>
        </w:tc>
        <w:tc>
          <w:tcPr>
            <w:tcW w:w="2551" w:type="dxa"/>
            <w:vAlign w:val="center"/>
          </w:tcPr>
          <w:p>
            <w:pPr>
              <w:pStyle w:val="20"/>
            </w:pPr>
            <w:r>
              <w:t>78.00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1191" w:type="dxa"/>
            <w:vAlign w:val="center"/>
          </w:tcPr>
          <w:p>
            <w:pPr>
              <w:pStyle w:val="21"/>
            </w:pPr>
            <w:r>
              <w:t>30108</w:t>
            </w:r>
          </w:p>
        </w:tc>
        <w:tc>
          <w:tcPr>
            <w:tcW w:w="4535" w:type="dxa"/>
            <w:vAlign w:val="center"/>
          </w:tcPr>
          <w:p>
            <w:pPr>
              <w:pStyle w:val="21"/>
            </w:pPr>
            <w:r>
              <w:rPr>
                <w:rFonts w:hint="eastAsia"/>
              </w:rPr>
              <w:t>机关事业单位基本养老保险缴费</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1191" w:type="dxa"/>
            <w:vAlign w:val="center"/>
          </w:tcPr>
          <w:p>
            <w:pPr>
              <w:pStyle w:val="21"/>
            </w:pPr>
            <w:r>
              <w:t>30110</w:t>
            </w:r>
          </w:p>
        </w:tc>
        <w:tc>
          <w:tcPr>
            <w:tcW w:w="4535" w:type="dxa"/>
            <w:vAlign w:val="center"/>
          </w:tcPr>
          <w:p>
            <w:pPr>
              <w:pStyle w:val="21"/>
            </w:pPr>
            <w:r>
              <w:rPr>
                <w:rFonts w:hint="eastAsia"/>
              </w:rPr>
              <w:t>城镇职工基本医疗保险缴费</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1191" w:type="dxa"/>
            <w:vAlign w:val="center"/>
          </w:tcPr>
          <w:p>
            <w:pPr>
              <w:pStyle w:val="21"/>
            </w:pPr>
            <w:r>
              <w:t>30112</w:t>
            </w:r>
          </w:p>
        </w:tc>
        <w:tc>
          <w:tcPr>
            <w:tcW w:w="4535" w:type="dxa"/>
            <w:vAlign w:val="center"/>
          </w:tcPr>
          <w:p>
            <w:pPr>
              <w:pStyle w:val="21"/>
            </w:pPr>
            <w:r>
              <w:rPr>
                <w:rFonts w:hint="eastAsia"/>
              </w:rPr>
              <w:t>其他社会保障缴费</w:t>
            </w:r>
          </w:p>
        </w:tc>
        <w:tc>
          <w:tcPr>
            <w:tcW w:w="2551" w:type="dxa"/>
            <w:vAlign w:val="center"/>
          </w:tcPr>
          <w:p>
            <w:pPr>
              <w:pStyle w:val="20"/>
            </w:pPr>
            <w:r>
              <w:t>3.20</w:t>
            </w:r>
          </w:p>
        </w:tc>
        <w:tc>
          <w:tcPr>
            <w:tcW w:w="2551" w:type="dxa"/>
            <w:vAlign w:val="center"/>
          </w:tcPr>
          <w:p>
            <w:pPr>
              <w:pStyle w:val="20"/>
            </w:pPr>
            <w:r>
              <w:t>3.20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1191" w:type="dxa"/>
            <w:vAlign w:val="center"/>
          </w:tcPr>
          <w:p>
            <w:pPr>
              <w:pStyle w:val="21"/>
            </w:pPr>
            <w:r>
              <w:t>302</w:t>
            </w:r>
          </w:p>
        </w:tc>
        <w:tc>
          <w:tcPr>
            <w:tcW w:w="4535" w:type="dxa"/>
            <w:vAlign w:val="center"/>
          </w:tcPr>
          <w:p>
            <w:pPr>
              <w:pStyle w:val="21"/>
            </w:pPr>
            <w:r>
              <w:rPr>
                <w:rFonts w:hint="eastAsia"/>
              </w:rPr>
              <w:t>商品和服务支出</w:t>
            </w:r>
          </w:p>
        </w:tc>
        <w:tc>
          <w:tcPr>
            <w:tcW w:w="2551" w:type="dxa"/>
            <w:vAlign w:val="center"/>
          </w:tcPr>
          <w:p>
            <w:pPr>
              <w:pStyle w:val="20"/>
            </w:pPr>
            <w:r>
              <w:t>30.00</w:t>
            </w:r>
          </w:p>
        </w:tc>
        <w:tc>
          <w:tcPr>
            <w:tcW w:w="2551" w:type="dxa"/>
            <w:vAlign w:val="center"/>
          </w:tcPr>
          <w:p>
            <w:pPr>
              <w:pStyle w:val="20"/>
            </w:pPr>
          </w:p>
        </w:tc>
        <w:tc>
          <w:tcPr>
            <w:tcW w:w="2551" w:type="dxa"/>
            <w:vAlign w:val="center"/>
          </w:tcPr>
          <w:p>
            <w:pPr>
              <w:pStyle w:val="20"/>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11</w:t>
            </w:r>
          </w:p>
        </w:tc>
        <w:tc>
          <w:tcPr>
            <w:tcW w:w="1191" w:type="dxa"/>
            <w:vAlign w:val="center"/>
          </w:tcPr>
          <w:p>
            <w:pPr>
              <w:pStyle w:val="21"/>
            </w:pPr>
            <w:r>
              <w:t>30299</w:t>
            </w:r>
          </w:p>
        </w:tc>
        <w:tc>
          <w:tcPr>
            <w:tcW w:w="4535" w:type="dxa"/>
            <w:vAlign w:val="center"/>
          </w:tcPr>
          <w:p>
            <w:pPr>
              <w:pStyle w:val="21"/>
            </w:pPr>
            <w:r>
              <w:rPr>
                <w:rFonts w:hint="eastAsia"/>
              </w:rPr>
              <w:t>其他商品和服务支出</w:t>
            </w:r>
          </w:p>
        </w:tc>
        <w:tc>
          <w:tcPr>
            <w:tcW w:w="2551" w:type="dxa"/>
            <w:vAlign w:val="center"/>
          </w:tcPr>
          <w:p>
            <w:pPr>
              <w:pStyle w:val="20"/>
            </w:pPr>
            <w:r>
              <w:t>30.00</w:t>
            </w:r>
          </w:p>
        </w:tc>
        <w:tc>
          <w:tcPr>
            <w:tcW w:w="2551" w:type="dxa"/>
            <w:vAlign w:val="center"/>
          </w:tcPr>
          <w:p>
            <w:pPr>
              <w:pStyle w:val="20"/>
            </w:pPr>
          </w:p>
        </w:tc>
        <w:tc>
          <w:tcPr>
            <w:tcW w:w="2551" w:type="dxa"/>
            <w:vAlign w:val="center"/>
          </w:tcPr>
          <w:p>
            <w:pPr>
              <w:pStyle w:val="20"/>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12</w:t>
            </w:r>
          </w:p>
        </w:tc>
        <w:tc>
          <w:tcPr>
            <w:tcW w:w="1191" w:type="dxa"/>
            <w:vAlign w:val="center"/>
          </w:tcPr>
          <w:p>
            <w:pPr>
              <w:pStyle w:val="21"/>
            </w:pPr>
            <w:r>
              <w:t>303</w:t>
            </w:r>
          </w:p>
        </w:tc>
        <w:tc>
          <w:tcPr>
            <w:tcW w:w="4535" w:type="dxa"/>
            <w:vAlign w:val="center"/>
          </w:tcPr>
          <w:p>
            <w:pPr>
              <w:pStyle w:val="21"/>
            </w:pPr>
            <w:r>
              <w:rPr>
                <w:rFonts w:hint="eastAsia"/>
              </w:rPr>
              <w:t>对个人和家庭的补助</w:t>
            </w:r>
          </w:p>
        </w:tc>
        <w:tc>
          <w:tcPr>
            <w:tcW w:w="2551" w:type="dxa"/>
            <w:vAlign w:val="center"/>
          </w:tcPr>
          <w:p>
            <w:pPr>
              <w:pStyle w:val="20"/>
            </w:pPr>
            <w:r>
              <w:t>12.10</w:t>
            </w:r>
          </w:p>
        </w:tc>
        <w:tc>
          <w:tcPr>
            <w:tcW w:w="2551" w:type="dxa"/>
            <w:vAlign w:val="center"/>
          </w:tcPr>
          <w:p>
            <w:pPr>
              <w:pStyle w:val="20"/>
            </w:pPr>
            <w:r>
              <w:t>12.10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13</w:t>
            </w:r>
          </w:p>
        </w:tc>
        <w:tc>
          <w:tcPr>
            <w:tcW w:w="1191" w:type="dxa"/>
            <w:vAlign w:val="center"/>
          </w:tcPr>
          <w:p>
            <w:pPr>
              <w:pStyle w:val="21"/>
            </w:pPr>
            <w:r>
              <w:t>30302</w:t>
            </w:r>
          </w:p>
        </w:tc>
        <w:tc>
          <w:tcPr>
            <w:tcW w:w="4535" w:type="dxa"/>
            <w:vAlign w:val="center"/>
          </w:tcPr>
          <w:p>
            <w:pPr>
              <w:pStyle w:val="21"/>
            </w:pPr>
            <w:r>
              <w:rPr>
                <w:rFonts w:hint="eastAsia"/>
              </w:rPr>
              <w:t>退休费</w:t>
            </w:r>
          </w:p>
        </w:tc>
        <w:tc>
          <w:tcPr>
            <w:tcW w:w="2551" w:type="dxa"/>
            <w:vAlign w:val="center"/>
          </w:tcPr>
          <w:p>
            <w:pPr>
              <w:pStyle w:val="20"/>
            </w:pPr>
            <w:r>
              <w:t>12.10</w:t>
            </w:r>
          </w:p>
        </w:tc>
        <w:tc>
          <w:tcPr>
            <w:tcW w:w="2551" w:type="dxa"/>
            <w:vAlign w:val="center"/>
          </w:tcPr>
          <w:p>
            <w:pPr>
              <w:pStyle w:val="20"/>
            </w:pPr>
            <w:r>
              <w:t>12.10</w:t>
            </w:r>
          </w:p>
        </w:tc>
        <w:tc>
          <w:tcPr>
            <w:tcW w:w="2551"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功能分类科目</w:t>
            </w:r>
          </w:p>
        </w:tc>
        <w:tc>
          <w:tcPr>
            <w:tcW w:w="2551" w:type="dxa"/>
            <w:vMerge w:val="restart"/>
            <w:vAlign w:val="center"/>
          </w:tcPr>
          <w:p>
            <w:pPr>
              <w:pStyle w:val="19"/>
            </w:pPr>
            <w:r>
              <w:rPr>
                <w:rFonts w:hint="eastAsia"/>
              </w:rPr>
              <w:t>合计</w:t>
            </w:r>
          </w:p>
        </w:tc>
        <w:tc>
          <w:tcPr>
            <w:tcW w:w="2551" w:type="dxa"/>
            <w:vMerge w:val="restart"/>
            <w:vAlign w:val="center"/>
          </w:tcPr>
          <w:p>
            <w:pPr>
              <w:pStyle w:val="19"/>
            </w:pPr>
            <w:r>
              <w:rPr>
                <w:rFonts w:hint="eastAsia"/>
              </w:rPr>
              <w:t>基本支出</w:t>
            </w:r>
          </w:p>
        </w:tc>
        <w:tc>
          <w:tcPr>
            <w:tcW w:w="2551" w:type="dxa"/>
            <w:vMerge w:val="restart"/>
            <w:vAlign w:val="center"/>
          </w:tcPr>
          <w:p>
            <w:pPr>
              <w:pStyle w:val="19"/>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p>
        </w:tc>
        <w:tc>
          <w:tcPr>
            <w:tcW w:w="1191" w:type="dxa"/>
            <w:vAlign w:val="center"/>
          </w:tcPr>
          <w:p>
            <w:pPr>
              <w:pStyle w:val="21"/>
            </w:pPr>
          </w:p>
        </w:tc>
        <w:tc>
          <w:tcPr>
            <w:tcW w:w="4535" w:type="dxa"/>
            <w:vAlign w:val="center"/>
          </w:tcPr>
          <w:p>
            <w:pPr>
              <w:pStyle w:val="21"/>
            </w:pPr>
          </w:p>
        </w:tc>
        <w:tc>
          <w:tcPr>
            <w:tcW w:w="2551" w:type="dxa"/>
            <w:vAlign w:val="center"/>
          </w:tcPr>
          <w:p>
            <w:pPr>
              <w:pStyle w:val="20"/>
            </w:pPr>
          </w:p>
        </w:tc>
        <w:tc>
          <w:tcPr>
            <w:tcW w:w="2551" w:type="dxa"/>
            <w:vAlign w:val="center"/>
          </w:tcPr>
          <w:p>
            <w:pPr>
              <w:pStyle w:val="20"/>
            </w:pPr>
          </w:p>
        </w:tc>
        <w:tc>
          <w:tcPr>
            <w:tcW w:w="2551" w:type="dxa"/>
            <w:vAlign w:val="center"/>
          </w:tcPr>
          <w:p>
            <w:pPr>
              <w:pStyle w:val="20"/>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功能分类科目</w:t>
            </w:r>
          </w:p>
        </w:tc>
        <w:tc>
          <w:tcPr>
            <w:tcW w:w="2551" w:type="dxa"/>
            <w:vMerge w:val="restart"/>
            <w:vAlign w:val="center"/>
          </w:tcPr>
          <w:p>
            <w:pPr>
              <w:pStyle w:val="19"/>
            </w:pPr>
            <w:r>
              <w:rPr>
                <w:rFonts w:hint="eastAsia"/>
              </w:rPr>
              <w:t>合计</w:t>
            </w:r>
          </w:p>
        </w:tc>
        <w:tc>
          <w:tcPr>
            <w:tcW w:w="2551" w:type="dxa"/>
            <w:vMerge w:val="restart"/>
            <w:vAlign w:val="center"/>
          </w:tcPr>
          <w:p>
            <w:pPr>
              <w:pStyle w:val="19"/>
            </w:pPr>
            <w:r>
              <w:rPr>
                <w:rFonts w:hint="eastAsia"/>
              </w:rPr>
              <w:t>基本支出</w:t>
            </w:r>
          </w:p>
        </w:tc>
        <w:tc>
          <w:tcPr>
            <w:tcW w:w="2551" w:type="dxa"/>
            <w:vMerge w:val="restart"/>
            <w:vAlign w:val="center"/>
          </w:tcPr>
          <w:p>
            <w:pPr>
              <w:pStyle w:val="19"/>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p>
        </w:tc>
        <w:tc>
          <w:tcPr>
            <w:tcW w:w="1191" w:type="dxa"/>
            <w:vAlign w:val="center"/>
          </w:tcPr>
          <w:p>
            <w:pPr>
              <w:pStyle w:val="21"/>
            </w:pPr>
          </w:p>
        </w:tc>
        <w:tc>
          <w:tcPr>
            <w:tcW w:w="4535" w:type="dxa"/>
            <w:vAlign w:val="center"/>
          </w:tcPr>
          <w:p>
            <w:pPr>
              <w:pStyle w:val="21"/>
            </w:pPr>
          </w:p>
        </w:tc>
        <w:tc>
          <w:tcPr>
            <w:tcW w:w="2551" w:type="dxa"/>
            <w:vAlign w:val="center"/>
          </w:tcPr>
          <w:p>
            <w:pPr>
              <w:pStyle w:val="20"/>
            </w:pPr>
          </w:p>
        </w:tc>
        <w:tc>
          <w:tcPr>
            <w:tcW w:w="2551" w:type="dxa"/>
            <w:vAlign w:val="center"/>
          </w:tcPr>
          <w:p>
            <w:pPr>
              <w:pStyle w:val="20"/>
            </w:pPr>
          </w:p>
        </w:tc>
        <w:tc>
          <w:tcPr>
            <w:tcW w:w="2551" w:type="dxa"/>
            <w:vAlign w:val="center"/>
          </w:tcPr>
          <w:p>
            <w:pPr>
              <w:pStyle w:val="20"/>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10"/>
        <w:tblW w:w="143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0"/>
        <w:gridCol w:w="3842"/>
        <w:gridCol w:w="2410"/>
        <w:gridCol w:w="2409"/>
        <w:gridCol w:w="2409"/>
        <w:gridCol w:w="24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5" w:hRule="atLeast"/>
          <w:tblHeader/>
          <w:jc w:val="center"/>
        </w:trPr>
        <w:tc>
          <w:tcPr>
            <w:tcW w:w="7112" w:type="dxa"/>
            <w:gridSpan w:val="3"/>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rPr>
            </w:pPr>
            <w:r>
              <w:t>59</w:t>
            </w:r>
            <w:r>
              <w:rPr>
                <w:rFonts w:hint="eastAsia"/>
              </w:rPr>
              <w:t>无极县融媒体中心（无极县广播电视台）</w:t>
            </w:r>
          </w:p>
        </w:tc>
        <w:tc>
          <w:tcPr>
            <w:tcW w:w="2409"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lang w:eastAsia="zh-CN"/>
              </w:rPr>
            </w:pPr>
            <w:r>
              <w:rPr>
                <w:rFonts w:hint="eastAsia" w:ascii="方正小标宋_GBK" w:eastAsia="方正小标宋_GBK"/>
              </w:rPr>
              <w:t>预算年度：</w:t>
            </w:r>
            <w:r>
              <w:rPr>
                <w:rFonts w:ascii="方正小标宋_GBK" w:eastAsia="方正小标宋_GBK"/>
              </w:rPr>
              <w:t>202</w:t>
            </w:r>
            <w:r>
              <w:rPr>
                <w:rFonts w:ascii="方正小标宋_GBK" w:eastAsia="方正小标宋_GBK"/>
                <w:lang w:eastAsia="zh-CN"/>
              </w:rPr>
              <w:t>2</w:t>
            </w:r>
          </w:p>
        </w:tc>
        <w:tc>
          <w:tcPr>
            <w:tcW w:w="4818"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rPr>
            </w:pPr>
            <w:r>
              <w:rPr>
                <w:rFonts w:hint="eastAsia" w:ascii="方正小标宋_GBK" w:eastAsia="方正小标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5" w:hRule="atLeast"/>
          <w:tblHeader/>
          <w:jc w:val="center"/>
        </w:trPr>
        <w:tc>
          <w:tcPr>
            <w:tcW w:w="86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842"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637"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tblHeader/>
          <w:jc w:val="center"/>
        </w:trPr>
        <w:tc>
          <w:tcPr>
            <w:tcW w:w="860" w:type="dxa"/>
            <w:vMerge w:val="continue"/>
            <w:vAlign w:val="center"/>
          </w:tcPr>
          <w:p>
            <w:pPr>
              <w:spacing w:line="300" w:lineRule="exact"/>
              <w:outlineLvl w:val="1"/>
            </w:pPr>
          </w:p>
        </w:tc>
        <w:tc>
          <w:tcPr>
            <w:tcW w:w="3842" w:type="dxa"/>
            <w:vMerge w:val="continue"/>
            <w:vAlign w:val="center"/>
          </w:tcPr>
          <w:p>
            <w:pPr>
              <w:spacing w:line="300" w:lineRule="exact"/>
              <w:outlineLvl w:val="1"/>
            </w:pPr>
          </w:p>
        </w:tc>
        <w:tc>
          <w:tcPr>
            <w:tcW w:w="2410"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409"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409"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409"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tblHeader/>
          <w:jc w:val="center"/>
        </w:trPr>
        <w:tc>
          <w:tcPr>
            <w:tcW w:w="86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842" w:type="dxa"/>
            <w:vAlign w:val="center"/>
          </w:tcPr>
          <w:p>
            <w:pPr>
              <w:spacing w:line="300" w:lineRule="exact"/>
              <w:jc w:val="center"/>
              <w:rPr>
                <w:rFonts w:ascii="方正书宋_GBK" w:eastAsia="方正书宋_GBK"/>
                <w:b/>
              </w:rPr>
            </w:pPr>
            <w:r>
              <w:rPr>
                <w:rFonts w:ascii="方正书宋_GBK" w:eastAsia="方正书宋_GBK"/>
                <w:b/>
              </w:rPr>
              <w:t>1</w:t>
            </w:r>
          </w:p>
        </w:tc>
        <w:tc>
          <w:tcPr>
            <w:tcW w:w="2410" w:type="dxa"/>
            <w:vAlign w:val="center"/>
          </w:tcPr>
          <w:p>
            <w:pPr>
              <w:spacing w:line="300" w:lineRule="exact"/>
              <w:jc w:val="center"/>
              <w:rPr>
                <w:rFonts w:ascii="方正书宋_GBK" w:eastAsia="方正书宋_GBK"/>
                <w:b/>
              </w:rPr>
            </w:pPr>
            <w:r>
              <w:rPr>
                <w:rFonts w:ascii="方正书宋_GBK" w:eastAsia="方正书宋_GBK"/>
                <w:b/>
              </w:rPr>
              <w:t>2</w:t>
            </w:r>
          </w:p>
        </w:tc>
        <w:tc>
          <w:tcPr>
            <w:tcW w:w="2409" w:type="dxa"/>
            <w:vAlign w:val="center"/>
          </w:tcPr>
          <w:p>
            <w:pPr>
              <w:spacing w:line="300" w:lineRule="exact"/>
              <w:jc w:val="center"/>
              <w:rPr>
                <w:rFonts w:ascii="方正书宋_GBK" w:eastAsia="方正书宋_GBK"/>
                <w:b/>
              </w:rPr>
            </w:pPr>
            <w:r>
              <w:rPr>
                <w:rFonts w:ascii="方正书宋_GBK" w:eastAsia="方正书宋_GBK"/>
                <w:b/>
              </w:rPr>
              <w:t>3</w:t>
            </w:r>
          </w:p>
        </w:tc>
        <w:tc>
          <w:tcPr>
            <w:tcW w:w="2409" w:type="dxa"/>
            <w:vAlign w:val="center"/>
          </w:tcPr>
          <w:p>
            <w:pPr>
              <w:spacing w:line="300" w:lineRule="exact"/>
              <w:jc w:val="center"/>
              <w:rPr>
                <w:rFonts w:ascii="方正书宋_GBK" w:eastAsia="方正书宋_GBK"/>
                <w:b/>
              </w:rPr>
            </w:pPr>
            <w:r>
              <w:rPr>
                <w:rFonts w:ascii="方正书宋_GBK" w:eastAsia="方正书宋_GBK"/>
                <w:b/>
              </w:rPr>
              <w:t>4</w:t>
            </w:r>
          </w:p>
        </w:tc>
        <w:tc>
          <w:tcPr>
            <w:tcW w:w="2409"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jc w:val="center"/>
        </w:trPr>
        <w:tc>
          <w:tcPr>
            <w:tcW w:w="860" w:type="dxa"/>
            <w:vAlign w:val="center"/>
          </w:tcPr>
          <w:p>
            <w:pPr>
              <w:spacing w:line="300" w:lineRule="exact"/>
              <w:jc w:val="center"/>
              <w:rPr>
                <w:rFonts w:ascii="方正书宋_GBK" w:eastAsia="方正书宋_GBK"/>
              </w:rPr>
            </w:pPr>
            <w:r>
              <w:rPr>
                <w:rFonts w:ascii="方正书宋_GBK" w:eastAsia="方正书宋_GBK"/>
              </w:rPr>
              <w:t>1</w:t>
            </w:r>
          </w:p>
        </w:tc>
        <w:tc>
          <w:tcPr>
            <w:tcW w:w="384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410"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2.8</w:t>
            </w:r>
          </w:p>
        </w:tc>
        <w:tc>
          <w:tcPr>
            <w:tcW w:w="2409"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2.8</w:t>
            </w:r>
          </w:p>
        </w:tc>
        <w:tc>
          <w:tcPr>
            <w:tcW w:w="2409" w:type="dxa"/>
            <w:vAlign w:val="center"/>
          </w:tcPr>
          <w:p>
            <w:pPr>
              <w:spacing w:line="300" w:lineRule="exact"/>
              <w:jc w:val="right"/>
              <w:rPr>
                <w:rFonts w:ascii="方正书宋_GBK" w:eastAsia="方正书宋_GBK"/>
                <w:b/>
              </w:rPr>
            </w:pPr>
          </w:p>
        </w:tc>
        <w:tc>
          <w:tcPr>
            <w:tcW w:w="2409"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jc w:val="center"/>
        </w:trPr>
        <w:tc>
          <w:tcPr>
            <w:tcW w:w="860" w:type="dxa"/>
            <w:vAlign w:val="center"/>
          </w:tcPr>
          <w:p>
            <w:pPr>
              <w:spacing w:line="300" w:lineRule="exact"/>
              <w:jc w:val="center"/>
              <w:rPr>
                <w:rFonts w:ascii="方正书宋_GBK" w:eastAsia="方正书宋_GBK"/>
              </w:rPr>
            </w:pPr>
            <w:r>
              <w:rPr>
                <w:rFonts w:ascii="方正书宋_GBK" w:eastAsia="方正书宋_GBK"/>
              </w:rPr>
              <w:t>2</w:t>
            </w:r>
          </w:p>
        </w:tc>
        <w:tc>
          <w:tcPr>
            <w:tcW w:w="3842" w:type="dxa"/>
            <w:vAlign w:val="center"/>
          </w:tcPr>
          <w:p>
            <w:pPr>
              <w:spacing w:line="300" w:lineRule="exact"/>
              <w:rPr>
                <w:rFonts w:ascii="方正书宋_GBK" w:eastAsia="方正书宋_GBK"/>
              </w:rPr>
            </w:pPr>
            <w:r>
              <w:rPr>
                <w:rFonts w:hint="eastAsia" w:ascii="方正书宋_GBK" w:eastAsia="方正书宋_GBK"/>
              </w:rPr>
              <w:t>一、因公出国（境）费</w:t>
            </w:r>
          </w:p>
        </w:tc>
        <w:tc>
          <w:tcPr>
            <w:tcW w:w="2410"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jc w:val="center"/>
        </w:trPr>
        <w:tc>
          <w:tcPr>
            <w:tcW w:w="860" w:type="dxa"/>
            <w:vAlign w:val="center"/>
          </w:tcPr>
          <w:p>
            <w:pPr>
              <w:spacing w:line="300" w:lineRule="exact"/>
              <w:jc w:val="center"/>
              <w:rPr>
                <w:rFonts w:ascii="方正书宋_GBK" w:eastAsia="方正书宋_GBK"/>
              </w:rPr>
            </w:pPr>
            <w:r>
              <w:rPr>
                <w:rFonts w:ascii="方正书宋_GBK" w:eastAsia="方正书宋_GBK"/>
              </w:rPr>
              <w:t>3</w:t>
            </w:r>
          </w:p>
        </w:tc>
        <w:tc>
          <w:tcPr>
            <w:tcW w:w="3842" w:type="dxa"/>
            <w:vAlign w:val="center"/>
          </w:tcPr>
          <w:p>
            <w:pPr>
              <w:spacing w:line="300" w:lineRule="exact"/>
              <w:rPr>
                <w:rFonts w:ascii="方正书宋_GBK" w:eastAsia="方正书宋_GBK"/>
              </w:rPr>
            </w:pPr>
            <w:r>
              <w:rPr>
                <w:rFonts w:hint="eastAsia" w:ascii="方正书宋_GBK" w:eastAsia="方正书宋_GBK"/>
              </w:rPr>
              <w:t>二、公务用车购置及运维费</w:t>
            </w:r>
          </w:p>
        </w:tc>
        <w:tc>
          <w:tcPr>
            <w:tcW w:w="2410"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2.8</w:t>
            </w:r>
          </w:p>
        </w:tc>
        <w:tc>
          <w:tcPr>
            <w:tcW w:w="2409"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2.8</w:t>
            </w: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jc w:val="center"/>
        </w:trPr>
        <w:tc>
          <w:tcPr>
            <w:tcW w:w="860" w:type="dxa"/>
            <w:vAlign w:val="center"/>
          </w:tcPr>
          <w:p>
            <w:pPr>
              <w:spacing w:line="300" w:lineRule="exact"/>
              <w:jc w:val="center"/>
              <w:rPr>
                <w:rFonts w:ascii="方正书宋_GBK" w:eastAsia="方正书宋_GBK"/>
              </w:rPr>
            </w:pPr>
            <w:r>
              <w:rPr>
                <w:rFonts w:ascii="方正书宋_GBK" w:eastAsia="方正书宋_GBK"/>
              </w:rPr>
              <w:t>4</w:t>
            </w:r>
          </w:p>
        </w:tc>
        <w:tc>
          <w:tcPr>
            <w:tcW w:w="3842" w:type="dxa"/>
            <w:vAlign w:val="center"/>
          </w:tcPr>
          <w:p>
            <w:pPr>
              <w:spacing w:line="300" w:lineRule="exact"/>
              <w:rPr>
                <w:rFonts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410"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jc w:val="center"/>
        </w:trPr>
        <w:tc>
          <w:tcPr>
            <w:tcW w:w="860" w:type="dxa"/>
            <w:vAlign w:val="center"/>
          </w:tcPr>
          <w:p>
            <w:pPr>
              <w:spacing w:line="300" w:lineRule="exact"/>
              <w:jc w:val="center"/>
              <w:rPr>
                <w:rFonts w:ascii="方正书宋_GBK" w:eastAsia="方正书宋_GBK"/>
              </w:rPr>
            </w:pPr>
            <w:r>
              <w:rPr>
                <w:rFonts w:ascii="方正书宋_GBK" w:eastAsia="方正书宋_GBK"/>
              </w:rPr>
              <w:t>5</w:t>
            </w:r>
          </w:p>
        </w:tc>
        <w:tc>
          <w:tcPr>
            <w:tcW w:w="3842" w:type="dxa"/>
            <w:vAlign w:val="center"/>
          </w:tcPr>
          <w:p>
            <w:pPr>
              <w:spacing w:line="300" w:lineRule="exac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410"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2.8</w:t>
            </w:r>
          </w:p>
        </w:tc>
        <w:tc>
          <w:tcPr>
            <w:tcW w:w="2409"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2.8</w:t>
            </w: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6" w:hRule="atLeast"/>
          <w:jc w:val="center"/>
        </w:trPr>
        <w:tc>
          <w:tcPr>
            <w:tcW w:w="860" w:type="dxa"/>
            <w:vAlign w:val="center"/>
          </w:tcPr>
          <w:p>
            <w:pPr>
              <w:spacing w:line="300" w:lineRule="exact"/>
              <w:jc w:val="center"/>
              <w:rPr>
                <w:rFonts w:ascii="方正书宋_GBK" w:eastAsia="方正书宋_GBK"/>
              </w:rPr>
            </w:pPr>
            <w:r>
              <w:rPr>
                <w:rFonts w:ascii="方正书宋_GBK" w:eastAsia="方正书宋_GBK"/>
              </w:rPr>
              <w:t>6</w:t>
            </w:r>
          </w:p>
        </w:tc>
        <w:tc>
          <w:tcPr>
            <w:tcW w:w="3842" w:type="dxa"/>
            <w:vAlign w:val="center"/>
          </w:tcPr>
          <w:p>
            <w:pPr>
              <w:spacing w:line="300" w:lineRule="exact"/>
              <w:rPr>
                <w:rFonts w:ascii="方正书宋_GBK" w:eastAsia="方正书宋_GBK"/>
              </w:rPr>
            </w:pPr>
            <w:r>
              <w:rPr>
                <w:rFonts w:hint="eastAsia" w:ascii="方正书宋_GBK" w:eastAsia="方正书宋_GBK"/>
              </w:rPr>
              <w:t>三、公务接待费</w:t>
            </w:r>
          </w:p>
        </w:tc>
        <w:tc>
          <w:tcPr>
            <w:tcW w:w="2410"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c>
          <w:tcPr>
            <w:tcW w:w="2409"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tblHeader/>
          <w:jc w:val="center"/>
        </w:trPr>
        <w:tc>
          <w:tcPr>
            <w:tcW w:w="7112" w:type="dxa"/>
            <w:gridSpan w:val="3"/>
            <w:tcBorders>
              <w:top w:val="single" w:color="FFFFFF" w:sz="6" w:space="0"/>
              <w:left w:val="single" w:color="FFFFFF" w:sz="6" w:space="0"/>
              <w:right w:val="single" w:color="FFFFFF" w:sz="6" w:space="0"/>
            </w:tcBorders>
            <w:vAlign w:val="center"/>
          </w:tcPr>
          <w:p>
            <w:pPr>
              <w:pStyle w:val="18"/>
            </w:pPr>
          </w:p>
        </w:tc>
        <w:tc>
          <w:tcPr>
            <w:tcW w:w="2409" w:type="dxa"/>
            <w:tcBorders>
              <w:top w:val="single" w:color="FFFFFF" w:sz="6" w:space="0"/>
              <w:left w:val="single" w:color="FFFFFF" w:sz="6" w:space="0"/>
              <w:right w:val="single" w:color="FFFFFF" w:sz="6" w:space="0"/>
            </w:tcBorders>
            <w:vAlign w:val="center"/>
          </w:tcPr>
          <w:p>
            <w:pPr>
              <w:pStyle w:val="17"/>
            </w:pPr>
          </w:p>
        </w:tc>
        <w:tc>
          <w:tcPr>
            <w:tcW w:w="4818" w:type="dxa"/>
            <w:gridSpan w:val="2"/>
            <w:tcBorders>
              <w:top w:val="single" w:color="FFFFFF" w:sz="6" w:space="0"/>
              <w:left w:val="single" w:color="FFFFFF" w:sz="6" w:space="0"/>
              <w:right w:val="single" w:color="FFFFFF" w:sz="6" w:space="0"/>
            </w:tcBorders>
            <w:vAlign w:val="center"/>
          </w:tcPr>
          <w:p>
            <w:pPr>
              <w:pStyle w:val="16"/>
            </w:pPr>
          </w:p>
        </w:tc>
      </w:tr>
    </w:tbl>
    <w:p>
      <w:pPr>
        <w:outlineLvl w:val="0"/>
        <w:rPr>
          <w:lang w:eastAsia="zh-CN"/>
        </w:rPr>
        <w:sectPr>
          <w:pgSz w:w="16840" w:h="11900" w:orient="landscape"/>
          <w:pgMar w:top="1361" w:right="1020" w:bottom="1361" w:left="1020" w:header="720" w:footer="720" w:gutter="0"/>
          <w:cols w:space="720" w:num="1"/>
        </w:sectPr>
      </w:pPr>
    </w:p>
    <w:p>
      <w:pPr>
        <w:jc w:val="center"/>
      </w:pPr>
      <w:r>
        <w:rPr>
          <w:rFonts w:hint="eastAsia" w:ascii="方正小标宋_GBK" w:hAnsi="方正小标宋_GBK" w:eastAsia="方正小标宋_GBK" w:cs="方正小标宋_GBK"/>
          <w:color w:val="000000"/>
          <w:sz w:val="44"/>
        </w:rPr>
        <w:t>无极县融媒体中心（无极县广播电视台）</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、《地方预决算公开操作规程》和《关于进一步推进预算公开工作的实施意见》规定，现将无极县融媒体中心（无极县广播电视台）</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6"/>
      </w:pPr>
      <w:r>
        <w:rPr>
          <w:rFonts w:hint="eastAsia"/>
        </w:rPr>
        <w:t>部门职责：</w:t>
      </w:r>
    </w:p>
    <w:p>
      <w:pPr>
        <w:pStyle w:val="26"/>
      </w:pPr>
      <w:r>
        <w:rPr>
          <w:rFonts w:hint="eastAsia"/>
        </w:rPr>
        <w:t>负责县域内各类新闻资讯的采集和编辑；</w:t>
      </w:r>
    </w:p>
    <w:p>
      <w:pPr>
        <w:pStyle w:val="26"/>
      </w:pPr>
      <w:r>
        <w:rPr>
          <w:rFonts w:hint="eastAsia"/>
        </w:rPr>
        <w:t>宣传上级党委、政府的决策部署，中心工作及重点工作，宣传本地党委和政府工作安排，传播本地政经资讯；</w:t>
      </w:r>
    </w:p>
    <w:p>
      <w:pPr>
        <w:pStyle w:val="26"/>
      </w:pPr>
      <w:r>
        <w:rPr>
          <w:rFonts w:hint="eastAsia"/>
        </w:rPr>
        <w:t>向基层干部群众提供政务服务、生活服务、社会传播、教育培训等综合服务。</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9"/>
            </w:pPr>
            <w:r>
              <w:rPr>
                <w:rFonts w:hint="eastAsia"/>
              </w:rPr>
              <w:t>单位名称</w:t>
            </w:r>
          </w:p>
        </w:tc>
        <w:tc>
          <w:tcPr>
            <w:tcW w:w="1843" w:type="dxa"/>
            <w:vAlign w:val="center"/>
          </w:tcPr>
          <w:p>
            <w:pPr>
              <w:pStyle w:val="19"/>
            </w:pPr>
            <w:r>
              <w:rPr>
                <w:rFonts w:hint="eastAsia"/>
              </w:rPr>
              <w:t>单位性质</w:t>
            </w:r>
          </w:p>
        </w:tc>
        <w:tc>
          <w:tcPr>
            <w:tcW w:w="2126" w:type="dxa"/>
            <w:vAlign w:val="center"/>
          </w:tcPr>
          <w:p>
            <w:pPr>
              <w:pStyle w:val="19"/>
            </w:pPr>
            <w:r>
              <w:rPr>
                <w:rFonts w:hint="eastAsia"/>
              </w:rPr>
              <w:t>单位规格</w:t>
            </w:r>
          </w:p>
        </w:tc>
        <w:tc>
          <w:tcPr>
            <w:tcW w:w="3827" w:type="dxa"/>
            <w:vAlign w:val="center"/>
          </w:tcPr>
          <w:p>
            <w:pPr>
              <w:pStyle w:val="19"/>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21"/>
            </w:pPr>
            <w:r>
              <w:rPr>
                <w:rFonts w:hint="eastAsia"/>
              </w:rPr>
              <w:t>无极县融媒体中心</w:t>
            </w:r>
            <w:r>
              <w:t>(</w:t>
            </w:r>
            <w:r>
              <w:rPr>
                <w:rFonts w:hint="eastAsia"/>
              </w:rPr>
              <w:t>无极县广播电视台</w:t>
            </w:r>
            <w:r>
              <w:t>)</w:t>
            </w:r>
            <w:r>
              <w:rPr>
                <w:rFonts w:hint="eastAsia"/>
              </w:rPr>
              <w:t>本级</w:t>
            </w:r>
          </w:p>
        </w:tc>
        <w:tc>
          <w:tcPr>
            <w:tcW w:w="1843" w:type="dxa"/>
            <w:vAlign w:val="center"/>
          </w:tcPr>
          <w:p>
            <w:pPr>
              <w:pStyle w:val="22"/>
            </w:pPr>
            <w:r>
              <w:rPr>
                <w:rFonts w:hint="eastAsia"/>
              </w:rPr>
              <w:t>事业</w:t>
            </w:r>
          </w:p>
        </w:tc>
        <w:tc>
          <w:tcPr>
            <w:tcW w:w="2126" w:type="dxa"/>
            <w:vAlign w:val="center"/>
          </w:tcPr>
          <w:p>
            <w:pPr>
              <w:pStyle w:val="22"/>
            </w:pPr>
            <w:r>
              <w:rPr>
                <w:rFonts w:hint="eastAsia"/>
              </w:rPr>
              <w:t>正科级</w:t>
            </w:r>
          </w:p>
        </w:tc>
        <w:tc>
          <w:tcPr>
            <w:tcW w:w="3827" w:type="dxa"/>
            <w:vAlign w:val="center"/>
          </w:tcPr>
          <w:p>
            <w:pPr>
              <w:pStyle w:val="22"/>
            </w:pPr>
            <w:r>
              <w:rPr>
                <w:rFonts w:hint="eastAsia"/>
              </w:rPr>
              <w:t>财政性资金基本保证</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按照预算管理有关规定，目前我县部门预算的编制实行综合预算管理，即全部收入和支出都反映在预算中。</w:t>
      </w:r>
    </w:p>
    <w:p>
      <w:pPr>
        <w:pStyle w:val="27"/>
        <w:rPr>
          <w:lang w:eastAsia="zh-CN"/>
        </w:rPr>
      </w:pP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w:t>
      </w:r>
      <w:r>
        <w:rPr>
          <w:rFonts w:eastAsia="方正仿宋_GBK"/>
          <w:color w:val="000000"/>
          <w:sz w:val="28"/>
        </w:rPr>
        <w:t>2022</w:t>
      </w:r>
      <w:r>
        <w:rPr>
          <w:rFonts w:hint="eastAsia" w:eastAsia="方正仿宋_GBK"/>
          <w:color w:val="000000"/>
          <w:sz w:val="28"/>
        </w:rPr>
        <w:t>年预算收入</w:t>
      </w:r>
      <w:r>
        <w:rPr>
          <w:rFonts w:eastAsia="方正仿宋_GBK"/>
          <w:color w:val="000000"/>
          <w:sz w:val="28"/>
          <w:lang w:eastAsia="zh-CN"/>
        </w:rPr>
        <w:t>555.5</w:t>
      </w:r>
      <w:r>
        <w:rPr>
          <w:rFonts w:hint="eastAsia" w:eastAsia="方正仿宋_GBK"/>
          <w:color w:val="000000"/>
          <w:sz w:val="28"/>
        </w:rPr>
        <w:t>万元，其中：一般公共预算拨款</w:t>
      </w:r>
      <w:r>
        <w:rPr>
          <w:rFonts w:eastAsia="方正仿宋_GBK"/>
          <w:color w:val="000000"/>
          <w:sz w:val="28"/>
          <w:lang w:eastAsia="zh-CN"/>
        </w:rPr>
        <w:t>555.5</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pStyle w:val="27"/>
      </w:pPr>
      <w:r>
        <w:rPr>
          <w:rFonts w:hint="eastAsia"/>
          <w:color w:val="000000"/>
        </w:rPr>
        <w:t>收支预算总表支出栏、基本支出表、项目支出表按经济分类和支出功能分类科目编制，反映</w:t>
      </w:r>
      <w:r>
        <w:rPr>
          <w:rFonts w:hint="eastAsia"/>
        </w:rPr>
        <w:t>无极县融媒体中心</w:t>
      </w:r>
      <w:r>
        <w:t>(</w:t>
      </w:r>
      <w:r>
        <w:rPr>
          <w:rFonts w:hint="eastAsia"/>
        </w:rPr>
        <w:t>无极县广播电视台</w:t>
      </w:r>
      <w:r>
        <w:t>)</w:t>
      </w:r>
      <w:r>
        <w:rPr>
          <w:rFonts w:hint="eastAsia"/>
          <w:color w:val="000000"/>
        </w:rPr>
        <w:t>年度部门预算中支出预算的总体情况。</w:t>
      </w:r>
      <w:r>
        <w:rPr>
          <w:color w:val="000000"/>
        </w:rPr>
        <w:t>2022</w:t>
      </w:r>
      <w:r>
        <w:rPr>
          <w:rFonts w:hint="eastAsia"/>
          <w:color w:val="000000"/>
        </w:rPr>
        <w:t>年部门支出预算为</w:t>
      </w:r>
      <w:r>
        <w:rPr>
          <w:color w:val="000000"/>
          <w:lang w:eastAsia="zh-CN"/>
        </w:rPr>
        <w:t>555.5</w:t>
      </w:r>
      <w:r>
        <w:rPr>
          <w:rFonts w:hint="eastAsia"/>
          <w:color w:val="000000"/>
        </w:rPr>
        <w:t>万元，其中基本支出</w:t>
      </w:r>
      <w:r>
        <w:rPr>
          <w:color w:val="000000"/>
          <w:lang w:eastAsia="zh-CN"/>
        </w:rPr>
        <w:t>441.8</w:t>
      </w:r>
      <w:r>
        <w:rPr>
          <w:rFonts w:hint="eastAsia"/>
          <w:color w:val="000000"/>
        </w:rPr>
        <w:t>元，包括人员经费</w:t>
      </w:r>
      <w:r>
        <w:rPr>
          <w:color w:val="000000"/>
          <w:lang w:eastAsia="zh-CN"/>
        </w:rPr>
        <w:t>411.8</w:t>
      </w:r>
      <w:r>
        <w:rPr>
          <w:rFonts w:hint="eastAsia"/>
          <w:color w:val="000000"/>
        </w:rPr>
        <w:t>万元和日常公用经费</w:t>
      </w:r>
      <w:r>
        <w:rPr>
          <w:color w:val="000000"/>
          <w:lang w:eastAsia="zh-CN"/>
        </w:rPr>
        <w:t>30</w:t>
      </w:r>
      <w:r>
        <w:rPr>
          <w:rFonts w:hint="eastAsia"/>
          <w:color w:val="000000"/>
        </w:rPr>
        <w:t>万元；项目支出</w:t>
      </w:r>
      <w:r>
        <w:rPr>
          <w:color w:val="000000"/>
          <w:lang w:eastAsia="zh-CN"/>
        </w:rPr>
        <w:t>113.7</w:t>
      </w:r>
      <w:r>
        <w:rPr>
          <w:rFonts w:hint="eastAsia"/>
          <w:color w:val="000000"/>
        </w:rPr>
        <w:t>万元，主要为</w:t>
      </w:r>
      <w:r>
        <w:rPr>
          <w:rFonts w:hint="eastAsia"/>
        </w:rPr>
        <w:t>无极之声报刊费</w:t>
      </w:r>
      <w:r>
        <w:t>10</w:t>
      </w:r>
      <w:r>
        <w:rPr>
          <w:rFonts w:hint="eastAsia"/>
        </w:rPr>
        <w:t>万元，县级文化公共体系建设资金</w:t>
      </w:r>
      <w:r>
        <w:t>40</w:t>
      </w:r>
      <w:r>
        <w:rPr>
          <w:rFonts w:hint="eastAsia"/>
        </w:rPr>
        <w:t>万元，省市栏目配套资金</w:t>
      </w:r>
      <w:r>
        <w:t>20</w:t>
      </w:r>
      <w:r>
        <w:rPr>
          <w:rFonts w:hint="eastAsia"/>
        </w:rPr>
        <w:t>万元，新闻采编播辅助人员经费</w:t>
      </w:r>
      <w:r>
        <w:t>9</w:t>
      </w:r>
      <w:r>
        <w:rPr>
          <w:rFonts w:hint="eastAsia"/>
        </w:rPr>
        <w:t>万元，台聘人员绩效增资资金</w:t>
      </w:r>
      <w:r>
        <w:t>11</w:t>
      </w:r>
      <w:r>
        <w:rPr>
          <w:rFonts w:hint="eastAsia"/>
        </w:rPr>
        <w:t>万元</w:t>
      </w:r>
      <w:r>
        <w:rPr>
          <w:rFonts w:hint="eastAsia"/>
          <w:lang w:eastAsia="zh-CN"/>
        </w:rPr>
        <w:t>，中央补助地方</w:t>
      </w:r>
      <w:r>
        <w:rPr>
          <w:lang w:eastAsia="zh-CN"/>
        </w:rPr>
        <w:t>23.7</w:t>
      </w:r>
      <w:r>
        <w:rPr>
          <w:rFonts w:hint="eastAsia"/>
          <w:lang w:eastAsia="zh-CN"/>
        </w:rPr>
        <w:t>万元</w:t>
      </w:r>
      <w:r>
        <w:rPr>
          <w:rFonts w:hint="eastAsia"/>
        </w:rPr>
        <w:t>。</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rFonts w:eastAsia="方正仿宋_GBK"/>
          <w:color w:val="000000"/>
          <w:sz w:val="28"/>
          <w:lang w:eastAsia="zh-CN"/>
        </w:rPr>
      </w:pPr>
      <w:r>
        <w:rPr>
          <w:rFonts w:eastAsia="方正仿宋_GBK"/>
          <w:color w:val="000000"/>
          <w:sz w:val="28"/>
        </w:rPr>
        <w:t>2022</w:t>
      </w:r>
      <w:r>
        <w:rPr>
          <w:rFonts w:hint="eastAsia" w:eastAsia="方正仿宋_GBK"/>
          <w:color w:val="000000"/>
          <w:sz w:val="28"/>
        </w:rPr>
        <w:t>年部门预算支出较</w:t>
      </w:r>
      <w:r>
        <w:rPr>
          <w:rFonts w:eastAsia="方正仿宋_GBK"/>
          <w:color w:val="000000"/>
          <w:sz w:val="28"/>
        </w:rPr>
        <w:t>2021</w:t>
      </w:r>
      <w:r>
        <w:rPr>
          <w:rFonts w:hint="eastAsia" w:eastAsia="方正仿宋_GBK"/>
          <w:color w:val="000000"/>
          <w:sz w:val="28"/>
        </w:rPr>
        <w:t>年增加</w:t>
      </w:r>
      <w:r>
        <w:rPr>
          <w:rFonts w:eastAsia="方正仿宋_GBK"/>
          <w:color w:val="000000"/>
          <w:sz w:val="28"/>
          <w:lang w:eastAsia="zh-CN"/>
        </w:rPr>
        <w:t>47.84</w:t>
      </w:r>
      <w:r>
        <w:rPr>
          <w:rFonts w:hint="eastAsia" w:eastAsia="方正仿宋_GBK"/>
          <w:color w:val="000000"/>
          <w:sz w:val="28"/>
        </w:rPr>
        <w:t>万元，其中：基本支出增加</w:t>
      </w:r>
      <w:r>
        <w:rPr>
          <w:rFonts w:eastAsia="方正仿宋_GBK"/>
          <w:color w:val="000000"/>
          <w:sz w:val="28"/>
          <w:lang w:eastAsia="zh-CN"/>
        </w:rPr>
        <w:t>47.84</w:t>
      </w:r>
      <w:r>
        <w:rPr>
          <w:rFonts w:hint="eastAsia" w:eastAsia="方正仿宋_GBK"/>
          <w:color w:val="000000"/>
          <w:sz w:val="28"/>
        </w:rPr>
        <w:t>万元，主要是增加人员经费支出；项目支出增加</w:t>
      </w:r>
      <w:r>
        <w:rPr>
          <w:rFonts w:eastAsia="方正仿宋_GBK"/>
          <w:color w:val="000000"/>
          <w:sz w:val="28"/>
          <w:lang w:eastAsia="zh-CN"/>
        </w:rPr>
        <w:t>0</w:t>
      </w:r>
      <w:r>
        <w:rPr>
          <w:rFonts w:hint="eastAsia" w:eastAsia="方正仿宋_GBK"/>
          <w:color w:val="000000"/>
          <w:sz w:val="28"/>
        </w:rPr>
        <w:t>万元，</w:t>
      </w:r>
      <w:r>
        <w:rPr>
          <w:rFonts w:hint="eastAsia" w:eastAsia="方正仿宋_GBK"/>
          <w:color w:val="000000"/>
          <w:sz w:val="28"/>
          <w:lang w:eastAsia="zh-CN"/>
        </w:rPr>
        <w:t>没有变化。</w:t>
      </w:r>
    </w:p>
    <w:p>
      <w:pPr>
        <w:pStyle w:val="27"/>
        <w:rPr>
          <w:lang w:eastAsia="zh-CN"/>
        </w:rPr>
      </w:pP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spacing w:before="10" w:after="10" w:line="360" w:lineRule="auto"/>
        <w:ind w:firstLine="640"/>
        <w:outlineLvl w:val="2"/>
        <w:rPr>
          <w:rFonts w:hint="eastAsia" w:ascii="方正仿宋_GBK" w:hAnsi="方正仿宋_GBK" w:eastAsia="方正仿宋_GBK" w:cs="方正仿宋_GBK"/>
          <w:sz w:val="28"/>
        </w:rPr>
      </w:pPr>
      <w:bookmarkStart w:id="12" w:name="_Toc_3_3_0000000013"/>
      <w:r>
        <w:rPr>
          <w:rFonts w:hint="default"/>
          <w:sz w:val="28"/>
        </w:rPr>
        <w:t>2022</w:t>
      </w:r>
      <w:r>
        <w:rPr>
          <w:rFonts w:hint="eastAsia" w:ascii="方正仿宋_GBK" w:hAnsi="方正仿宋_GBK" w:eastAsia="方正仿宋_GBK" w:cs="方正仿宋_GBK"/>
          <w:sz w:val="28"/>
        </w:rPr>
        <w:t>年，机关运行经费共计安排</w:t>
      </w:r>
      <w:r>
        <w:rPr>
          <w:rFonts w:hint="eastAsia"/>
          <w:sz w:val="28"/>
          <w:highlight w:val="none"/>
          <w:lang w:val="en-US" w:eastAsia="zh-CN"/>
        </w:rPr>
        <w:t>30</w:t>
      </w:r>
      <w:r>
        <w:rPr>
          <w:rFonts w:hint="eastAsia" w:ascii="方正仿宋_GBK" w:hAnsi="方正仿宋_GBK" w:eastAsia="方正仿宋_GBK" w:cs="方正仿宋_GBK"/>
          <w:sz w:val="28"/>
        </w:rPr>
        <w:t>万元，主要用于保证机关正常运转的办公及印刷费、邮电费、差旅费、一般设备购置费、办公用房电费、日常维修费等支出。</w:t>
      </w:r>
    </w:p>
    <w:p>
      <w:pPr>
        <w:spacing w:before="10" w:after="10" w:line="360" w:lineRule="auto"/>
        <w:ind w:firstLine="640"/>
        <w:outlineLvl w:val="2"/>
      </w:pPr>
      <w:r>
        <w:rPr>
          <w:rFonts w:hint="eastAsia" w:ascii="黑体" w:hAnsi="黑体" w:eastAsia="黑体" w:cs="黑体"/>
          <w:color w:val="000000"/>
          <w:sz w:val="32"/>
        </w:rPr>
        <w:t>四、财政拨款“三公”经费预算情况及增减变化原因</w:t>
      </w:r>
      <w:bookmarkEnd w:id="12"/>
    </w:p>
    <w:p>
      <w:pPr>
        <w:pStyle w:val="34"/>
        <w:rPr>
          <w:rFonts w:hint="eastAsia" w:ascii="方正仿宋_GBK" w:hAnsi="方正仿宋_GBK" w:eastAsia="方正仿宋_GBK" w:cs="方正仿宋_GBK"/>
          <w:sz w:val="28"/>
          <w:szCs w:val="28"/>
        </w:rPr>
      </w:pPr>
      <w:bookmarkStart w:id="13" w:name="_Toc_3_3_0000000014"/>
      <w:r>
        <w:rPr>
          <w:rFonts w:hint="eastAsia"/>
          <w:sz w:val="28"/>
          <w:szCs w:val="28"/>
          <w:lang w:val="en-US" w:eastAsia="zh-CN"/>
        </w:rPr>
        <w:t>2022</w:t>
      </w:r>
      <w:r>
        <w:rPr>
          <w:rFonts w:hint="eastAsia" w:ascii="方正仿宋_GBK" w:hAnsi="方正仿宋_GBK" w:eastAsia="方正仿宋_GBK" w:cs="方正仿宋_GBK"/>
          <w:sz w:val="28"/>
          <w:szCs w:val="28"/>
        </w:rPr>
        <w:t>年，我</w:t>
      </w:r>
      <w:r>
        <w:rPr>
          <w:rFonts w:hint="eastAsia" w:ascii="方正仿宋_GBK" w:hAnsi="方正仿宋_GBK" w:eastAsia="方正仿宋_GBK" w:cs="方正仿宋_GBK"/>
          <w:sz w:val="28"/>
          <w:szCs w:val="28"/>
          <w:lang w:eastAsia="zh-CN"/>
        </w:rPr>
        <w:t>单位</w:t>
      </w:r>
      <w:r>
        <w:rPr>
          <w:rFonts w:hint="eastAsia" w:ascii="方正仿宋_GBK" w:hAnsi="方正仿宋_GBK" w:eastAsia="方正仿宋_GBK" w:cs="方正仿宋_GBK"/>
          <w:sz w:val="28"/>
          <w:szCs w:val="28"/>
        </w:rPr>
        <w:t>财政拨款“三公”经费预算安排</w:t>
      </w:r>
      <w:r>
        <w:rPr>
          <w:rFonts w:hint="default" w:ascii="Times New Roman" w:hAnsi="Times New Roman" w:eastAsia="方正仿宋_GBK" w:cs="Times New Roman"/>
          <w:sz w:val="28"/>
          <w:szCs w:val="28"/>
          <w:lang w:val="en-US" w:eastAsia="zh-CN"/>
        </w:rPr>
        <w:t>2.8</w:t>
      </w:r>
      <w:r>
        <w:rPr>
          <w:rFonts w:hint="eastAsia" w:ascii="方正仿宋_GBK" w:hAnsi="方正仿宋_GBK" w:eastAsia="方正仿宋_GBK" w:cs="方正仿宋_GBK"/>
          <w:sz w:val="28"/>
          <w:szCs w:val="28"/>
        </w:rPr>
        <w:t>万元，其中：因公出国（境）费</w:t>
      </w:r>
      <w:r>
        <w:rPr>
          <w:rFonts w:hint="default" w:ascii="Times New Roman" w:hAnsi="Times New Roman" w:eastAsia="方正仿宋_GBK" w:cs="Times New Roman"/>
          <w:sz w:val="28"/>
          <w:szCs w:val="28"/>
          <w:lang w:val="en-US" w:eastAsia="zh-CN"/>
        </w:rPr>
        <w:t>0</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val="en-US" w:eastAsia="zh-CN"/>
        </w:rPr>
        <w:t>,与上年持平，原因为未安排</w:t>
      </w:r>
      <w:r>
        <w:rPr>
          <w:rFonts w:hint="eastAsia" w:ascii="方正仿宋_GBK" w:hAnsi="方正仿宋_GBK" w:eastAsia="方正仿宋_GBK" w:cs="方正仿宋_GBK"/>
          <w:sz w:val="28"/>
          <w:szCs w:val="28"/>
        </w:rPr>
        <w:t>因公出国（境）</w:t>
      </w:r>
      <w:r>
        <w:rPr>
          <w:rFonts w:hint="eastAsia" w:ascii="方正仿宋_GBK" w:hAnsi="方正仿宋_GBK" w:eastAsia="方正仿宋_GBK" w:cs="方正仿宋_GBK"/>
          <w:sz w:val="28"/>
          <w:szCs w:val="28"/>
          <w:lang w:val="en-US" w:eastAsia="zh-CN"/>
        </w:rPr>
        <w:t>经</w:t>
      </w:r>
      <w:r>
        <w:rPr>
          <w:rFonts w:hint="eastAsia" w:ascii="方正仿宋_GBK" w:hAnsi="方正仿宋_GBK" w:eastAsia="方正仿宋_GBK" w:cs="方正仿宋_GBK"/>
          <w:sz w:val="28"/>
          <w:szCs w:val="28"/>
        </w:rPr>
        <w:t>费</w:t>
      </w:r>
      <w:r>
        <w:rPr>
          <w:rFonts w:hint="eastAsia"/>
        </w:rPr>
        <w:t>；</w:t>
      </w:r>
      <w:r>
        <w:rPr>
          <w:rFonts w:hint="eastAsia" w:ascii="方正仿宋_GBK" w:hAnsi="方正仿宋_GBK" w:eastAsia="方正仿宋_GBK" w:cs="方正仿宋_GBK"/>
          <w:sz w:val="28"/>
          <w:szCs w:val="28"/>
        </w:rPr>
        <w:t>公务用车购置及运维费</w:t>
      </w:r>
      <w:r>
        <w:rPr>
          <w:rFonts w:hint="eastAsia"/>
          <w:sz w:val="28"/>
          <w:szCs w:val="28"/>
          <w:lang w:val="en-US" w:eastAsia="zh-CN"/>
        </w:rPr>
        <w:t>2.8</w:t>
      </w:r>
      <w:r>
        <w:rPr>
          <w:rFonts w:hint="eastAsia" w:ascii="方正仿宋_GBK" w:hAnsi="方正仿宋_GBK" w:eastAsia="方正仿宋_GBK" w:cs="方正仿宋_GBK"/>
          <w:sz w:val="28"/>
          <w:szCs w:val="28"/>
        </w:rPr>
        <w:t>万元</w:t>
      </w:r>
      <w:r>
        <w:rPr>
          <w:rFonts w:hint="eastAsia"/>
        </w:rPr>
        <w:t>（</w:t>
      </w:r>
      <w:r>
        <w:rPr>
          <w:rFonts w:hint="eastAsia" w:ascii="方正仿宋_GBK" w:hAnsi="方正仿宋_GBK" w:eastAsia="方正仿宋_GBK" w:cs="方正仿宋_GBK"/>
          <w:sz w:val="28"/>
          <w:szCs w:val="28"/>
        </w:rPr>
        <w:t>其中：公务用车购置费</w:t>
      </w:r>
      <w:r>
        <w:rPr>
          <w:rFonts w:hint="default" w:ascii="Times New Roman" w:hAnsi="Times New Roman" w:eastAsia="方正仿宋_GBK" w:cs="Times New Roman"/>
          <w:sz w:val="28"/>
          <w:szCs w:val="28"/>
        </w:rPr>
        <w:t>0</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val="en-US" w:eastAsia="zh-CN"/>
        </w:rPr>
        <w:t>与上年持平，</w:t>
      </w:r>
      <w:r>
        <w:rPr>
          <w:rFonts w:hint="eastAsia" w:ascii="方正仿宋_GBK" w:hAnsi="方正仿宋_GBK" w:eastAsia="方正仿宋_GBK" w:cs="方正仿宋_GBK"/>
          <w:sz w:val="28"/>
          <w:szCs w:val="28"/>
        </w:rPr>
        <w:t>公务用车运行维护费</w:t>
      </w:r>
      <w:r>
        <w:rPr>
          <w:rFonts w:hint="eastAsia"/>
          <w:sz w:val="28"/>
          <w:szCs w:val="28"/>
          <w:lang w:val="en-US" w:eastAsia="zh-CN"/>
        </w:rPr>
        <w:t>2.8</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与上年持平，</w:t>
      </w: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原因为严格按照公务用车相关制度执行，厉行节约</w:t>
      </w:r>
      <w:r>
        <w:rPr>
          <w:rFonts w:hint="eastAsia" w:ascii="方正仿宋_GBK" w:hAnsi="方正仿宋_GBK" w:eastAsia="方正仿宋_GBK" w:cs="方正仿宋_GBK"/>
          <w:sz w:val="28"/>
          <w:szCs w:val="28"/>
        </w:rPr>
        <w:t>；公务接待费</w:t>
      </w:r>
      <w:r>
        <w:rPr>
          <w:rFonts w:hint="default" w:ascii="Times New Roman" w:hAnsi="Times New Roman" w:eastAsia="方正仿宋_GBK" w:cs="Times New Roman"/>
          <w:sz w:val="28"/>
          <w:szCs w:val="28"/>
        </w:rPr>
        <w:t>0</w:t>
      </w:r>
      <w:r>
        <w:rPr>
          <w:rFonts w:hint="eastAsia" w:ascii="方正仿宋_GBK" w:hAnsi="方正仿宋_GBK" w:eastAsia="方正仿宋_GBK" w:cs="方正仿宋_GBK"/>
          <w:sz w:val="28"/>
          <w:szCs w:val="28"/>
        </w:rPr>
        <w:t>万元</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与上年持平，原因为未安排</w:t>
      </w:r>
      <w:r>
        <w:rPr>
          <w:rFonts w:hint="eastAsia" w:ascii="方正仿宋_GBK" w:hAnsi="方正仿宋_GBK" w:eastAsia="方正仿宋_GBK" w:cs="方正仿宋_GBK"/>
          <w:sz w:val="28"/>
          <w:szCs w:val="28"/>
        </w:rPr>
        <w:t>公务接待</w:t>
      </w:r>
      <w:r>
        <w:rPr>
          <w:rFonts w:hint="eastAsia" w:ascii="方正仿宋_GBK" w:hAnsi="方正仿宋_GBK" w:eastAsia="方正仿宋_GBK" w:cs="方正仿宋_GBK"/>
          <w:sz w:val="28"/>
          <w:szCs w:val="28"/>
          <w:lang w:val="en-US" w:eastAsia="zh-CN"/>
        </w:rPr>
        <w:t>经费</w:t>
      </w:r>
      <w:r>
        <w:rPr>
          <w:rFonts w:hint="eastAsia" w:ascii="方正仿宋_GBK" w:hAnsi="方正仿宋_GBK" w:eastAsia="方正仿宋_GBK" w:cs="方正仿宋_GBK"/>
          <w:sz w:val="28"/>
          <w:szCs w:val="28"/>
        </w:rPr>
        <w:t>。</w:t>
      </w:r>
    </w:p>
    <w:p>
      <w:pPr>
        <w:pStyle w:val="34"/>
      </w:pPr>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rPr>
        <w:t>（一）总体绩效目标</w:t>
      </w:r>
    </w:p>
    <w:p>
      <w:pPr>
        <w:pStyle w:val="30"/>
      </w:pPr>
      <w:r>
        <w:t>2022</w:t>
      </w:r>
      <w:r>
        <w:rPr>
          <w:rFonts w:hint="eastAsia"/>
        </w:rPr>
        <w:t>年部门总体绩效目标</w:t>
      </w:r>
    </w:p>
    <w:p>
      <w:pPr>
        <w:pStyle w:val="30"/>
      </w:pPr>
      <w:r>
        <w:rPr>
          <w:rFonts w:hint="eastAsia"/>
        </w:rPr>
        <w:t>根据县委、县政府赋予职能及确定的无极县融媒体中心</w:t>
      </w:r>
      <w:r>
        <w:t>(</w:t>
      </w:r>
      <w:r>
        <w:rPr>
          <w:rFonts w:hint="eastAsia"/>
        </w:rPr>
        <w:t>无极县广播电视台</w:t>
      </w:r>
      <w:r>
        <w:t>)</w:t>
      </w:r>
      <w:r>
        <w:rPr>
          <w:rFonts w:hint="eastAsia"/>
        </w:rPr>
        <w:t>任务，</w:t>
      </w:r>
      <w:r>
        <w:t>2022</w:t>
      </w:r>
      <w:r>
        <w:rPr>
          <w:rFonts w:hint="eastAsia"/>
        </w:rPr>
        <w:t>年利用财政资金所达到的绩效目标：</w:t>
      </w:r>
      <w:r>
        <w:t xml:space="preserve"> </w:t>
      </w:r>
    </w:p>
    <w:p>
      <w:pPr>
        <w:pStyle w:val="30"/>
      </w:pPr>
      <w:r>
        <w:rPr>
          <w:rFonts w:hint="eastAsia"/>
        </w:rPr>
        <w:t>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w:t>
      </w:r>
      <w:r>
        <w:t>“</w:t>
      </w:r>
      <w:r>
        <w:rPr>
          <w:rFonts w:hint="eastAsia"/>
        </w:rPr>
        <w:t>双违</w:t>
      </w:r>
      <w:r>
        <w:t>”</w:t>
      </w:r>
      <w:r>
        <w:rPr>
          <w:rFonts w:hint="eastAsia"/>
        </w:rPr>
        <w:t>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w:t>
      </w:r>
      <w:r>
        <w:t>“</w:t>
      </w:r>
      <w:r>
        <w:rPr>
          <w:rFonts w:hint="eastAsia"/>
        </w:rPr>
        <w:t>三贴近</w:t>
      </w:r>
      <w:r>
        <w:t>”</w:t>
      </w:r>
      <w:r>
        <w:rPr>
          <w:rFonts w:hint="eastAsia"/>
        </w:rPr>
        <w:t>原则，始终把满足人民群众文化生活需要作为《无极新闻》、《</w:t>
      </w:r>
      <w:r>
        <w:t>14</w:t>
      </w:r>
      <w:r>
        <w:rPr>
          <w:rFonts w:hint="eastAsia"/>
        </w:rPr>
        <w:t>号演播室》、《无极教育》等品牌栏目建设的出发点和落脚点，积极探索，大胆改革，不断丰富栏目内容。做好经营创收工作及按照相关规定做好公益广告的播出级依照广告法经营好各类广告业务。完整传输中央、省、市、县广播电视节目及公益无线数字电视传输，保证安全播出。</w:t>
      </w:r>
    </w:p>
    <w:p>
      <w:pPr>
        <w:spacing w:line="500" w:lineRule="exact"/>
        <w:ind w:firstLine="560"/>
      </w:pPr>
      <w:r>
        <w:rPr>
          <w:rFonts w:hint="eastAsia" w:eastAsia="方正仿宋_GBK"/>
          <w:color w:val="000000"/>
          <w:sz w:val="28"/>
        </w:rPr>
        <w:t>（二）分项绩效目标</w:t>
      </w:r>
    </w:p>
    <w:p>
      <w:pPr>
        <w:pStyle w:val="31"/>
      </w:pPr>
      <w:r>
        <w:rPr>
          <w:rFonts w:hint="eastAsia"/>
        </w:rPr>
        <w:t>分项绩效目标</w:t>
      </w:r>
    </w:p>
    <w:p>
      <w:pPr>
        <w:pStyle w:val="31"/>
      </w:pPr>
      <w:r>
        <w:t>1</w:t>
      </w:r>
      <w:r>
        <w:rPr>
          <w:rFonts w:hint="eastAsia"/>
        </w:rPr>
        <w:t>、新闻出版广播影视事业建设更高效</w:t>
      </w:r>
    </w:p>
    <w:p>
      <w:pPr>
        <w:pStyle w:val="31"/>
      </w:pPr>
      <w:r>
        <w:rPr>
          <w:rFonts w:hint="eastAsia"/>
        </w:rPr>
        <w:t>绩效目标：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w:t>
      </w:r>
      <w:r>
        <w:t>“</w:t>
      </w:r>
      <w:r>
        <w:rPr>
          <w:rFonts w:hint="eastAsia"/>
        </w:rPr>
        <w:t>双违</w:t>
      </w:r>
      <w:r>
        <w:t>”</w:t>
      </w:r>
      <w:r>
        <w:rPr>
          <w:rFonts w:hint="eastAsia"/>
        </w:rPr>
        <w:t>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w:t>
      </w:r>
      <w:r>
        <w:t>“</w:t>
      </w:r>
      <w:r>
        <w:rPr>
          <w:rFonts w:hint="eastAsia"/>
        </w:rPr>
        <w:t>三贴近</w:t>
      </w:r>
      <w:r>
        <w:t>”</w:t>
      </w:r>
      <w:r>
        <w:rPr>
          <w:rFonts w:hint="eastAsia"/>
        </w:rPr>
        <w:t>原则，始终把满足人民群众文化生活需要作为《无极新闻》、《</w:t>
      </w:r>
      <w:r>
        <w:t>14</w:t>
      </w:r>
      <w:r>
        <w:rPr>
          <w:rFonts w:hint="eastAsia"/>
        </w:rPr>
        <w:t>号演播室》、《无极教育》等品牌栏目建设的出发点和落脚点，积极探索，大胆改革，不断丰富栏目内容。整安全传输中央、省、市、县广播电视节目及公益无线数字电视，安全优质播出节目。</w:t>
      </w:r>
    </w:p>
    <w:p>
      <w:pPr>
        <w:pStyle w:val="31"/>
      </w:pPr>
      <w:r>
        <w:rPr>
          <w:rFonts w:hint="eastAsia"/>
        </w:rPr>
        <w:t>绩效指标：开办新栏目、新节目数量（个）及对上报道录用率。</w:t>
      </w:r>
    </w:p>
    <w:p>
      <w:pPr>
        <w:pStyle w:val="31"/>
      </w:pPr>
      <w:r>
        <w:rPr>
          <w:rFonts w:hint="eastAsia"/>
        </w:rPr>
        <w:t>进一步完成新闻出版广播影视产业的平台建设</w:t>
      </w:r>
    </w:p>
    <w:p>
      <w:pPr>
        <w:pStyle w:val="31"/>
      </w:pPr>
      <w:r>
        <w:rPr>
          <w:rFonts w:hint="eastAsia"/>
        </w:rPr>
        <w:t>绩效目标：加快融媒体平台的建设，增加了全县人民接受信息的渠道，满足社会多元化需求。加快</w:t>
      </w:r>
      <w:r>
        <w:t>“</w:t>
      </w:r>
      <w:r>
        <w:rPr>
          <w:rFonts w:hint="eastAsia"/>
        </w:rPr>
        <w:t>无极融媒</w:t>
      </w:r>
      <w:r>
        <w:t>”</w:t>
      </w:r>
      <w:r>
        <w:rPr>
          <w:rFonts w:hint="eastAsia"/>
        </w:rPr>
        <w:t>、</w:t>
      </w:r>
      <w:r>
        <w:t>“</w:t>
      </w:r>
      <w:r>
        <w:rPr>
          <w:rFonts w:hint="eastAsia"/>
        </w:rPr>
        <w:t>魅力无极</w:t>
      </w:r>
      <w:r>
        <w:t>”</w:t>
      </w:r>
      <w:r>
        <w:rPr>
          <w:rFonts w:hint="eastAsia"/>
        </w:rPr>
        <w:t>等客户端等网络新媒体平台的建设。</w:t>
      </w:r>
    </w:p>
    <w:p>
      <w:pPr>
        <w:pStyle w:val="31"/>
      </w:pPr>
      <w:r>
        <w:rPr>
          <w:rFonts w:hint="eastAsia"/>
        </w:rPr>
        <w:t>绩效指标：新媒体融合度、新媒体设备利用率、高清数字化设备更新率。</w:t>
      </w:r>
    </w:p>
    <w:p>
      <w:pPr>
        <w:pStyle w:val="31"/>
      </w:pPr>
      <w:r>
        <w:rPr>
          <w:rFonts w:hint="eastAsia"/>
        </w:rPr>
        <w:t>节目覆盖率更加广泛、播出信号更稳定。</w:t>
      </w:r>
    </w:p>
    <w:p>
      <w:pPr>
        <w:pStyle w:val="31"/>
      </w:pPr>
      <w:r>
        <w:rPr>
          <w:rFonts w:hint="eastAsia"/>
        </w:rPr>
        <w:t>绩效目标：开始广播发射塔的建设工作，完善好各种配套基础设施的建设，提高节目覆盖面积。</w:t>
      </w:r>
    </w:p>
    <w:p>
      <w:pPr>
        <w:pStyle w:val="31"/>
      </w:pPr>
    </w:p>
    <w:p>
      <w:pPr>
        <w:spacing w:line="500" w:lineRule="exact"/>
        <w:ind w:firstLine="560"/>
      </w:pPr>
      <w:r>
        <w:rPr>
          <w:rFonts w:hint="eastAsia" w:eastAsia="方正仿宋_GBK"/>
          <w:color w:val="000000"/>
          <w:sz w:val="28"/>
        </w:rPr>
        <w:t>（三）工作保障措施</w:t>
      </w:r>
    </w:p>
    <w:p>
      <w:pPr>
        <w:pStyle w:val="32"/>
      </w:pPr>
      <w:r>
        <w:rPr>
          <w:rFonts w:hint="eastAsia"/>
        </w:rPr>
        <w:t>工作保障措施</w:t>
      </w:r>
    </w:p>
    <w:p>
      <w:pPr>
        <w:pStyle w:val="32"/>
      </w:pPr>
      <w:r>
        <w:t>2022</w:t>
      </w:r>
      <w:r>
        <w:rPr>
          <w:rFonts w:hint="eastAsia"/>
        </w:rPr>
        <w:t>年我台将坚持以</w:t>
      </w:r>
      <w:r>
        <w:rPr>
          <w:rFonts w:hint="eastAsia"/>
          <w:lang w:eastAsia="zh-CN"/>
        </w:rPr>
        <w:t>党的十九大精神</w:t>
      </w:r>
      <w:r>
        <w:rPr>
          <w:rFonts w:hint="eastAsia"/>
        </w:rPr>
        <w:t>为指导，认真学习贯彻上级关于新闻宣传工作的一系列重要指示精神，按照县委、县政府的工作部署，稳中求进，改革创新，强化工作举措，努力完成各项工作目标任务。工作保障措施如下：</w:t>
      </w:r>
    </w:p>
    <w:p>
      <w:pPr>
        <w:pStyle w:val="32"/>
      </w:pPr>
      <w:r>
        <w:t>1</w:t>
      </w:r>
      <w:r>
        <w:rPr>
          <w:rFonts w:hint="eastAsia"/>
        </w:rPr>
        <w:t>、完善制度。</w:t>
      </w:r>
    </w:p>
    <w:p>
      <w:pPr>
        <w:pStyle w:val="32"/>
      </w:pPr>
      <w:r>
        <w:rPr>
          <w:rFonts w:hint="eastAsia"/>
        </w:rPr>
        <w:t>根据我县预算绩效管理的实施意见，强化绩效目标管理，汇总各业务科室制定适合我台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32"/>
      </w:pPr>
      <w:r>
        <w:t>2</w:t>
      </w:r>
      <w:r>
        <w:rPr>
          <w:rFonts w:hint="eastAsia"/>
        </w:rPr>
        <w:t>、加强支出管理</w:t>
      </w:r>
    </w:p>
    <w:p>
      <w:pPr>
        <w:pStyle w:val="32"/>
      </w:pPr>
      <w:r>
        <w:rPr>
          <w:rFonts w:hint="eastAsia"/>
        </w:rPr>
        <w:t>优化支出结构、编细编实预算、加快履行政府采购手续、尽快启动项目、及时支付资金、</w:t>
      </w:r>
      <w:r>
        <w:t>6</w:t>
      </w:r>
      <w:r>
        <w:rPr>
          <w:rFonts w:hint="eastAsia"/>
        </w:rPr>
        <w:t>月底前细化代编预算、按规定及时下达资金等多种措施，确保支出进度达标。</w:t>
      </w:r>
    </w:p>
    <w:p>
      <w:pPr>
        <w:pStyle w:val="32"/>
      </w:pPr>
      <w:r>
        <w:t>3</w:t>
      </w:r>
      <w:r>
        <w:rPr>
          <w:rFonts w:hint="eastAsia"/>
        </w:rPr>
        <w:t>、加强绩效运行监控。</w:t>
      </w:r>
      <w:r>
        <w:t xml:space="preserve">  </w:t>
      </w:r>
    </w:p>
    <w:p>
      <w:pPr>
        <w:pStyle w:val="32"/>
      </w:pPr>
      <w:r>
        <w:rPr>
          <w:rFonts w:hint="eastAsia"/>
        </w:rP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32"/>
      </w:pPr>
      <w:r>
        <w:t>4</w:t>
      </w:r>
      <w:r>
        <w:rPr>
          <w:rFonts w:hint="eastAsia"/>
        </w:rPr>
        <w:t>、做好绩效自评。</w:t>
      </w:r>
    </w:p>
    <w:p>
      <w:pPr>
        <w:pStyle w:val="32"/>
      </w:pPr>
      <w:r>
        <w:rPr>
          <w:rFonts w:hint="eastAsia"/>
        </w:rP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w:t>
      </w:r>
      <w:r>
        <w:t>28</w:t>
      </w:r>
      <w:r>
        <w:rPr>
          <w:rFonts w:hint="eastAsia"/>
        </w:rPr>
        <w:t>日前将年度发展规划目标自评报告报牵头科室、所，牵头科室、所汇总后报台年度发展规划目标办。台年度发展规划目标办要加强过程管理，建立季度抽查、半年公开通报制度，以加强对年度发展规划目标责任落实的跟踪管理。</w:t>
      </w:r>
    </w:p>
    <w:p>
      <w:pPr>
        <w:pStyle w:val="32"/>
      </w:pPr>
      <w:r>
        <w:t>5</w:t>
      </w:r>
      <w:r>
        <w:rPr>
          <w:rFonts w:hint="eastAsia"/>
        </w:rPr>
        <w:t>、规范财务资产管理。</w:t>
      </w:r>
    </w:p>
    <w:p>
      <w:pPr>
        <w:pStyle w:val="32"/>
      </w:pPr>
      <w:r>
        <w:rPr>
          <w:rFonts w:hint="eastAsia"/>
        </w:rPr>
        <w:t>完善财务管理制度，严格审批程序，加强资金使用、完善项目管理状况，资产配置、使用</w:t>
      </w:r>
      <w:r>
        <w:rPr>
          <w:rFonts w:hint="eastAsia"/>
          <w:lang w:eastAsia="zh-CN"/>
        </w:rPr>
        <w:t>及其</w:t>
      </w:r>
      <w:r>
        <w:rPr>
          <w:rFonts w:hint="eastAsia"/>
        </w:rPr>
        <w:t>收益管理情况（包括成本控制、质量控制、合同管理情况）。加强固定资产登记、使用和报废处置管理，做到支出合理，物尽其用。</w:t>
      </w:r>
    </w:p>
    <w:p>
      <w:pPr>
        <w:pStyle w:val="32"/>
      </w:pPr>
      <w:r>
        <w:t>6</w:t>
      </w:r>
      <w:r>
        <w:rPr>
          <w:rFonts w:hint="eastAsia"/>
        </w:rPr>
        <w:t>、加强内部监督。</w:t>
      </w:r>
    </w:p>
    <w:p>
      <w:pPr>
        <w:pStyle w:val="32"/>
      </w:pPr>
      <w:r>
        <w:rPr>
          <w:rFonts w:hint="eastAsia"/>
        </w:rP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32"/>
      </w:pPr>
      <w:r>
        <w:t>7</w:t>
      </w:r>
      <w:r>
        <w:rPr>
          <w:rFonts w:hint="eastAsia"/>
        </w:rPr>
        <w:t>、加强宣传培训调研等。</w:t>
      </w:r>
    </w:p>
    <w:p>
      <w:pPr>
        <w:pStyle w:val="32"/>
      </w:pPr>
      <w:r>
        <w:rPr>
          <w:rFonts w:hint="eastAsia"/>
        </w:rP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1"/>
        </w:numPr>
        <w:ind w:firstLine="64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numPr>
          <w:ilvl w:val="0"/>
          <w:numId w:val="0"/>
        </w:numPr>
        <w:rPr>
          <w:rFonts w:hint="eastAsia" w:ascii="方正楷体_GBK" w:hAnsi="方正楷体_GBK" w:eastAsia="方正楷体_GBK" w:cs="方正楷体_GBK"/>
          <w:b/>
          <w:color w:val="000000"/>
          <w:sz w:val="32"/>
        </w:rPr>
      </w:pPr>
    </w:p>
    <w:p>
      <w:pPr>
        <w:numPr>
          <w:ilvl w:val="0"/>
          <w:numId w:val="0"/>
        </w:numPr>
        <w:ind w:firstLine="640" w:firstLineChars="200"/>
        <w:rPr>
          <w:rFonts w:hint="default" w:ascii="方正楷体_GBK" w:hAnsi="方正楷体_GBK" w:eastAsia="方正楷体_GBK" w:cs="方正楷体_GBK"/>
          <w:b w:val="0"/>
          <w:bCs/>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val="0"/>
          <w:bCs/>
          <w:color w:val="000000"/>
          <w:sz w:val="32"/>
          <w:lang w:val="en-US" w:eastAsia="zh-CN"/>
        </w:rPr>
        <w:t>无</w:t>
      </w:r>
    </w:p>
    <w:p>
      <w:pPr>
        <w:ind w:firstLine="640"/>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rPr>
        <w:t>第三部分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年省市栏目配套资金绩效目标表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w:t>
            </w:r>
            <w:r>
              <w:rPr>
                <w:rFonts w:hint="eastAsia"/>
              </w:rPr>
              <w:t>目标内容</w:t>
            </w:r>
            <w:r>
              <w:t>1  2022</w:t>
            </w:r>
            <w:r>
              <w:rPr>
                <w:rFonts w:hint="eastAsia"/>
              </w:rPr>
              <w:t>年省市栏目配套资金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机关单位工作人员满意度</w:t>
            </w:r>
          </w:p>
        </w:tc>
        <w:tc>
          <w:tcPr>
            <w:tcW w:w="2835" w:type="dxa"/>
            <w:vAlign w:val="center"/>
          </w:tcPr>
          <w:p>
            <w:pPr>
              <w:pStyle w:val="21"/>
            </w:pPr>
            <w:r>
              <w:rPr>
                <w:rFonts w:hint="eastAsia"/>
              </w:rPr>
              <w:t>调查中机关单位人员对单位环境和设施满意和较满意的人数占调查总人数的比率</w:t>
            </w:r>
          </w:p>
        </w:tc>
        <w:tc>
          <w:tcPr>
            <w:tcW w:w="2551" w:type="dxa"/>
            <w:vAlign w:val="center"/>
          </w:tcPr>
          <w:p>
            <w:pPr>
              <w:pStyle w:val="21"/>
            </w:pPr>
            <w:r>
              <w:t>95%</w:t>
            </w:r>
          </w:p>
        </w:tc>
        <w:tc>
          <w:tcPr>
            <w:tcW w:w="2268" w:type="dxa"/>
            <w:vAlign w:val="center"/>
          </w:tcPr>
          <w:p>
            <w:pPr>
              <w:pStyle w:val="21"/>
            </w:pPr>
            <w:r>
              <w:rPr>
                <w:rFonts w:hint="eastAsia"/>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使用人员满意度</w:t>
            </w:r>
          </w:p>
        </w:tc>
        <w:tc>
          <w:tcPr>
            <w:tcW w:w="2835" w:type="dxa"/>
            <w:vAlign w:val="center"/>
          </w:tcPr>
          <w:p>
            <w:pPr>
              <w:pStyle w:val="21"/>
            </w:pPr>
            <w:r>
              <w:rPr>
                <w:rFonts w:hint="eastAsia"/>
              </w:rPr>
              <w:t>系统使用满意情况</w:t>
            </w:r>
          </w:p>
        </w:tc>
        <w:tc>
          <w:tcPr>
            <w:tcW w:w="2551" w:type="dxa"/>
            <w:vAlign w:val="center"/>
          </w:tcPr>
          <w:p>
            <w:pPr>
              <w:pStyle w:val="21"/>
            </w:pPr>
            <w:r>
              <w:t>95%</w:t>
            </w:r>
          </w:p>
        </w:tc>
        <w:tc>
          <w:tcPr>
            <w:tcW w:w="2268" w:type="dxa"/>
            <w:vAlign w:val="center"/>
          </w:tcPr>
          <w:p>
            <w:pPr>
              <w:pStyle w:val="21"/>
            </w:pPr>
            <w:r>
              <w:rPr>
                <w:rFonts w:hint="eastAsia"/>
              </w:rP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年台聘人员绩效增资资金绩效目标表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w:t>
            </w:r>
            <w:r>
              <w:rPr>
                <w:rFonts w:hint="eastAsia"/>
              </w:rPr>
              <w:t>目标内容</w:t>
            </w:r>
            <w:r>
              <w:t>1  2022</w:t>
            </w:r>
            <w:r>
              <w:rPr>
                <w:rFonts w:hint="eastAsia"/>
              </w:rPr>
              <w:t>年台聘人员绩效增资资金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年无极之声报刊费用绩效目标表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w:t>
            </w:r>
            <w:r>
              <w:rPr>
                <w:rFonts w:hint="eastAsia"/>
              </w:rPr>
              <w:t>目标内容</w:t>
            </w:r>
            <w:r>
              <w:t>1</w:t>
            </w:r>
            <w:r>
              <w:rPr>
                <w:rFonts w:hint="eastAsia"/>
                <w:lang w:eastAsia="zh-CN"/>
              </w:rPr>
              <w:t>：</w:t>
            </w:r>
            <w:r>
              <w:rPr>
                <w:rFonts w:ascii="方正仿宋_GBK" w:hAnsi="方正仿宋_GBK" w:eastAsia="方正仿宋_GBK" w:cs="方正仿宋_GBK"/>
                <w:color w:val="000000"/>
                <w:szCs w:val="21"/>
              </w:rPr>
              <w:t>2022</w:t>
            </w:r>
            <w:r>
              <w:rPr>
                <w:rFonts w:hint="eastAsia" w:ascii="方正仿宋_GBK" w:hAnsi="方正仿宋_GBK" w:eastAsia="方正仿宋_GBK" w:cs="方正仿宋_GBK"/>
                <w:color w:val="000000"/>
                <w:szCs w:val="21"/>
              </w:rPr>
              <w:t>年无极之声报刊费用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职工满意度</w:t>
            </w:r>
          </w:p>
        </w:tc>
        <w:tc>
          <w:tcPr>
            <w:tcW w:w="2551" w:type="dxa"/>
            <w:vAlign w:val="center"/>
          </w:tcPr>
          <w:p>
            <w:pPr>
              <w:pStyle w:val="21"/>
            </w:pPr>
            <w:r>
              <w:t>100%</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年县级文化公共服务体系建设资金绩效目标表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rPr>
                <w:lang w:eastAsia="zh-CN"/>
              </w:rPr>
            </w:pPr>
            <w:r>
              <w:t>1.</w:t>
            </w:r>
            <w:r>
              <w:rPr>
                <w:rFonts w:hint="eastAsia"/>
              </w:rPr>
              <w:t>目标内容</w:t>
            </w:r>
            <w:r>
              <w:rPr>
                <w:lang w:eastAsia="zh-CN"/>
              </w:rPr>
              <w:t>1</w:t>
            </w:r>
            <w:r>
              <w:rPr>
                <w:rFonts w:hint="eastAsia"/>
                <w:lang w:eastAsia="zh-CN"/>
              </w:rPr>
              <w:t>：</w:t>
            </w:r>
            <w:r>
              <w:rPr>
                <w:rFonts w:ascii="方正仿宋_GBK" w:hAnsi="方正仿宋_GBK" w:eastAsia="方正仿宋_GBK" w:cs="方正仿宋_GBK"/>
                <w:color w:val="000000"/>
                <w:szCs w:val="21"/>
              </w:rPr>
              <w:t>2022</w:t>
            </w:r>
            <w:r>
              <w:rPr>
                <w:rFonts w:hint="eastAsia" w:ascii="方正仿宋_GBK" w:hAnsi="方正仿宋_GBK" w:eastAsia="方正仿宋_GBK" w:cs="方正仿宋_GBK"/>
                <w:color w:val="000000"/>
                <w:szCs w:val="21"/>
              </w:rPr>
              <w:t>年县级文化公共服务体系建设资金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使用人员满意度</w:t>
            </w:r>
          </w:p>
        </w:tc>
        <w:tc>
          <w:tcPr>
            <w:tcW w:w="2835" w:type="dxa"/>
            <w:vAlign w:val="center"/>
          </w:tcPr>
          <w:p>
            <w:pPr>
              <w:pStyle w:val="21"/>
            </w:pPr>
            <w:r>
              <w:rPr>
                <w:rFonts w:hint="eastAsia"/>
              </w:rPr>
              <w:t>使用人员满意度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根据人员满意度</w:t>
            </w:r>
          </w:p>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机关单位工作人员满意度</w:t>
            </w:r>
          </w:p>
        </w:tc>
        <w:tc>
          <w:tcPr>
            <w:tcW w:w="2835" w:type="dxa"/>
            <w:vAlign w:val="center"/>
          </w:tcPr>
          <w:p>
            <w:pPr>
              <w:pStyle w:val="21"/>
            </w:pPr>
            <w:r>
              <w:rPr>
                <w:rFonts w:hint="eastAsia"/>
              </w:rPr>
              <w:t>机关单位工作人员满意度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根据人员满意度</w:t>
            </w:r>
          </w:p>
          <w:p>
            <w:pPr>
              <w:pStyle w:val="21"/>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年新闻采编播辅助人员经费绩效目标表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w:t>
            </w:r>
            <w:r>
              <w:rPr>
                <w:rFonts w:hint="eastAsia"/>
              </w:rPr>
              <w:t>目标内容</w:t>
            </w:r>
            <w:r>
              <w:t>1   2022</w:t>
            </w:r>
            <w:r>
              <w:rPr>
                <w:rFonts w:hint="eastAsia"/>
              </w:rPr>
              <w:t>年新闻采编播辅助人员经费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发放工资人员对工资的满意度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职工满意度</w:t>
            </w:r>
          </w:p>
        </w:tc>
        <w:tc>
          <w:tcPr>
            <w:tcW w:w="2551" w:type="dxa"/>
            <w:vAlign w:val="center"/>
          </w:tcPr>
          <w:p>
            <w:pPr>
              <w:pStyle w:val="21"/>
            </w:pPr>
            <w:r>
              <w:t>100%</w:t>
            </w:r>
          </w:p>
        </w:tc>
        <w:tc>
          <w:tcPr>
            <w:tcW w:w="2268" w:type="dxa"/>
            <w:vAlign w:val="center"/>
          </w:tcPr>
          <w:p>
            <w:pPr>
              <w:pStyle w:val="21"/>
            </w:pPr>
            <w:r>
              <w:rPr>
                <w:rFonts w:hint="eastAsia"/>
              </w:rP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、关于提前下达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年中央补助地方公共文化服务体系建设专项资金的通知绩效目标表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75"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rPr>
                <w:lang w:eastAsia="zh-CN"/>
              </w:rPr>
            </w:pPr>
            <w:r>
              <w:rPr>
                <w:rFonts w:hint="eastAsia"/>
              </w:rPr>
              <w:t>目标内容</w:t>
            </w:r>
            <w:r>
              <w:rPr>
                <w:lang w:eastAsia="zh-CN"/>
              </w:rPr>
              <w:t>1</w:t>
            </w:r>
            <w:r>
              <w:rPr>
                <w:rFonts w:hint="eastAsia"/>
                <w:lang w:eastAsia="zh-CN"/>
              </w:rPr>
              <w:t>：</w:t>
            </w:r>
            <w:r>
              <w:rPr>
                <w:rFonts w:ascii="方正仿宋_GBK" w:hAnsi="方正仿宋_GBK" w:eastAsia="方正仿宋_GBK" w:cs="方正仿宋_GBK"/>
                <w:color w:val="000000"/>
                <w:szCs w:val="21"/>
              </w:rPr>
              <w:t>2022</w:t>
            </w:r>
            <w:r>
              <w:rPr>
                <w:rFonts w:hint="eastAsia" w:ascii="方正仿宋_GBK" w:hAnsi="方正仿宋_GBK" w:eastAsia="方正仿宋_GBK" w:cs="方正仿宋_GBK"/>
                <w:color w:val="000000"/>
                <w:szCs w:val="21"/>
              </w:rPr>
              <w:t>年中央补助地方公共文化服务体系建设专项资金的通知</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按时支付水电暖等日常费用</w:t>
            </w:r>
          </w:p>
        </w:tc>
        <w:tc>
          <w:tcPr>
            <w:tcW w:w="2835" w:type="dxa"/>
            <w:vAlign w:val="center"/>
          </w:tcPr>
          <w:p>
            <w:pPr>
              <w:pStyle w:val="21"/>
            </w:pPr>
            <w:r>
              <w:rPr>
                <w:rFonts w:hint="eastAsia"/>
              </w:rPr>
              <w:t>按时支付水电暖等日常费用</w:t>
            </w:r>
          </w:p>
        </w:tc>
        <w:tc>
          <w:tcPr>
            <w:tcW w:w="2551" w:type="dxa"/>
            <w:vAlign w:val="center"/>
          </w:tcPr>
          <w:p>
            <w:pPr>
              <w:pStyle w:val="21"/>
            </w:pPr>
            <w:r>
              <w:rPr>
                <w:rFonts w:hint="eastAsia"/>
              </w:rPr>
              <w:t>按时支付水电暖等日常费用</w:t>
            </w:r>
          </w:p>
        </w:tc>
        <w:tc>
          <w:tcPr>
            <w:tcW w:w="2268" w:type="dxa"/>
            <w:vAlign w:val="center"/>
          </w:tcPr>
          <w:p>
            <w:pPr>
              <w:pStyle w:val="21"/>
            </w:pPr>
            <w:r>
              <w:rPr>
                <w:rFonts w:hint="eastAsia"/>
              </w:rPr>
              <w:t>按时支付水电暖等日常费用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机关运行质量</w:t>
            </w:r>
          </w:p>
        </w:tc>
        <w:tc>
          <w:tcPr>
            <w:tcW w:w="2835" w:type="dxa"/>
            <w:vAlign w:val="center"/>
          </w:tcPr>
          <w:p>
            <w:pPr>
              <w:pStyle w:val="21"/>
            </w:pPr>
            <w:r>
              <w:rPr>
                <w:rFonts w:hint="eastAsia"/>
              </w:rPr>
              <w:t>机关运行质量</w:t>
            </w:r>
          </w:p>
        </w:tc>
        <w:tc>
          <w:tcPr>
            <w:tcW w:w="2551" w:type="dxa"/>
            <w:vAlign w:val="center"/>
          </w:tcPr>
          <w:p>
            <w:pPr>
              <w:pStyle w:val="21"/>
            </w:pPr>
            <w:r>
              <w:rPr>
                <w:rFonts w:hint="eastAsia"/>
              </w:rPr>
              <w:t>机关运行质量</w:t>
            </w:r>
          </w:p>
        </w:tc>
        <w:tc>
          <w:tcPr>
            <w:tcW w:w="2268" w:type="dxa"/>
            <w:vAlign w:val="center"/>
          </w:tcPr>
          <w:p>
            <w:pPr>
              <w:pStyle w:val="21"/>
            </w:pPr>
            <w:r>
              <w:rPr>
                <w:rFonts w:hint="eastAsia"/>
              </w:rPr>
              <w:t>机关运行质量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资金支付及时率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确保本单位的工作正常运转</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保障机关单位正常运转</w:t>
            </w:r>
          </w:p>
        </w:tc>
        <w:tc>
          <w:tcPr>
            <w:tcW w:w="2835" w:type="dxa"/>
            <w:vAlign w:val="center"/>
          </w:tcPr>
          <w:p>
            <w:pPr>
              <w:pStyle w:val="21"/>
            </w:pPr>
            <w:r>
              <w:rPr>
                <w:rFonts w:hint="eastAsia"/>
              </w:rPr>
              <w:t>通过开展维修、购置等工作</w:t>
            </w:r>
          </w:p>
        </w:tc>
        <w:tc>
          <w:tcPr>
            <w:tcW w:w="2551" w:type="dxa"/>
            <w:vAlign w:val="center"/>
          </w:tcPr>
          <w:p>
            <w:pPr>
              <w:pStyle w:val="21"/>
            </w:pPr>
            <w:r>
              <w:rPr>
                <w:rFonts w:hint="eastAsia"/>
              </w:rPr>
              <w:t>保障机关单位正常运转</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发放工资人员对工资的满意度</w:t>
            </w:r>
          </w:p>
        </w:tc>
        <w:tc>
          <w:tcPr>
            <w:tcW w:w="2551" w:type="dxa"/>
            <w:vAlign w:val="center"/>
          </w:tcPr>
          <w:p>
            <w:pPr>
              <w:pStyle w:val="21"/>
            </w:pPr>
            <w:r>
              <w:t>100%</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职工满意度</w:t>
            </w:r>
          </w:p>
        </w:tc>
        <w:tc>
          <w:tcPr>
            <w:tcW w:w="2551" w:type="dxa"/>
            <w:vAlign w:val="center"/>
          </w:tcPr>
          <w:p>
            <w:pPr>
              <w:pStyle w:val="21"/>
            </w:pPr>
            <w:r>
              <w:t>100%</w:t>
            </w:r>
          </w:p>
        </w:tc>
        <w:tc>
          <w:tcPr>
            <w:tcW w:w="2268" w:type="dxa"/>
            <w:vAlign w:val="center"/>
          </w:tcPr>
          <w:p>
            <w:pPr>
              <w:pStyle w:val="21"/>
            </w:pPr>
            <w:r>
              <w:rPr>
                <w:rFonts w:hint="eastAsia"/>
              </w:rPr>
              <w:t>根据工作情况</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年，无极县融媒体中心（无极县广播电视台）安排政府采购预算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8674" w:type="dxa"/>
            <w:gridSpan w:val="9"/>
            <w:tcBorders>
              <w:top w:val="single" w:color="FFFFFF" w:sz="6" w:space="0"/>
              <w:left w:val="single" w:color="FFFFFF" w:sz="6" w:space="0"/>
              <w:right w:val="single" w:color="FFFFFF" w:sz="6" w:space="0"/>
            </w:tcBorders>
            <w:vAlign w:val="center"/>
          </w:tcPr>
          <w:p>
            <w:pPr>
              <w:pStyle w:val="3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9"/>
            </w:pPr>
            <w:r>
              <w:rPr>
                <w:rFonts w:hint="eastAsia"/>
              </w:rPr>
              <w:t>政府采购项目来源</w:t>
            </w:r>
          </w:p>
        </w:tc>
        <w:tc>
          <w:tcPr>
            <w:tcW w:w="1134" w:type="dxa"/>
            <w:vMerge w:val="restart"/>
            <w:vAlign w:val="center"/>
          </w:tcPr>
          <w:p>
            <w:pPr>
              <w:pStyle w:val="19"/>
            </w:pPr>
            <w:r>
              <w:rPr>
                <w:rFonts w:hint="eastAsia"/>
              </w:rPr>
              <w:t>采购物品名称</w:t>
            </w:r>
          </w:p>
        </w:tc>
        <w:tc>
          <w:tcPr>
            <w:tcW w:w="1134" w:type="dxa"/>
            <w:vMerge w:val="restart"/>
            <w:vAlign w:val="center"/>
          </w:tcPr>
          <w:p>
            <w:pPr>
              <w:pStyle w:val="19"/>
            </w:pPr>
            <w:r>
              <w:rPr>
                <w:rFonts w:hint="eastAsia"/>
              </w:rPr>
              <w:t>政府采购目录序号</w:t>
            </w:r>
          </w:p>
        </w:tc>
        <w:tc>
          <w:tcPr>
            <w:tcW w:w="709" w:type="dxa"/>
            <w:vMerge w:val="restart"/>
            <w:vAlign w:val="center"/>
          </w:tcPr>
          <w:p>
            <w:pPr>
              <w:pStyle w:val="19"/>
            </w:pPr>
            <w:r>
              <w:rPr>
                <w:rFonts w:hint="eastAsia"/>
              </w:rPr>
              <w:t>计量</w:t>
            </w:r>
            <w:r>
              <w:t xml:space="preserve">  </w:t>
            </w:r>
            <w:r>
              <w:rPr>
                <w:rFonts w:hint="eastAsia"/>
              </w:rPr>
              <w:t>单位</w:t>
            </w:r>
          </w:p>
        </w:tc>
        <w:tc>
          <w:tcPr>
            <w:tcW w:w="850" w:type="dxa"/>
            <w:vMerge w:val="restart"/>
            <w:vAlign w:val="center"/>
          </w:tcPr>
          <w:p>
            <w:pPr>
              <w:pStyle w:val="19"/>
            </w:pPr>
            <w:r>
              <w:rPr>
                <w:rFonts w:hint="eastAsia"/>
              </w:rPr>
              <w:t>数量</w:t>
            </w:r>
          </w:p>
        </w:tc>
        <w:tc>
          <w:tcPr>
            <w:tcW w:w="850" w:type="dxa"/>
            <w:vMerge w:val="restart"/>
            <w:vAlign w:val="center"/>
          </w:tcPr>
          <w:p>
            <w:pPr>
              <w:pStyle w:val="19"/>
            </w:pPr>
            <w:r>
              <w:rPr>
                <w:rFonts w:hint="eastAsia"/>
              </w:rPr>
              <w:t>单价</w:t>
            </w:r>
          </w:p>
        </w:tc>
        <w:tc>
          <w:tcPr>
            <w:tcW w:w="7710" w:type="dxa"/>
            <w:gridSpan w:val="8"/>
            <w:vAlign w:val="center"/>
          </w:tcPr>
          <w:p>
            <w:pPr>
              <w:pStyle w:val="19"/>
            </w:pPr>
            <w:r>
              <w:rPr>
                <w:rFonts w:hint="eastAsia"/>
              </w:rPr>
              <w:t>政府采购金额（当年部门预算安排资金）</w:t>
            </w:r>
          </w:p>
        </w:tc>
        <w:tc>
          <w:tcPr>
            <w:tcW w:w="964" w:type="dxa"/>
            <w:vMerge w:val="restart"/>
            <w:vAlign w:val="center"/>
          </w:tcPr>
          <w:p>
            <w:pPr>
              <w:pStyle w:val="19"/>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9"/>
            </w:pPr>
            <w:r>
              <w:rPr>
                <w:rFonts w:hint="eastAsia"/>
              </w:rPr>
              <w:t>项目名称</w:t>
            </w:r>
          </w:p>
        </w:tc>
        <w:tc>
          <w:tcPr>
            <w:tcW w:w="964" w:type="dxa"/>
            <w:vAlign w:val="center"/>
          </w:tcPr>
          <w:p>
            <w:pPr>
              <w:pStyle w:val="19"/>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9"/>
            </w:pPr>
            <w:r>
              <w:rPr>
                <w:rFonts w:hint="eastAsia"/>
              </w:rPr>
              <w:t>合计</w:t>
            </w:r>
          </w:p>
        </w:tc>
        <w:tc>
          <w:tcPr>
            <w:tcW w:w="964" w:type="dxa"/>
            <w:vAlign w:val="center"/>
          </w:tcPr>
          <w:p>
            <w:pPr>
              <w:pStyle w:val="19"/>
            </w:pPr>
            <w:r>
              <w:rPr>
                <w:rFonts w:hint="eastAsia"/>
              </w:rPr>
              <w:t>一般公共预算拨款</w:t>
            </w:r>
          </w:p>
        </w:tc>
        <w:tc>
          <w:tcPr>
            <w:tcW w:w="964" w:type="dxa"/>
            <w:vAlign w:val="center"/>
          </w:tcPr>
          <w:p>
            <w:pPr>
              <w:pStyle w:val="19"/>
            </w:pPr>
            <w:r>
              <w:rPr>
                <w:rFonts w:hint="eastAsia"/>
              </w:rPr>
              <w:t>基金预算拨款</w:t>
            </w:r>
          </w:p>
        </w:tc>
        <w:tc>
          <w:tcPr>
            <w:tcW w:w="964" w:type="dxa"/>
            <w:vAlign w:val="center"/>
          </w:tcPr>
          <w:p>
            <w:pPr>
              <w:pStyle w:val="19"/>
            </w:pPr>
            <w:r>
              <w:rPr>
                <w:rFonts w:hint="eastAsia"/>
              </w:rPr>
              <w:t>国有资本经营预算拨款</w:t>
            </w:r>
          </w:p>
        </w:tc>
        <w:tc>
          <w:tcPr>
            <w:tcW w:w="964" w:type="dxa"/>
            <w:vAlign w:val="center"/>
          </w:tcPr>
          <w:p>
            <w:pPr>
              <w:pStyle w:val="19"/>
            </w:pPr>
            <w:r>
              <w:rPr>
                <w:rFonts w:hint="eastAsia"/>
              </w:rPr>
              <w:t>财政专户核拨</w:t>
            </w:r>
          </w:p>
        </w:tc>
        <w:tc>
          <w:tcPr>
            <w:tcW w:w="964" w:type="dxa"/>
            <w:vAlign w:val="center"/>
          </w:tcPr>
          <w:p>
            <w:pPr>
              <w:pStyle w:val="19"/>
            </w:pPr>
            <w:r>
              <w:rPr>
                <w:rFonts w:hint="eastAsia"/>
              </w:rPr>
              <w:t>单位</w:t>
            </w:r>
            <w:r>
              <w:t xml:space="preserve">    </w:t>
            </w:r>
            <w:r>
              <w:rPr>
                <w:rFonts w:hint="eastAsia"/>
              </w:rPr>
              <w:t>资金</w:t>
            </w:r>
          </w:p>
        </w:tc>
        <w:tc>
          <w:tcPr>
            <w:tcW w:w="964" w:type="dxa"/>
            <w:vAlign w:val="center"/>
          </w:tcPr>
          <w:p>
            <w:pPr>
              <w:pStyle w:val="19"/>
            </w:pPr>
            <w:r>
              <w:rPr>
                <w:rFonts w:hint="eastAsia"/>
              </w:rPr>
              <w:t>财政拨</w:t>
            </w:r>
            <w:r>
              <w:t xml:space="preserve">    </w:t>
            </w:r>
            <w:r>
              <w:rPr>
                <w:rFonts w:hint="eastAsia"/>
              </w:rPr>
              <w:t>款结转</w:t>
            </w:r>
          </w:p>
        </w:tc>
        <w:tc>
          <w:tcPr>
            <w:tcW w:w="964" w:type="dxa"/>
            <w:vAlign w:val="center"/>
          </w:tcPr>
          <w:p>
            <w:pPr>
              <w:pStyle w:val="19"/>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1"/>
            </w:pP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22"/>
            </w:pPr>
          </w:p>
        </w:tc>
        <w:tc>
          <w:tcPr>
            <w:tcW w:w="850" w:type="dxa"/>
            <w:vAlign w:val="center"/>
          </w:tcPr>
          <w:p>
            <w:pPr>
              <w:pStyle w:val="20"/>
            </w:pPr>
          </w:p>
        </w:tc>
        <w:tc>
          <w:tcPr>
            <w:tcW w:w="850"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无极县融媒体中心（无极县广播电视台）（含所属单位）上年末固定资产金额为</w:t>
      </w:r>
      <w:r>
        <w:rPr>
          <w:rFonts w:eastAsia="方正仿宋_GBK"/>
          <w:color w:val="000000"/>
          <w:sz w:val="28"/>
        </w:rPr>
        <w:t>2076.17</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rPr>
        <w:t>部门固定资产占用情况表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8"/>
            </w:pPr>
            <w:r>
              <w:t>359</w:t>
            </w:r>
            <w:r>
              <w:rPr>
                <w:rFonts w:hint="eastAsia"/>
              </w:rPr>
              <w:t>无极县融媒体中心（无极县广播电视台）</w:t>
            </w:r>
          </w:p>
        </w:tc>
        <w:tc>
          <w:tcPr>
            <w:tcW w:w="5669" w:type="dxa"/>
            <w:gridSpan w:val="2"/>
            <w:tcBorders>
              <w:top w:val="single" w:color="FFFFFF" w:sz="6" w:space="0"/>
              <w:left w:val="single" w:color="FFFFFF" w:sz="6" w:space="0"/>
              <w:right w:val="single" w:color="FFFFFF" w:sz="6" w:space="0"/>
            </w:tcBorders>
            <w:vAlign w:val="center"/>
          </w:tcPr>
          <w:p>
            <w:pPr>
              <w:pStyle w:val="16"/>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9"/>
            </w:pPr>
            <w:r>
              <w:rPr>
                <w:rFonts w:hint="eastAsia"/>
              </w:rPr>
              <w:t>项</w:t>
            </w:r>
            <w:r>
              <w:t xml:space="preserve">   </w:t>
            </w:r>
            <w:r>
              <w:rPr>
                <w:rFonts w:hint="eastAsia"/>
              </w:rPr>
              <w:t>目</w:t>
            </w:r>
          </w:p>
        </w:tc>
        <w:tc>
          <w:tcPr>
            <w:tcW w:w="2835" w:type="dxa"/>
            <w:vAlign w:val="center"/>
          </w:tcPr>
          <w:p>
            <w:pPr>
              <w:pStyle w:val="19"/>
            </w:pPr>
            <w:r>
              <w:rPr>
                <w:rFonts w:hint="eastAsia"/>
              </w:rPr>
              <w:t>数量</w:t>
            </w:r>
          </w:p>
        </w:tc>
        <w:tc>
          <w:tcPr>
            <w:tcW w:w="2835" w:type="dxa"/>
            <w:vAlign w:val="center"/>
          </w:tcPr>
          <w:p>
            <w:pPr>
              <w:pStyle w:val="19"/>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rPr>
                <w:rFonts w:hint="eastAsia"/>
              </w:rPr>
              <w:t>资产总额</w:t>
            </w:r>
          </w:p>
        </w:tc>
        <w:tc>
          <w:tcPr>
            <w:tcW w:w="2835" w:type="dxa"/>
            <w:vAlign w:val="center"/>
          </w:tcPr>
          <w:p>
            <w:pPr>
              <w:pStyle w:val="22"/>
            </w:pPr>
          </w:p>
        </w:tc>
        <w:tc>
          <w:tcPr>
            <w:tcW w:w="2835" w:type="dxa"/>
            <w:vAlign w:val="center"/>
          </w:tcPr>
          <w:p>
            <w:pPr>
              <w:pStyle w:val="20"/>
            </w:pPr>
            <w:r>
              <w:t>2076.17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1</w:t>
            </w:r>
            <w:r>
              <w:rPr>
                <w:rFonts w:hint="eastAsia"/>
              </w:rPr>
              <w:t>、房屋（平方米）</w:t>
            </w:r>
          </w:p>
        </w:tc>
        <w:tc>
          <w:tcPr>
            <w:tcW w:w="2835" w:type="dxa"/>
            <w:vAlign w:val="center"/>
          </w:tcPr>
          <w:p>
            <w:pPr>
              <w:pStyle w:val="22"/>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rPr>
                <w:rFonts w:hint="eastAsia"/>
              </w:rPr>
              <w:t>　　其中：办公用房（平方米）</w:t>
            </w:r>
          </w:p>
        </w:tc>
        <w:tc>
          <w:tcPr>
            <w:tcW w:w="2835" w:type="dxa"/>
            <w:vAlign w:val="center"/>
          </w:tcPr>
          <w:p>
            <w:pPr>
              <w:pStyle w:val="22"/>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2</w:t>
            </w:r>
            <w:r>
              <w:rPr>
                <w:rFonts w:hint="eastAsia"/>
              </w:rPr>
              <w:t>、车辆（台、辆）</w:t>
            </w:r>
          </w:p>
        </w:tc>
        <w:tc>
          <w:tcPr>
            <w:tcW w:w="2835" w:type="dxa"/>
            <w:vAlign w:val="center"/>
          </w:tcPr>
          <w:p>
            <w:pPr>
              <w:pStyle w:val="22"/>
            </w:pPr>
          </w:p>
        </w:tc>
        <w:tc>
          <w:tcPr>
            <w:tcW w:w="2835" w:type="dxa"/>
            <w:vAlign w:val="center"/>
          </w:tcPr>
          <w:p>
            <w:pPr>
              <w:pStyle w:val="20"/>
            </w:pPr>
            <w:r>
              <w:t>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3</w:t>
            </w:r>
            <w:r>
              <w:rPr>
                <w:rFonts w:hint="eastAsia"/>
              </w:rPr>
              <w:t>、单价在</w:t>
            </w:r>
            <w:r>
              <w:t>20</w:t>
            </w:r>
            <w:r>
              <w:rPr>
                <w:rFonts w:hint="eastAsia"/>
              </w:rPr>
              <w:t>万元以上的设备</w:t>
            </w:r>
          </w:p>
        </w:tc>
        <w:tc>
          <w:tcPr>
            <w:tcW w:w="2835" w:type="dxa"/>
            <w:vAlign w:val="center"/>
          </w:tcPr>
          <w:p>
            <w:pPr>
              <w:pStyle w:val="22"/>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4</w:t>
            </w:r>
            <w:r>
              <w:rPr>
                <w:rFonts w:hint="eastAsia"/>
              </w:rPr>
              <w:t>、其他固定资产</w:t>
            </w:r>
          </w:p>
        </w:tc>
        <w:tc>
          <w:tcPr>
            <w:tcW w:w="2835" w:type="dxa"/>
            <w:vAlign w:val="center"/>
          </w:tcPr>
          <w:p>
            <w:pPr>
              <w:pStyle w:val="22"/>
            </w:pPr>
          </w:p>
        </w:tc>
        <w:tc>
          <w:tcPr>
            <w:tcW w:w="2835" w:type="dxa"/>
            <w:vAlign w:val="center"/>
          </w:tcPr>
          <w:p>
            <w:pPr>
              <w:pStyle w:val="20"/>
            </w:pPr>
            <w:r>
              <w:t>2049.90</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指县级财政当年拨付的资金。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纳入县级财政预算管理的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6D0FD4"/>
    <w:multiLevelType w:val="singleLevel"/>
    <w:tmpl w:val="486D0FD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A5NDA5YjcyNmUwYzUxNjU0MTA4ZDFkZGUwODczYzcifQ=="/>
  </w:docVars>
  <w:rsids>
    <w:rsidRoot w:val="0050002C"/>
    <w:rsid w:val="00012820"/>
    <w:rsid w:val="003E6455"/>
    <w:rsid w:val="004326C5"/>
    <w:rsid w:val="0050002C"/>
    <w:rsid w:val="005224DF"/>
    <w:rsid w:val="005249E2"/>
    <w:rsid w:val="00533A6D"/>
    <w:rsid w:val="00536F97"/>
    <w:rsid w:val="00774CC0"/>
    <w:rsid w:val="008D3521"/>
    <w:rsid w:val="00921AC7"/>
    <w:rsid w:val="009D0CBC"/>
    <w:rsid w:val="009F31C6"/>
    <w:rsid w:val="00AA0E11"/>
    <w:rsid w:val="00B76121"/>
    <w:rsid w:val="00C3494A"/>
    <w:rsid w:val="00CC2010"/>
    <w:rsid w:val="00D55617"/>
    <w:rsid w:val="00DE6699"/>
    <w:rsid w:val="00E244B1"/>
    <w:rsid w:val="00EE5E67"/>
    <w:rsid w:val="00EF5FBE"/>
    <w:rsid w:val="00F010B7"/>
    <w:rsid w:val="00F9489B"/>
    <w:rsid w:val="00FB562B"/>
    <w:rsid w:val="06C137B6"/>
    <w:rsid w:val="08AB6CC1"/>
    <w:rsid w:val="11260C0F"/>
    <w:rsid w:val="14981857"/>
    <w:rsid w:val="165F479F"/>
    <w:rsid w:val="173858C9"/>
    <w:rsid w:val="33080B07"/>
    <w:rsid w:val="343B0481"/>
    <w:rsid w:val="36FA306B"/>
    <w:rsid w:val="3F83728D"/>
    <w:rsid w:val="44CC2957"/>
    <w:rsid w:val="55B67067"/>
    <w:rsid w:val="5AD55D84"/>
    <w:rsid w:val="5B3C04C9"/>
    <w:rsid w:val="5DE6383D"/>
    <w:rsid w:val="62FA7722"/>
    <w:rsid w:val="6ABE7948"/>
    <w:rsid w:val="6EC8494C"/>
    <w:rsid w:val="6F6658E0"/>
    <w:rsid w:val="73AD1E6F"/>
    <w:rsid w:val="797E4BB2"/>
    <w:rsid w:val="79E230B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2">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41"/>
    <w:semiHidden/>
    <w:qFormat/>
    <w:uiPriority w:val="99"/>
  </w:style>
  <w:style w:type="paragraph" w:styleId="3">
    <w:name w:val="toc 3"/>
    <w:basedOn w:val="1"/>
    <w:next w:val="1"/>
    <w:qFormat/>
    <w:uiPriority w:val="99"/>
    <w:pPr>
      <w:ind w:left="480"/>
    </w:pPr>
  </w:style>
  <w:style w:type="paragraph" w:styleId="4">
    <w:name w:val="Balloon Text"/>
    <w:basedOn w:val="1"/>
    <w:link w:val="42"/>
    <w:semiHidden/>
    <w:qFormat/>
    <w:uiPriority w:val="99"/>
    <w:rPr>
      <w:sz w:val="18"/>
      <w:szCs w:val="18"/>
    </w:rPr>
  </w:style>
  <w:style w:type="paragraph" w:styleId="5">
    <w:name w:val="footer"/>
    <w:basedOn w:val="1"/>
    <w:link w:val="39"/>
    <w:qFormat/>
    <w:uiPriority w:val="99"/>
    <w:pPr>
      <w:tabs>
        <w:tab w:val="center" w:pos="4153"/>
        <w:tab w:val="right" w:pos="8306"/>
      </w:tabs>
      <w:snapToGrid w:val="0"/>
    </w:pPr>
    <w:rPr>
      <w:sz w:val="18"/>
      <w:szCs w:val="18"/>
    </w:rPr>
  </w:style>
  <w:style w:type="paragraph" w:styleId="6">
    <w:name w:val="header"/>
    <w:basedOn w:val="1"/>
    <w:link w:val="38"/>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99"/>
    <w:pPr>
      <w:spacing w:before="120"/>
      <w:ind w:firstLine="560"/>
    </w:pPr>
    <w:rPr>
      <w:rFonts w:eastAsia="方正仿宋_GBK"/>
      <w:color w:val="000000"/>
      <w:sz w:val="28"/>
    </w:rPr>
  </w:style>
  <w:style w:type="paragraph" w:styleId="8">
    <w:name w:val="toc 4"/>
    <w:basedOn w:val="1"/>
    <w:next w:val="1"/>
    <w:qFormat/>
    <w:uiPriority w:val="99"/>
    <w:pPr>
      <w:ind w:left="720"/>
    </w:pPr>
  </w:style>
  <w:style w:type="paragraph" w:styleId="9">
    <w:name w:val="toc 2"/>
    <w:basedOn w:val="1"/>
    <w:next w:val="1"/>
    <w:qFormat/>
    <w:uiPriority w:val="99"/>
    <w:pPr>
      <w:ind w:left="240"/>
    </w:pPr>
  </w:style>
  <w:style w:type="table" w:styleId="11">
    <w:name w:val="Table Grid"/>
    <w:basedOn w:val="10"/>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3">
    <w:name w:val="page number"/>
    <w:basedOn w:val="12"/>
    <w:qFormat/>
    <w:uiPriority w:val="99"/>
    <w:rPr>
      <w:rFonts w:cs="Times New Roman"/>
    </w:rPr>
  </w:style>
  <w:style w:type="character" w:styleId="14">
    <w:name w:val="Hyperlink"/>
    <w:basedOn w:val="12"/>
    <w:qFormat/>
    <w:uiPriority w:val="99"/>
    <w:rPr>
      <w:rFonts w:cs="Times New Roman"/>
      <w:color w:val="0000FF"/>
      <w:u w:val="single"/>
    </w:rPr>
  </w:style>
  <w:style w:type="character" w:styleId="15">
    <w:name w:val="annotation reference"/>
    <w:basedOn w:val="12"/>
    <w:semiHidden/>
    <w:qFormat/>
    <w:uiPriority w:val="99"/>
    <w:rPr>
      <w:rFonts w:cs="Times New Roman"/>
      <w:sz w:val="21"/>
      <w:szCs w:val="21"/>
    </w:rPr>
  </w:style>
  <w:style w:type="paragraph" w:customStyle="1" w:styleId="16">
    <w:name w:val="单元格样式22"/>
    <w:basedOn w:val="1"/>
    <w:qFormat/>
    <w:uiPriority w:val="99"/>
    <w:pPr>
      <w:jc w:val="right"/>
    </w:pPr>
    <w:rPr>
      <w:rFonts w:ascii="方正小标宋_GBK" w:hAnsi="方正小标宋_GBK" w:eastAsia="方正小标宋_GBK" w:cs="方正小标宋_GBK"/>
    </w:rPr>
  </w:style>
  <w:style w:type="paragraph" w:customStyle="1" w:styleId="17">
    <w:name w:val="单元格样式21"/>
    <w:basedOn w:val="1"/>
    <w:qFormat/>
    <w:uiPriority w:val="99"/>
    <w:pPr>
      <w:jc w:val="center"/>
    </w:pPr>
    <w:rPr>
      <w:rFonts w:ascii="方正小标宋_GBK" w:hAnsi="方正小标宋_GBK" w:eastAsia="方正小标宋_GBK" w:cs="方正小标宋_GBK"/>
    </w:rPr>
  </w:style>
  <w:style w:type="paragraph" w:customStyle="1" w:styleId="18">
    <w:name w:val="单元格样式20"/>
    <w:basedOn w:val="1"/>
    <w:qFormat/>
    <w:uiPriority w:val="99"/>
    <w:rPr>
      <w:rFonts w:ascii="方正小标宋_GBK" w:hAnsi="方正小标宋_GBK" w:eastAsia="方正小标宋_GBK" w:cs="方正小标宋_GBK"/>
    </w:rPr>
  </w:style>
  <w:style w:type="paragraph" w:customStyle="1" w:styleId="19">
    <w:name w:val="单元格样式1"/>
    <w:basedOn w:val="1"/>
    <w:qFormat/>
    <w:uiPriority w:val="99"/>
    <w:pPr>
      <w:jc w:val="center"/>
    </w:pPr>
    <w:rPr>
      <w:rFonts w:ascii="方正书宋_GBK" w:hAnsi="方正书宋_GBK" w:eastAsia="方正书宋_GBK" w:cs="方正书宋_GBK"/>
      <w:b/>
      <w:sz w:val="21"/>
    </w:rPr>
  </w:style>
  <w:style w:type="paragraph" w:customStyle="1" w:styleId="20">
    <w:name w:val="单元格样式4"/>
    <w:basedOn w:val="1"/>
    <w:qFormat/>
    <w:uiPriority w:val="99"/>
    <w:pPr>
      <w:jc w:val="right"/>
    </w:pPr>
    <w:rPr>
      <w:rFonts w:ascii="方正书宋_GBK" w:hAnsi="方正书宋_GBK" w:eastAsia="方正书宋_GBK" w:cs="方正书宋_GBK"/>
      <w:sz w:val="21"/>
    </w:rPr>
  </w:style>
  <w:style w:type="paragraph" w:customStyle="1" w:styleId="21">
    <w:name w:val="单元格样式2"/>
    <w:basedOn w:val="1"/>
    <w:qFormat/>
    <w:uiPriority w:val="99"/>
    <w:rPr>
      <w:rFonts w:ascii="方正书宋_GBK" w:hAnsi="方正书宋_GBK" w:eastAsia="方正书宋_GBK" w:cs="方正书宋_GBK"/>
      <w:sz w:val="21"/>
    </w:rPr>
  </w:style>
  <w:style w:type="paragraph" w:customStyle="1" w:styleId="22">
    <w:name w:val="单元格样式3"/>
    <w:basedOn w:val="1"/>
    <w:qFormat/>
    <w:uiPriority w:val="99"/>
    <w:pPr>
      <w:jc w:val="center"/>
    </w:pPr>
    <w:rPr>
      <w:rFonts w:ascii="方正书宋_GBK" w:hAnsi="方正书宋_GBK" w:eastAsia="方正书宋_GBK" w:cs="方正书宋_GBK"/>
      <w:sz w:val="21"/>
    </w:rPr>
  </w:style>
  <w:style w:type="paragraph" w:customStyle="1" w:styleId="23">
    <w:name w:val="单元格样式6"/>
    <w:basedOn w:val="1"/>
    <w:qFormat/>
    <w:uiPriority w:val="99"/>
    <w:pPr>
      <w:jc w:val="center"/>
    </w:pPr>
    <w:rPr>
      <w:rFonts w:ascii="方正书宋_GBK" w:hAnsi="方正书宋_GBK" w:eastAsia="方正书宋_GBK" w:cs="方正书宋_GBK"/>
      <w:b/>
      <w:sz w:val="21"/>
    </w:rPr>
  </w:style>
  <w:style w:type="paragraph" w:customStyle="1" w:styleId="24">
    <w:name w:val="单元格样式7"/>
    <w:basedOn w:val="1"/>
    <w:qFormat/>
    <w:uiPriority w:val="99"/>
    <w:pPr>
      <w:jc w:val="right"/>
    </w:pPr>
    <w:rPr>
      <w:rFonts w:ascii="方正书宋_GBK" w:hAnsi="方正书宋_GBK" w:eastAsia="方正书宋_GBK" w:cs="方正书宋_GBK"/>
      <w:b/>
      <w:sz w:val="21"/>
    </w:rPr>
  </w:style>
  <w:style w:type="paragraph" w:customStyle="1" w:styleId="25">
    <w:name w:val="单元格样式5"/>
    <w:basedOn w:val="1"/>
    <w:qFormat/>
    <w:uiPriority w:val="99"/>
    <w:rPr>
      <w:rFonts w:ascii="方正书宋_GBK" w:hAnsi="方正书宋_GBK" w:eastAsia="方正书宋_GBK" w:cs="方正书宋_GBK"/>
      <w:b/>
      <w:sz w:val="21"/>
    </w:rPr>
  </w:style>
  <w:style w:type="paragraph" w:customStyle="1" w:styleId="26">
    <w:name w:val="插入文本样式-插入部门职责文件"/>
    <w:basedOn w:val="1"/>
    <w:qFormat/>
    <w:uiPriority w:val="99"/>
    <w:pPr>
      <w:spacing w:line="500" w:lineRule="exact"/>
      <w:ind w:firstLine="560"/>
    </w:pPr>
    <w:rPr>
      <w:rFonts w:eastAsia="方正仿宋_GBK"/>
      <w:sz w:val="28"/>
    </w:rPr>
  </w:style>
  <w:style w:type="paragraph" w:customStyle="1" w:styleId="27">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8">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9">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30">
    <w:name w:val="插入文本样式-插入总体目标文件"/>
    <w:basedOn w:val="1"/>
    <w:qFormat/>
    <w:uiPriority w:val="99"/>
    <w:pPr>
      <w:spacing w:line="500" w:lineRule="exact"/>
      <w:ind w:firstLine="560"/>
    </w:pPr>
    <w:rPr>
      <w:rFonts w:eastAsia="方正仿宋_GBK"/>
      <w:sz w:val="28"/>
    </w:rPr>
  </w:style>
  <w:style w:type="paragraph" w:customStyle="1" w:styleId="31">
    <w:name w:val="插入文本样式-插入职责分类绩效目标文件"/>
    <w:basedOn w:val="1"/>
    <w:qFormat/>
    <w:uiPriority w:val="99"/>
    <w:pPr>
      <w:spacing w:line="500" w:lineRule="exact"/>
      <w:ind w:firstLine="560"/>
    </w:pPr>
    <w:rPr>
      <w:rFonts w:eastAsia="方正仿宋_GBK"/>
      <w:sz w:val="28"/>
    </w:rPr>
  </w:style>
  <w:style w:type="paragraph" w:customStyle="1" w:styleId="32">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33">
    <w:name w:val="单元格样式23"/>
    <w:basedOn w:val="1"/>
    <w:qFormat/>
    <w:uiPriority w:val="99"/>
    <w:pPr>
      <w:jc w:val="right"/>
    </w:pPr>
    <w:rPr>
      <w:rFonts w:ascii="方正书宋_GBK" w:hAnsi="方正书宋_GBK" w:eastAsia="方正书宋_GBK" w:cs="方正书宋_GBK"/>
    </w:rPr>
  </w:style>
  <w:style w:type="paragraph" w:customStyle="1" w:styleId="34">
    <w:name w:val="插入文本样式-插入单位职责文件"/>
    <w:basedOn w:val="1"/>
    <w:qFormat/>
    <w:uiPriority w:val="99"/>
    <w:pPr>
      <w:spacing w:line="500" w:lineRule="exact"/>
      <w:ind w:firstLine="560"/>
    </w:pPr>
    <w:rPr>
      <w:rFonts w:eastAsia="方正仿宋_GBK"/>
      <w:sz w:val="28"/>
    </w:rPr>
  </w:style>
  <w:style w:type="paragraph" w:customStyle="1" w:styleId="35">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6">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7">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8">
    <w:name w:val="Header Char"/>
    <w:basedOn w:val="12"/>
    <w:link w:val="6"/>
    <w:semiHidden/>
    <w:qFormat/>
    <w:locked/>
    <w:uiPriority w:val="99"/>
    <w:rPr>
      <w:rFonts w:cs="Times New Roman"/>
      <w:kern w:val="0"/>
      <w:sz w:val="18"/>
      <w:szCs w:val="18"/>
      <w:lang w:eastAsia="uk-UA"/>
    </w:rPr>
  </w:style>
  <w:style w:type="character" w:customStyle="1" w:styleId="39">
    <w:name w:val="Footer Char"/>
    <w:basedOn w:val="12"/>
    <w:link w:val="5"/>
    <w:semiHidden/>
    <w:qFormat/>
    <w:locked/>
    <w:uiPriority w:val="99"/>
    <w:rPr>
      <w:rFonts w:cs="Times New Roman"/>
      <w:kern w:val="0"/>
      <w:sz w:val="18"/>
      <w:szCs w:val="18"/>
      <w:lang w:eastAsia="uk-UA"/>
    </w:rPr>
  </w:style>
  <w:style w:type="paragraph" w:styleId="40">
    <w:name w:val="List Paragraph"/>
    <w:basedOn w:val="1"/>
    <w:qFormat/>
    <w:uiPriority w:val="99"/>
    <w:pPr>
      <w:widowControl w:val="0"/>
      <w:ind w:firstLine="420" w:firstLineChars="200"/>
      <w:jc w:val="both"/>
    </w:pPr>
    <w:rPr>
      <w:rFonts w:ascii="Calibri" w:hAnsi="Calibri"/>
      <w:kern w:val="2"/>
      <w:sz w:val="21"/>
      <w:szCs w:val="22"/>
      <w:lang w:eastAsia="zh-CN"/>
    </w:rPr>
  </w:style>
  <w:style w:type="character" w:customStyle="1" w:styleId="41">
    <w:name w:val="Comment Text Char"/>
    <w:basedOn w:val="12"/>
    <w:link w:val="2"/>
    <w:semiHidden/>
    <w:qFormat/>
    <w:locked/>
    <w:uiPriority w:val="99"/>
    <w:rPr>
      <w:rFonts w:eastAsia="宋体" w:cs="Times New Roman"/>
      <w:sz w:val="24"/>
      <w:szCs w:val="24"/>
      <w:lang w:val="en-US" w:eastAsia="uk-UA" w:bidi="ar-SA"/>
    </w:rPr>
  </w:style>
  <w:style w:type="character" w:customStyle="1" w:styleId="42">
    <w:name w:val="Balloon Text Char"/>
    <w:basedOn w:val="12"/>
    <w:link w:val="4"/>
    <w:semiHidden/>
    <w:qFormat/>
    <w:locked/>
    <w:uiPriority w:val="99"/>
    <w:rPr>
      <w:rFonts w:cs="Times New Roman"/>
      <w:kern w:val="0"/>
      <w:sz w:val="2"/>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30</Pages>
  <Words>9993</Words>
  <Characters>11103</Characters>
  <Lines>0</Lines>
  <Paragraphs>0</Paragraphs>
  <TotalTime>2</TotalTime>
  <ScaleCrop>false</ScaleCrop>
  <LinksUpToDate>false</LinksUpToDate>
  <CharactersWithSpaces>11253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2022-06-22T08:59:00Z</dcterms:created>
  <dc:creator>微软用户</dc:creator>
  <cp:lastModifiedBy>Administrator</cp:lastModifiedBy>
  <cp:lastPrinted>2023-08-31T05:18:00Z</cp:lastPrinted>
  <dcterms:modified xsi:type="dcterms:W3CDTF">2024-06-20T15:21:43Z</dcterms:modified>
  <dc:title>2022年部门预算信息公开目录</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CD89AFDC5ED74AF99893D0A4A33D657A</vt:lpwstr>
  </property>
</Properties>
</file>