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无极县住建局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hint="eastAsia" w:ascii="仿宋" w:hAnsi="仿宋" w:eastAsia="仿宋" w:cs="仿宋"/>
          <w:sz w:val="32"/>
          <w:szCs w:val="32"/>
        </w:rPr>
      </w:pPr>
      <w:r>
        <w:rPr>
          <w:rFonts w:hint="eastAsia" w:ascii="仿宋" w:hAnsi="仿宋" w:eastAsia="仿宋" w:cs="仿宋"/>
          <w:sz w:val="32"/>
          <w:szCs w:val="32"/>
        </w:rPr>
        <w:t>一、部门职责及机构设置情况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三、机关运行经费安排情况</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五、绩效预算信息</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六、政府采购预算情况</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七、国有资产信息</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八、名词解释</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bookmarkStart w:id="1" w:name="_GoBack"/>
      <w:bookmarkEnd w:id="1"/>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、《地方预决算公开操作规程》和《河北省省级预算公开办法》规定，现将无极县住建局2019年部门预算公开如下：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hint="eastAsia" w:ascii="仿宋" w:hAnsi="仿宋" w:eastAsia="仿宋" w:cs="仿宋"/>
          <w:b/>
          <w:bCs/>
          <w:sz w:val="32"/>
          <w:szCs w:val="32"/>
        </w:rPr>
      </w:pPr>
      <w:r>
        <w:rPr>
          <w:rFonts w:hint="eastAsia" w:ascii="仿宋" w:hAnsi="仿宋" w:eastAsia="仿宋" w:cs="仿宋"/>
          <w:b/>
          <w:bCs/>
          <w:sz w:val="32"/>
          <w:szCs w:val="32"/>
        </w:rPr>
        <w:t>（一）部门职责</w:t>
      </w:r>
    </w:p>
    <w:p>
      <w:pPr>
        <w:ind w:firstLine="645"/>
        <w:rPr>
          <w:rFonts w:ascii="仿宋" w:hAnsi="仿宋" w:eastAsia="仿宋" w:cs="仿宋_GB2312"/>
          <w:sz w:val="32"/>
          <w:szCs w:val="32"/>
        </w:rPr>
      </w:pPr>
      <w:r>
        <w:rPr>
          <w:rFonts w:hint="eastAsia" w:ascii="仿宋" w:hAnsi="仿宋" w:eastAsia="仿宋" w:cs="仿宋"/>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pPr>
        <w:rPr>
          <w:rFonts w:ascii="楷体" w:hAnsi="楷体" w:eastAsia="楷体" w:cs="仿宋_GB2312"/>
          <w:sz w:val="32"/>
          <w:szCs w:val="32"/>
        </w:rPr>
      </w:pPr>
    </w:p>
    <w:p>
      <w:pPr>
        <w:ind w:firstLine="645"/>
        <w:rPr>
          <w:rFonts w:hint="eastAsia" w:ascii="仿宋" w:hAnsi="仿宋" w:eastAsia="仿宋" w:cs="仿宋"/>
          <w:b/>
          <w:bCs/>
          <w:sz w:val="32"/>
          <w:szCs w:val="32"/>
        </w:rPr>
      </w:pPr>
      <w:r>
        <w:rPr>
          <w:rFonts w:hint="eastAsia" w:ascii="仿宋" w:hAnsi="仿宋" w:eastAsia="仿宋" w:cs="仿宋"/>
          <w:b/>
          <w:bCs/>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2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3"/>
        <w:gridCol w:w="2774"/>
        <w:gridCol w:w="2126"/>
        <w:gridCol w:w="48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tblHeader/>
          <w:jc w:val="center"/>
        </w:trPr>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277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4819"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tblHeader/>
          <w:jc w:val="center"/>
        </w:trPr>
        <w:tc>
          <w:tcPr>
            <w:tcW w:w="3013" w:type="dxa"/>
            <w:vMerge w:val="continue"/>
            <w:vAlign w:val="center"/>
          </w:tcPr>
          <w:p>
            <w:pPr>
              <w:spacing w:line="300" w:lineRule="exact"/>
              <w:jc w:val="left"/>
              <w:outlineLvl w:val="0"/>
            </w:pPr>
          </w:p>
        </w:tc>
        <w:tc>
          <w:tcPr>
            <w:tcW w:w="2774" w:type="dxa"/>
            <w:vMerge w:val="continue"/>
            <w:vAlign w:val="center"/>
          </w:tcPr>
          <w:p>
            <w:pPr>
              <w:spacing w:line="300" w:lineRule="exact"/>
              <w:jc w:val="left"/>
              <w:outlineLvl w:val="0"/>
            </w:pPr>
          </w:p>
        </w:tc>
        <w:tc>
          <w:tcPr>
            <w:tcW w:w="2126" w:type="dxa"/>
            <w:vMerge w:val="continue"/>
            <w:vAlign w:val="center"/>
          </w:tcPr>
          <w:p>
            <w:pPr>
              <w:spacing w:line="300" w:lineRule="exact"/>
              <w:jc w:val="left"/>
              <w:outlineLvl w:val="0"/>
            </w:pPr>
          </w:p>
        </w:tc>
        <w:tc>
          <w:tcPr>
            <w:tcW w:w="4819"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jc w:val="center"/>
        </w:trPr>
        <w:tc>
          <w:tcPr>
            <w:tcW w:w="3013" w:type="dxa"/>
            <w:vAlign w:val="center"/>
          </w:tcPr>
          <w:p>
            <w:pPr>
              <w:spacing w:line="300" w:lineRule="exact"/>
              <w:jc w:val="left"/>
              <w:rPr>
                <w:rFonts w:ascii="方正书宋_GBK" w:eastAsia="方正书宋_GBK"/>
              </w:rPr>
            </w:pPr>
            <w:r>
              <w:rPr>
                <w:rFonts w:hint="eastAsia" w:ascii="方正书宋_GBK" w:eastAsia="方正书宋_GBK"/>
              </w:rPr>
              <w:t>无极县住房和城乡建设局</w:t>
            </w:r>
          </w:p>
        </w:tc>
        <w:tc>
          <w:tcPr>
            <w:tcW w:w="2774"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4819"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3013" w:type="dxa"/>
            <w:vAlign w:val="center"/>
          </w:tcPr>
          <w:p>
            <w:pPr>
              <w:spacing w:line="300" w:lineRule="exact"/>
              <w:jc w:val="left"/>
              <w:rPr>
                <w:rFonts w:ascii="方正书宋_GBK" w:eastAsia="方正书宋_GBK"/>
              </w:rPr>
            </w:pPr>
            <w:r>
              <w:rPr>
                <w:rFonts w:hint="eastAsia" w:ascii="方正书宋_GBK" w:eastAsia="方正书宋_GBK"/>
              </w:rPr>
              <w:t>无极县建筑工程质量监督站</w:t>
            </w:r>
          </w:p>
        </w:tc>
        <w:tc>
          <w:tcPr>
            <w:tcW w:w="2774" w:type="dxa"/>
            <w:vAlign w:val="center"/>
          </w:tcPr>
          <w:p>
            <w:pPr>
              <w:spacing w:line="300" w:lineRule="exact"/>
              <w:jc w:val="center"/>
              <w:rPr>
                <w:rFonts w:ascii="方正书宋_GBK" w:eastAsia="方正书宋_GBK"/>
              </w:rPr>
            </w:pPr>
            <w:r>
              <w:rPr>
                <w:rFonts w:hint="eastAsia" w:ascii="方正书宋_GBK"/>
              </w:rPr>
              <w:t>自收自支</w:t>
            </w:r>
          </w:p>
        </w:tc>
        <w:tc>
          <w:tcPr>
            <w:tcW w:w="2126" w:type="dxa"/>
            <w:vAlign w:val="center"/>
          </w:tcPr>
          <w:p>
            <w:pPr>
              <w:spacing w:line="300" w:lineRule="exact"/>
              <w:jc w:val="center"/>
              <w:rPr>
                <w:rFonts w:ascii="方正书宋_GBK"/>
              </w:rPr>
            </w:pPr>
            <w:r>
              <w:rPr>
                <w:rFonts w:hint="eastAsia" w:ascii="方正书宋_GBK"/>
              </w:rPr>
              <w:t>其他</w:t>
            </w:r>
          </w:p>
        </w:tc>
        <w:tc>
          <w:tcPr>
            <w:tcW w:w="4819" w:type="dxa"/>
            <w:vAlign w:val="center"/>
          </w:tcPr>
          <w:p>
            <w:pPr>
              <w:spacing w:line="300" w:lineRule="exact"/>
              <w:jc w:val="center"/>
              <w:rPr>
                <w:rFonts w:ascii="方正书宋_GBK" w:eastAsia="方正书宋_GBK"/>
              </w:rPr>
            </w:pPr>
            <w:r>
              <w:rPr>
                <w:rFonts w:hint="eastAsia" w:ascii="方正书宋_GBK" w:eastAsia="方正书宋_GBK"/>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3013" w:type="dxa"/>
            <w:vAlign w:val="center"/>
          </w:tcPr>
          <w:p>
            <w:pPr>
              <w:spacing w:line="300" w:lineRule="exact"/>
              <w:jc w:val="left"/>
              <w:rPr>
                <w:rFonts w:ascii="方正书宋_GBK" w:eastAsia="方正书宋_GBK"/>
              </w:rPr>
            </w:pPr>
            <w:r>
              <w:rPr>
                <w:rFonts w:hint="eastAsia" w:ascii="方正书宋_GBK" w:eastAsia="方正书宋_GBK"/>
              </w:rPr>
              <w:t>无极县城市管理局</w:t>
            </w:r>
          </w:p>
        </w:tc>
        <w:tc>
          <w:tcPr>
            <w:tcW w:w="2774" w:type="dxa"/>
            <w:vAlign w:val="center"/>
          </w:tcPr>
          <w:p>
            <w:pPr>
              <w:spacing w:line="300" w:lineRule="exact"/>
              <w:jc w:val="center"/>
              <w:rPr>
                <w:rFonts w:ascii="方正书宋_GBK"/>
              </w:rPr>
            </w:pPr>
            <w:r>
              <w:rPr>
                <w:rFonts w:hint="eastAsia" w:ascii="方正书宋_GBK"/>
              </w:rPr>
              <w:t>全额事业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4819" w:type="dxa"/>
            <w:vAlign w:val="center"/>
          </w:tcPr>
          <w:p>
            <w:pPr>
              <w:spacing w:line="300" w:lineRule="exact"/>
              <w:jc w:val="center"/>
              <w:rPr>
                <w:rFonts w:ascii="方正书宋_GBK"/>
              </w:rPr>
            </w:pPr>
            <w:r>
              <w:rPr>
                <w:rFonts w:hint="eastAsia" w:ascii="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3013" w:type="dxa"/>
            <w:vAlign w:val="center"/>
          </w:tcPr>
          <w:p>
            <w:pPr>
              <w:spacing w:line="300" w:lineRule="exact"/>
              <w:jc w:val="left"/>
              <w:rPr>
                <w:rFonts w:ascii="方正书宋_GBK" w:eastAsia="方正书宋_GBK"/>
              </w:rPr>
            </w:pPr>
            <w:r>
              <w:rPr>
                <w:rFonts w:hint="eastAsia" w:ascii="方正书宋_GBK" w:eastAsia="方正书宋_GBK"/>
              </w:rPr>
              <w:t>无极县房地产管理办公室</w:t>
            </w:r>
          </w:p>
        </w:tc>
        <w:tc>
          <w:tcPr>
            <w:tcW w:w="277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正股级</w:t>
            </w:r>
          </w:p>
        </w:tc>
        <w:tc>
          <w:tcPr>
            <w:tcW w:w="4819" w:type="dxa"/>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hint="eastAsia" w:ascii="仿宋" w:hAnsi="仿宋" w:eastAsia="仿宋" w:cs="仿宋"/>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
          <w:sz w:val="30"/>
          <w:szCs w:val="30"/>
        </w:rPr>
        <w:t>。</w:t>
      </w:r>
    </w:p>
    <w:p>
      <w:pPr>
        <w:pStyle w:val="8"/>
        <w:numPr>
          <w:ilvl w:val="0"/>
          <w:numId w:val="1"/>
        </w:numPr>
        <w:ind w:firstLineChars="0"/>
        <w:rPr>
          <w:rFonts w:hint="eastAsia" w:ascii="仿宋" w:hAnsi="仿宋" w:eastAsia="仿宋" w:cs="仿宋"/>
          <w:b/>
          <w:bCs/>
          <w:sz w:val="30"/>
          <w:szCs w:val="30"/>
        </w:rPr>
      </w:pPr>
      <w:r>
        <w:rPr>
          <w:rFonts w:hint="eastAsia" w:ascii="仿宋" w:hAnsi="仿宋" w:eastAsia="仿宋" w:cs="仿宋"/>
          <w:b/>
          <w:bCs/>
          <w:sz w:val="30"/>
          <w:szCs w:val="30"/>
        </w:rPr>
        <w:t>收入说明</w:t>
      </w:r>
    </w:p>
    <w:p>
      <w:pPr>
        <w:adjustRightInd w:val="0"/>
        <w:snapToGrid w:val="0"/>
        <w:spacing w:line="600" w:lineRule="exact"/>
        <w:ind w:firstLine="640" w:firstLineChars="200"/>
        <w:jc w:val="left"/>
        <w:rPr>
          <w:rFonts w:hint="eastAsia" w:ascii="仿宋" w:hAnsi="仿宋" w:eastAsia="仿宋" w:cs="仿宋"/>
          <w:bCs/>
          <w:sz w:val="32"/>
          <w:szCs w:val="32"/>
        </w:rPr>
      </w:pPr>
      <w:r>
        <w:rPr>
          <w:rFonts w:hint="eastAsia" w:ascii="仿宋" w:hAnsi="仿宋" w:eastAsia="仿宋" w:cs="仿宋"/>
          <w:bCs/>
          <w:sz w:val="32"/>
          <w:szCs w:val="32"/>
        </w:rPr>
        <w:t>无极县住建局2019年预算收入总计13613.82万元。其中，一般公共预算收入13613.82万元、政府性基金收入0万元、财政专户核拨收入0万元，其他来源收入0万元。</w:t>
      </w:r>
    </w:p>
    <w:p>
      <w:pPr>
        <w:pStyle w:val="8"/>
        <w:numPr>
          <w:ilvl w:val="0"/>
          <w:numId w:val="1"/>
        </w:numPr>
        <w:ind w:firstLineChars="0"/>
        <w:rPr>
          <w:rFonts w:hint="eastAsia" w:ascii="仿宋" w:hAnsi="仿宋" w:eastAsia="仿宋" w:cs="仿宋"/>
          <w:b/>
          <w:bCs/>
          <w:sz w:val="32"/>
          <w:szCs w:val="32"/>
        </w:rPr>
      </w:pPr>
      <w:r>
        <w:rPr>
          <w:rFonts w:hint="eastAsia" w:ascii="仿宋" w:hAnsi="仿宋" w:eastAsia="仿宋" w:cs="仿宋"/>
          <w:b/>
          <w:bCs/>
          <w:sz w:val="32"/>
          <w:szCs w:val="32"/>
        </w:rPr>
        <w:t>支出说明</w:t>
      </w:r>
    </w:p>
    <w:p>
      <w:pPr>
        <w:adjustRightInd w:val="0"/>
        <w:snapToGrid w:val="0"/>
        <w:spacing w:line="600" w:lineRule="exact"/>
        <w:ind w:firstLine="640" w:firstLineChars="200"/>
        <w:jc w:val="left"/>
        <w:rPr>
          <w:rFonts w:hint="eastAsia" w:ascii="仿宋" w:hAnsi="仿宋" w:eastAsia="仿宋" w:cs="仿宋"/>
          <w:b/>
          <w:bCs w:val="0"/>
          <w:sz w:val="32"/>
          <w:szCs w:val="32"/>
        </w:rPr>
      </w:pPr>
      <w:r>
        <w:rPr>
          <w:rFonts w:hint="eastAsia" w:ascii="仿宋" w:hAnsi="仿宋" w:eastAsia="仿宋" w:cs="仿宋"/>
          <w:bCs/>
          <w:sz w:val="32"/>
          <w:szCs w:val="32"/>
        </w:rPr>
        <w:t>2019年预算支出13613.82万元。其中，人员经费支出760.66万元，</w:t>
      </w:r>
      <w:r>
        <w:rPr>
          <w:rFonts w:hint="eastAsia" w:ascii="仿宋" w:hAnsi="仿宋" w:eastAsia="仿宋" w:cs="仿宋"/>
          <w:bCs/>
          <w:sz w:val="32"/>
          <w:szCs w:val="32"/>
          <w:lang w:eastAsia="zh-CN"/>
        </w:rPr>
        <w:t>日</w:t>
      </w:r>
      <w:r>
        <w:rPr>
          <w:rFonts w:hint="eastAsia" w:ascii="仿宋" w:hAnsi="仿宋" w:eastAsia="仿宋" w:cs="仿宋"/>
          <w:bCs/>
          <w:sz w:val="32"/>
          <w:szCs w:val="32"/>
        </w:rPr>
        <w:t>常公用经费60.76万元，</w:t>
      </w:r>
      <w:r>
        <w:rPr>
          <w:rFonts w:hint="eastAsia" w:ascii="仿宋" w:hAnsi="仿宋" w:eastAsia="仿宋" w:cs="仿宋"/>
          <w:b/>
          <w:bCs w:val="0"/>
          <w:sz w:val="32"/>
          <w:szCs w:val="32"/>
        </w:rPr>
        <w:t>项目支出12792.4万元。</w:t>
      </w:r>
    </w:p>
    <w:p>
      <w:pPr>
        <w:pStyle w:val="8"/>
        <w:numPr>
          <w:ilvl w:val="0"/>
          <w:numId w:val="1"/>
        </w:numPr>
        <w:ind w:firstLineChars="0"/>
        <w:rPr>
          <w:rFonts w:hint="eastAsia" w:ascii="仿宋" w:hAnsi="仿宋" w:eastAsia="仿宋" w:cs="仿宋"/>
          <w:b/>
          <w:bCs w:val="0"/>
          <w:sz w:val="32"/>
          <w:szCs w:val="32"/>
        </w:rPr>
      </w:pPr>
      <w:r>
        <w:rPr>
          <w:rFonts w:hint="eastAsia" w:ascii="仿宋" w:hAnsi="仿宋" w:eastAsia="仿宋" w:cs="仿宋"/>
          <w:b/>
          <w:bCs w:val="0"/>
          <w:sz w:val="32"/>
          <w:szCs w:val="32"/>
        </w:rPr>
        <w:t>比上年增减情况</w:t>
      </w:r>
    </w:p>
    <w:p>
      <w:pPr>
        <w:pStyle w:val="9"/>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2019年部门预算较2018年增加4818.21万元，主要是部分人员经费调入项目和公用经费标准定额调整；项目支出增加4667.64万元，主要是由于项目调整增加，供暖补贴加入部门预算。</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2019年机关运行经费共计安排60.76万元，主要用于</w:t>
      </w:r>
      <w:r>
        <w:rPr>
          <w:rFonts w:hint="eastAsia" w:ascii="仿宋_GB2312" w:hAnsi="仿宋_GB2312" w:eastAsia="仿宋_GB2312" w:cs="仿宋_GB2312"/>
          <w:sz w:val="32"/>
          <w:szCs w:val="32"/>
          <w:lang w:eastAsia="zh-CN"/>
        </w:rPr>
        <w:t>保证</w:t>
      </w:r>
      <w:r>
        <w:rPr>
          <w:rFonts w:hint="eastAsia" w:ascii="仿宋_GB2312" w:hAnsi="仿宋_GB2312" w:eastAsia="仿宋_GB2312" w:cs="仿宋_GB2312"/>
          <w:sz w:val="32"/>
          <w:szCs w:val="32"/>
        </w:rPr>
        <w:t>我部门的</w:t>
      </w:r>
      <w:r>
        <w:rPr>
          <w:rFonts w:hint="eastAsia" w:ascii="仿宋_GB2312" w:hAnsi="仿宋_GB2312" w:eastAsia="仿宋_GB2312" w:cs="仿宋_GB2312"/>
          <w:sz w:val="32"/>
          <w:szCs w:val="32"/>
          <w:lang w:eastAsia="zh-CN"/>
        </w:rPr>
        <w:t>正</w:t>
      </w:r>
      <w:r>
        <w:rPr>
          <w:rFonts w:hint="eastAsia" w:ascii="仿宋_GB2312" w:hAnsi="仿宋_GB2312" w:eastAsia="仿宋_GB2312" w:cs="仿宋_GB2312"/>
          <w:sz w:val="32"/>
          <w:szCs w:val="32"/>
        </w:rPr>
        <w:t>常</w:t>
      </w:r>
      <w:r>
        <w:rPr>
          <w:rFonts w:hint="eastAsia" w:ascii="仿宋_GB2312" w:hAnsi="仿宋_GB2312" w:eastAsia="仿宋_GB2312" w:cs="仿宋_GB2312"/>
          <w:sz w:val="32"/>
          <w:szCs w:val="32"/>
          <w:lang w:eastAsia="zh-CN"/>
        </w:rPr>
        <w:t>运转的办公及印刷费、邮电费、差旅费、会议费、一般设备购置费、水费、日常维修费、公务车运行维护费等支出。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_GB2312" w:hAnsi="仿宋" w:eastAsia="仿宋_GB2312"/>
          <w:sz w:val="32"/>
          <w:szCs w:val="32"/>
        </w:rPr>
      </w:pPr>
      <w:r>
        <w:rPr>
          <w:rFonts w:hint="eastAsia" w:ascii="仿宋_GB2312" w:hAnsi="仿宋" w:eastAsia="仿宋_GB2312"/>
          <w:sz w:val="32"/>
          <w:szCs w:val="32"/>
        </w:rPr>
        <w:t>2019年本部门安排“三公”经费 3.7万元。2019年三公经费与上年持平,无增减变化。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仿宋_GB2312" w:hAnsi="仿宋" w:eastAsia="仿宋_GB2312"/>
          <w:sz w:val="32"/>
          <w:szCs w:val="32"/>
        </w:rPr>
        <w:t>其中：公务用车购置0万元，与上年一致；公务用车运行维护费 3万元，与上年持平，无增减变化。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2、公务用车购置0万元，公务用车运行维护费3万元，与上年持平，无增减变化。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3、公务接待费0.7万元，与上年持平，无增减变化。</w:t>
      </w:r>
    </w:p>
    <w:p>
      <w:pPr>
        <w:autoSpaceDE w:val="0"/>
        <w:autoSpaceDN w:val="0"/>
        <w:adjustRightInd w:val="0"/>
        <w:ind w:firstLine="640" w:firstLineChars="200"/>
        <w:jc w:val="left"/>
        <w:rPr>
          <w:rFonts w:hint="eastAsia" w:ascii="黑体" w:hAnsi="黑体" w:eastAsia="黑体" w:cs="仿宋_GB2312"/>
          <w:sz w:val="32"/>
          <w:szCs w:val="32"/>
        </w:rPr>
      </w:pPr>
      <w:r>
        <w:rPr>
          <w:rFonts w:hint="eastAsia" w:ascii="黑体" w:hAnsi="黑体" w:eastAsia="黑体" w:cs="仿宋_GB2312"/>
          <w:sz w:val="32"/>
          <w:szCs w:val="32"/>
        </w:rPr>
        <w:t>五、绩效预算信息</w:t>
      </w:r>
    </w:p>
    <w:p>
      <w:pPr>
        <w:autoSpaceDE w:val="0"/>
        <w:autoSpaceDN w:val="0"/>
        <w:adjustRightInd w:val="0"/>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w:t>
      </w:r>
      <w:r>
        <w:rPr>
          <w:rFonts w:hint="eastAsia" w:ascii="仿宋" w:hAnsi="仿宋" w:eastAsia="仿宋" w:cs="仿宋"/>
          <w:b/>
          <w:bCs/>
          <w:sz w:val="32"/>
          <w:szCs w:val="32"/>
        </w:rPr>
        <w:t>总体绩效目标</w:t>
      </w:r>
      <w:r>
        <w:rPr>
          <w:rFonts w:hint="eastAsia" w:ascii="仿宋" w:hAnsi="仿宋" w:eastAsia="仿宋" w:cs="仿宋"/>
          <w:b/>
          <w:bCs/>
          <w:sz w:val="32"/>
          <w:szCs w:val="32"/>
          <w:lang w:eastAsia="zh-CN"/>
        </w:rPr>
        <w:t>：</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认真</w:t>
      </w:r>
      <w:r>
        <w:rPr>
          <w:rFonts w:hint="eastAsia" w:ascii="仿宋_GB2312" w:eastAsia="仿宋_GB2312"/>
          <w:sz w:val="32"/>
          <w:szCs w:val="32"/>
          <w:lang w:eastAsia="zh-CN"/>
        </w:rPr>
        <w:t>贯彻落实党的十九大精神</w:t>
      </w:r>
      <w:r>
        <w:rPr>
          <w:rFonts w:hint="eastAsia" w:ascii="仿宋_GB2312" w:eastAsia="仿宋_GB2312"/>
          <w:sz w:val="32"/>
          <w:szCs w:val="32"/>
        </w:rPr>
        <w:t>，紧紧围绕县城建设为中心，深入贯彻落实县委、县政府的安排部署，以创建省级园林县城为目标，提前谋划、精心建设、高效管理，全方位推进县城建设，不断加快县城扩容提质步伐。</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1、积极谋划路网建设。2019年完成产业大道北延工程，拉大县城东部城市框架。</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2、继续推进中心城区路网提质改造。2019年完成贸易街道路及排水工程、光明街“白变黑”项目、贸易街提升改造工程、白云街提升改造工程、正义街提升改造工程、幸福街提升改造工程、人和街提升改造工程、智慧街提升改造工程、建设路提升改造工程、中昌路提升改造工程、希望路排水道路西延及排水工程、规划二街北段、中昌路东延。</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3、加大城市管网建设。2019年完成希望路排水管网、罗尚泵站提升改造及配套管网。</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4、创建星级公园。对民俗公园按照五星级公园标准提升，无极公园、平安公园按照四星级公园标准提升。</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5、继续打造环城绿道绿廊。重点对东北环、东南环的零散地块进行绿化建设，贯通现有的绿道绿廊。</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6、加快城中村改造步伐。2019年全力推进姚村、张村、高家庄、王家庄4个村及城区几个地块的棚户改造工作。</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7、做好保障性安居工程。购置剩余的保障房，同时进行装修，装修完成后分配入住。同时，加强保障房后期管理，建立保障房联合审查机制，做好保障房住户身份核查工作。</w:t>
      </w:r>
    </w:p>
    <w:p>
      <w:pPr>
        <w:ind w:firstLine="643" w:firstLineChars="200"/>
        <w:jc w:val="left"/>
        <w:rPr>
          <w:rFonts w:ascii="仿宋_GB2312" w:eastAsia="仿宋_GB2312"/>
          <w:sz w:val="32"/>
          <w:szCs w:val="32"/>
        </w:rPr>
      </w:pPr>
      <w:r>
        <w:rPr>
          <w:rFonts w:hint="eastAsia" w:ascii="仿宋_GB2312" w:eastAsia="仿宋_GB2312"/>
          <w:b/>
          <w:sz w:val="32"/>
          <w:szCs w:val="32"/>
          <w:lang w:eastAsia="zh-CN"/>
        </w:rPr>
        <w:t>（二）</w:t>
      </w:r>
      <w:r>
        <w:rPr>
          <w:rFonts w:hint="eastAsia" w:ascii="仿宋_GB2312" w:eastAsia="仿宋_GB2312"/>
          <w:b/>
          <w:sz w:val="32"/>
          <w:szCs w:val="32"/>
        </w:rPr>
        <w:t>职责分类绩效目标：</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2019年我单位绩效目标共分为7项，分别为：1、积极谋划路网建设。2、继续推进中心城区路网提质改造。3、加大城市管网建设。4、创建星级公园。5、继续打造环城绿道绿廊。6、加快城中村改造步伐。7、做好保障性安居工程。</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1、积极谋划路网建设。2019年完成产业大道北延工程，拉大县城东部城市框架。</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2、继续推进中心城区路网提质改造。2019年完成贸易街道路及排水工程、光明街“白变黑”项目、贸易街提升改造工程、白云街提升改造工程、正义街提升改造工程、幸福街提升改造工程、人和街提升改造工程、智慧街提升改造工程、建设路提升改造工程、中昌路提升改造工程、希望路排水道路西延及排水工程、规划二街北段、中昌路东延。</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3、加大城市管网建设。2019年完成希望路排水管网、罗尚泵站提升改造及配套管网。</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4、创建星级公园。对民俗公园按照五星级公园标准提升，无极公园、平安公园按照四星级公园标准提升。</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5、继续打造环城绿道绿廊。重点对东北环、东南环的零散地块进行绿化建设，贯通现有的绿道绿廊。</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6、加快城中村改造步伐。2019年全力推进姚村、张村、高家庄、王家庄4个村及城区几个地块的棚户改造工作。</w:t>
      </w:r>
    </w:p>
    <w:p>
      <w:pPr>
        <w:spacing w:line="500" w:lineRule="exact"/>
        <w:ind w:firstLine="640" w:firstLineChars="200"/>
        <w:rPr>
          <w:rFonts w:hint="eastAsia" w:ascii="仿宋_GB2312" w:eastAsia="仿宋_GB2312"/>
          <w:sz w:val="32"/>
          <w:szCs w:val="32"/>
        </w:rPr>
      </w:pPr>
      <w:r>
        <w:rPr>
          <w:rFonts w:hint="eastAsia" w:ascii="仿宋_GB2312" w:eastAsia="仿宋_GB2312"/>
          <w:sz w:val="32"/>
          <w:szCs w:val="32"/>
        </w:rPr>
        <w:t>7、做好保障性安居工程。购置剩余的保障房，同时进行装修，装修完成后分配入住。同时，加强保障房后期管理，建立保障房联合审查机制，做好保障房住户身份核查工作。</w:t>
      </w:r>
    </w:p>
    <w:p>
      <w:pPr>
        <w:spacing w:line="500" w:lineRule="exact"/>
        <w:ind w:firstLine="643" w:firstLineChars="200"/>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实现年度发展规划目标的保障措施</w:t>
      </w:r>
      <w:r>
        <w:rPr>
          <w:rFonts w:hint="eastAsia" w:ascii="仿宋" w:hAnsi="仿宋" w:eastAsia="仿宋" w:cs="仿宋"/>
          <w:b/>
          <w:bCs/>
          <w:sz w:val="32"/>
          <w:szCs w:val="32"/>
          <w:lang w:eastAsia="zh-CN"/>
        </w:rPr>
        <w:t>：</w:t>
      </w:r>
    </w:p>
    <w:p>
      <w:pPr>
        <w:spacing w:line="500" w:lineRule="exact"/>
        <w:ind w:firstLine="640"/>
        <w:rPr>
          <w:rFonts w:hint="eastAsia" w:ascii="仿宋_GB2312" w:eastAsia="仿宋_GB2312"/>
          <w:sz w:val="32"/>
          <w:szCs w:val="32"/>
        </w:rPr>
      </w:pPr>
      <w:r>
        <w:rPr>
          <w:rFonts w:hint="eastAsia" w:ascii="仿宋_GB2312" w:eastAsia="仿宋_GB2312"/>
          <w:sz w:val="32"/>
          <w:szCs w:val="32"/>
        </w:rPr>
        <w:t>2019年我局坚持以</w:t>
      </w:r>
      <w:r>
        <w:rPr>
          <w:rFonts w:hint="eastAsia" w:ascii="仿宋_GB2312" w:eastAsia="仿宋_GB2312"/>
          <w:sz w:val="32"/>
          <w:szCs w:val="32"/>
          <w:lang w:eastAsia="zh-CN"/>
        </w:rPr>
        <w:t>党的十九大精神</w:t>
      </w:r>
      <w:r>
        <w:rPr>
          <w:rFonts w:hint="eastAsia" w:ascii="仿宋_GB2312" w:eastAsia="仿宋_GB2312"/>
          <w:sz w:val="32"/>
          <w:szCs w:val="32"/>
        </w:rPr>
        <w:t>为指导，认真学习贯彻上级关于城乡建设工作的一系列重要指示精神，按县委、县政府及上级领导的工作部署，稳中求进、改革创新、强化工作措施，努力完成各项工作目标任务。</w:t>
      </w:r>
    </w:p>
    <w:p>
      <w:pPr>
        <w:spacing w:line="500" w:lineRule="exact"/>
        <w:ind w:firstLine="640" w:firstLineChars="200"/>
        <w:rPr>
          <w:rFonts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、加强城乡建设人才队伍建设</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围绕县城建设工作为中心加强党的建设，以改革创新精神全面推进党的思想、组织、作风、制度、反腐倡廉建设，着力提高党建工作科学化水平，为推动城建工作提供精神动力和组织保障。</w:t>
      </w:r>
    </w:p>
    <w:p>
      <w:pPr>
        <w:spacing w:line="500" w:lineRule="exact"/>
        <w:ind w:firstLine="640" w:firstLineChars="200"/>
        <w:rPr>
          <w:rFonts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、加强党风廉政建设</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认真落实党风廉政建设党组主体责任、第一责任人责任。一是对重要问题亲自过问、亲自督办。班子成员坚持“一岗双责”对分管科室党风廉政建设自觉抓、具体抓，认真履行直接领导责任，强化了履行主体责任意识。二是始终将民主集中制作为住建局班子建设的一项重要内容来抓，凡涉及全局性的问题、重大事项、中层干部的任免、人员调整、大额资金使用等都坚持“集体领导、民主集中、个别酝酿、会议决定”的原则，由班子成员按少数服从多数的形式进行集体表决，由局班子集体研究决定。三是大力整治“懒、散、庸、拖”等不良工作作风，进一步建立完善了考勤制度、工作制度等，对发现的苗头性问题及时采取措施，予以纠正，有效转变了机关作风，提高了行政效能，确保了党建各项工作扎实有序开展。做到了安排部署到位、权力监督到位、督导检查到位，有力地推动了党风廉政建设工作的开展。</w:t>
      </w:r>
    </w:p>
    <w:p>
      <w:pPr>
        <w:spacing w:line="500" w:lineRule="exact"/>
        <w:ind w:firstLine="640" w:firstLineChars="200"/>
        <w:rPr>
          <w:rFonts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、加强组织建设</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完善提升9个支部党员活动阵地，开展“优秀共产党员”“党员示范岗”评选活动，从严抓好党员日常管理，促进党员队伍健康发展。提升服务群众、促进发展的能力。</w:t>
      </w:r>
    </w:p>
    <w:p>
      <w:pPr>
        <w:spacing w:line="500" w:lineRule="exact"/>
        <w:ind w:firstLine="640" w:firstLineChars="200"/>
        <w:rPr>
          <w:rFonts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、加强信息化建设</w:t>
      </w:r>
    </w:p>
    <w:p>
      <w:pPr>
        <w:spacing w:line="500" w:lineRule="exact"/>
        <w:ind w:firstLine="640" w:firstLineChars="200"/>
        <w:rPr>
          <w:rFonts w:ascii="仿宋_GB2312" w:eastAsia="仿宋_GB2312"/>
          <w:sz w:val="32"/>
          <w:szCs w:val="32"/>
        </w:rPr>
      </w:pPr>
      <w:r>
        <w:rPr>
          <w:rFonts w:hint="eastAsia" w:ascii="仿宋_GB2312" w:eastAsia="仿宋_GB2312"/>
          <w:sz w:val="32"/>
          <w:szCs w:val="32"/>
        </w:rPr>
        <w:t>加快城乡建设管理的信息化，以管理信息化带动管理科学化和服务社会化，加快基础数据库建设，全面推进行政管理信息化，完善数字城建系统，推动办公自动化建设，促进信息化社会服务，加强信息管理，形成统一、权威和内容丰富的对外信息服务窗口。</w:t>
      </w:r>
    </w:p>
    <w:p>
      <w:pPr>
        <w:ind w:firstLine="645"/>
        <w:rPr>
          <w:rFonts w:hint="eastAsia" w:ascii="仿宋" w:hAnsi="仿宋" w:eastAsia="仿宋" w:cs="仿宋"/>
          <w:b/>
          <w:bCs/>
          <w:sz w:val="32"/>
          <w:szCs w:val="32"/>
        </w:rPr>
      </w:pPr>
      <w:r>
        <w:rPr>
          <w:rFonts w:hint="eastAsia" w:ascii="仿宋" w:hAnsi="仿宋" w:eastAsia="仿宋" w:cs="仿宋"/>
          <w:b/>
          <w:bCs/>
          <w:sz w:val="32"/>
          <w:szCs w:val="32"/>
        </w:rPr>
        <w:t>（</w:t>
      </w:r>
      <w:r>
        <w:rPr>
          <w:rFonts w:hint="eastAsia" w:ascii="仿宋" w:hAnsi="仿宋" w:eastAsia="仿宋" w:cs="仿宋"/>
          <w:b/>
          <w:bCs/>
          <w:sz w:val="32"/>
          <w:szCs w:val="32"/>
          <w:lang w:eastAsia="zh-CN"/>
        </w:rPr>
        <w:t>四</w:t>
      </w:r>
      <w:r>
        <w:rPr>
          <w:rFonts w:hint="eastAsia" w:ascii="仿宋" w:hAnsi="仿宋" w:eastAsia="仿宋" w:cs="仿宋"/>
          <w:b/>
          <w:bCs/>
          <w:sz w:val="32"/>
          <w:szCs w:val="32"/>
        </w:rPr>
        <w:t>）部门职责-工作活动绩效目标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333住建局</w:t>
            </w:r>
          </w:p>
        </w:tc>
        <w:tc>
          <w:tcPr>
            <w:tcW w:w="2948" w:type="dxa"/>
            <w:gridSpan w:val="4"/>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1417"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outlineLvl w:val="0"/>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一、住房保障及公积金管理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10.00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拟定住房保障政策并指导实施；承办中央和省级城镇保障性安居工程资金安排有关事项；组织编制住房保障建设发展规划和年度计划并监督实施；指导住房建设和住房制度改革；组织拟订住房公积金政策、规章制度和发展规划并组织实施，指导和监督住房公积金管理工作</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建立健全多层次城镇住房保障体系，稳妥推进住房制度改革，按照国家要求达到城镇住房保障工作目标，确保住房公积金的有效使用。</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1、保障性安居工程建设管理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10.00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研究制定保障性安居工程建设规划，拟定年度建设目标并监督实施；承担县保障性安居工程领导小组办公室职责；选聘和管理县级督查员；研究拟定保障性安居工程政策并监督实施，对项目分配、管理和运营情况监督指导</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完成城镇保障性安居工程年度建设任务，建立健全公平、公正、公开的分配机制和优质、高效管理服务机制，保障性住房及时分配到位。及时出台政策；妥善处理房改遗留问题，避免产生新的社会矛盾</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新增租赁补贴户数完成率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保障性住房竣工率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保障性住房开工率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二、城乡规划</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组织县域城镇体系规划编制，参与各级、各部门依法编制总体规划、专项规划、控制性详细规划、历史文化名城和街区保护规划等。对由县政府审批的规划进行监督实施。</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1、城乡资源保护</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负责城镇古树名木和风景名胜资源保护，加强风景名胜区监测管理；编制历史文化名城名镇名村及传统村落规划，加强保护，对核心保护范围内的历史建筑、传统建筑修缮、基础设施改造和环境综合整治。</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传统村落得到有效保护</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年度村镇规划编制完成率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≥50%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≥50%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2、城乡规划制订、实施与监督</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拟定全省城乡规划管理政策，制定城乡规划技术管理标准和导则；组织省域城镇体系规划等省级层面规划编制，编制国家级风景名胜区规划，参与京津冀一体化规划制订；审查、督导各地依法编制城乡规划；加强和改进规划管理技术手段，对依法批准的城乡规划进行监督实施。</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完成规划编制，健全规划体系</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参与各级、各部门规划编制的完成比例</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编制规划应用率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动态监测报告完成率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城乡规划编制进展情况</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完成报审稿</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基本完成本级规划编制工作</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完成初稿</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三、城乡建设管理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9728.20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负责市政公用设施建设、安全和应急管理；负责镇、乡村庄规划的编制和实施；负责农村住房建设、住房安全和危房改造；改善小城镇和村庄人居环境。</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1、市政公用设施建设与管理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6394.90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负责市政公用事业建设、市政公用设施安全和应急管理；逐步推进供热计量改革，开展燃气行业安全监督检查；开展城市园林水域安全监管、公园和绿地技术评估和动态监测。</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市政公用事业建设、市政公用设施安全和应急管理</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星级公园、园林式单位、小区创建数量（个）</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≥3</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2</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城市公园绿地、城市植树、城镇古树名木和风景名胜资源保护完成率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市政公用事业基础设施建设及维护工作目标完成率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2、城市容貌环境综合整治</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1040.30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负责城区市容环境治理、城建监察等各项工作，改善人居环境，大气污染治理。</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推进洁净城市创建进程，加强大气污染治理力度。</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机械化清扫率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≥57%</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≥55%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≥53%</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市容环境治理完成率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3、推进城镇化建设</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2293.00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指导农村住房建设、住房安全和危房改造，推进小城镇村庄人居环境改善，指导国家级重点镇及省级重点镇的建设；做好县城规划、环境质量、居住水平、产业聚集、风貌特色、综合管理、城建投融资等指导工作，全面推进县城建设；协调和指导推进城镇化工作，城市建设投融资体制改革。</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垃圾处理率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≥98%</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≥70%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危房改造完成率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四、建筑业、房地产市场监管</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365.00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规范建筑市场、工程造价管理及建筑工程招投标管理，落实工程建设、建筑业行业发展政策、规章制度;落实房地产市场监管、房地产开发、房屋租赁、房屋面积管理、房地产估价与经纪管理、物业管理的规章制度。</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规范建筑市场各方主体行为，促进建筑市场健康发展。提高建筑工程质量，减少建筑安全生产事故，提高行业水平。加强市场监测，促进全县房地产市场持续健康发展。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1、全省建筑业管理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拟定全省工程建设、建筑业发展政策、规章制度并监督执行，规范建筑市场各方主体行为。</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规范建筑市场各方主体行为，促进建筑市场健康发展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农民工工资保证金增长率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执行农民工工资保证金落实程度</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3</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2</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2、房地产市场监管</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95.00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规范房地产市场秩序、监督管理房地产市场。落实房地产市场监管、房地产开发、房屋租赁、房屋面积管理、房地产估价与经纪管理、物业管理、房屋征收的规章制度。</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加强市场监测，促进全县房地产市场持续健康发展</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房地产市场统计分析工作完成及时率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3、建筑工程质量安全监管</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270.00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落实工程建设地方标准、工程质量、建筑安全生产的政策和规章制度，组织编制城乡建设防灾减灾规划，组织或参与工程重大质量、安全事故的调查处理，减少建筑安全生产事故，提高行业水平。</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加强工程勘察设计行业管理，提高建筑工程勘察设计质量水平</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工程质量投诉结案率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建筑工程施工现场达标率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≥97%</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施工图设计文件审查率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五、推进建筑节能</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加强城镇新建建筑节能监管；开展既有建筑节能改造；推动绿色建筑发展；推进可再生能源建筑应用；开展建筑节能和绿色建筑示范建设；加强新型墙体材料、新技术和新建筑节能产品的推广应用。</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提高建设科技对住房城乡建设发展的贡献率，充分发挥建筑节能在城镇节能减排中的作用；提高新型墙体材料、新技术和新建筑节能产品在新建建筑中应用。</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1、推进建筑节能</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引导推进建筑节能和绿色建筑，组织实施各项建筑节能、绿色建筑、新技术、新体系应用示范项目。推动绿色建筑及住宅产业化，引导建造方式转变，提升住宅性能和品质。</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提高既有居住建筑的保温性能。经改造的公共建筑达到节能标准。积累新技术新体系应用经验</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建筑应用可再生能源面积比例</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≥43%</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≥42%</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≥41%</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既有居住建筑供热计量及节能改造任务完成面积（平方米）</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2、建筑节能材料管理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组织建筑节能材料产品推广应用，定期发布建设机械材料设备淘汰、限制使用和推广应用产品目录，定期开展建材市场秩序专项整治。开展绿色建材星级评价工作。</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建材市场秩序规范，绿色建材得到广泛应用，低效耗能建设机械及时淘汰</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节能环保建筑产品推广应用项目个数</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≥20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抽检在建工程数量（个）</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≥40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≥30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≥20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六、住建政务管理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2689.20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负责住建系统综合业务管理和机关综合事务管理。</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1、综合业务管理</w:t>
            </w:r>
          </w:p>
        </w:tc>
        <w:tc>
          <w:tcPr>
            <w:tcW w:w="12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2669.20</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组织编制住房和城乡建设的行业发展规划，拟定相关法规规章草案政策和行业技术标准，推进全系统依法行政，加强行政许可管理，开展建设行业对外合作交流；拟订适合县情的住房政策，指导住房建设和住房制度改革；组织编制科技发展规划，推进建设科技发展。</w:t>
            </w:r>
          </w:p>
        </w:tc>
        <w:tc>
          <w:tcPr>
            <w:tcW w:w="2976"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加强干部队伍建设，激励工作热情，提高整体业务素质和行业管理服务水平</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2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2976" w:type="dxa"/>
            <w:vMerge w:val="continue"/>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行政应诉率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≥80%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r>
              <w:rPr>
                <w:rFonts w:hint="eastAsia" w:ascii="方正书宋_GBK" w:eastAsia="方正书宋_GBK"/>
                <w:b/>
              </w:rPr>
              <w:t>　　2、综合事务管理</w:t>
            </w:r>
          </w:p>
        </w:tc>
        <w:tc>
          <w:tcPr>
            <w:tcW w:w="12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20.00</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推进住房和城乡建设行业信息化建设、建设系统综合管理等综合事务工作，保证行政工作高效有序运行。</w:t>
            </w:r>
          </w:p>
        </w:tc>
        <w:tc>
          <w:tcPr>
            <w:tcW w:w="297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提升机关及行业信息化水平，保障各类业务系统安全稳定运行；加大信息宣传力度，创造良好舆论氛围。组织文娱活动，提高干部职工文化和身体素质</w:t>
            </w:r>
          </w:p>
        </w:tc>
        <w:tc>
          <w:tcPr>
            <w:tcW w:w="1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100%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≥95%</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≥90%</w:t>
            </w:r>
          </w:p>
        </w:tc>
        <w:tc>
          <w:tcPr>
            <w:tcW w:w="73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&lt;90%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hint="eastAsia" w:ascii="仿宋_GB2312" w:eastAsia="仿宋_GB2312"/>
          <w:sz w:val="30"/>
          <w:szCs w:val="30"/>
        </w:rPr>
        <w:t>2019年我部门安排政府采购预算3833.29万元。</w:t>
      </w:r>
    </w:p>
    <w:p>
      <w:pPr>
        <w:jc w:val="center"/>
        <w:outlineLvl w:val="0"/>
        <w:rPr>
          <w:rFonts w:ascii="方正小标宋_GBK" w:eastAsia="方正小标宋_GBK"/>
          <w:sz w:val="32"/>
        </w:rPr>
      </w:pPr>
      <w:bookmarkStart w:id="0" w:name="_Toc2536434"/>
      <w:r>
        <w:rPr>
          <w:rFonts w:hint="eastAsia" w:ascii="方正小标宋_GBK" w:eastAsia="方正小标宋_GBK"/>
          <w:sz w:val="32"/>
        </w:rPr>
        <w:t>部门政府采购预算</w:t>
      </w:r>
      <w:bookmarkEnd w:id="0"/>
    </w:p>
    <w:tbl>
      <w:tblPr>
        <w:tblStyle w:val="4"/>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9"/>
        <w:gridCol w:w="1090"/>
        <w:gridCol w:w="965"/>
        <w:gridCol w:w="977"/>
        <w:gridCol w:w="752"/>
        <w:gridCol w:w="752"/>
        <w:gridCol w:w="951"/>
        <w:gridCol w:w="957"/>
        <w:gridCol w:w="957"/>
        <w:gridCol w:w="957"/>
        <w:gridCol w:w="943"/>
        <w:gridCol w:w="957"/>
        <w:gridCol w:w="957"/>
        <w:gridCol w:w="9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92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6642"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2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6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7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52"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52"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5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42"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39"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90"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65" w:type="dxa"/>
            <w:vMerge w:val="continue"/>
            <w:vAlign w:val="center"/>
          </w:tcPr>
          <w:p>
            <w:pPr>
              <w:spacing w:line="300" w:lineRule="exact"/>
              <w:jc w:val="left"/>
              <w:outlineLvl w:val="0"/>
            </w:pPr>
          </w:p>
        </w:tc>
        <w:tc>
          <w:tcPr>
            <w:tcW w:w="977" w:type="dxa"/>
            <w:vMerge w:val="continue"/>
            <w:vAlign w:val="center"/>
          </w:tcPr>
          <w:p>
            <w:pPr>
              <w:spacing w:line="300" w:lineRule="exact"/>
              <w:jc w:val="left"/>
              <w:outlineLvl w:val="0"/>
            </w:pPr>
          </w:p>
        </w:tc>
        <w:tc>
          <w:tcPr>
            <w:tcW w:w="752" w:type="dxa"/>
            <w:vMerge w:val="continue"/>
            <w:vAlign w:val="center"/>
          </w:tcPr>
          <w:p>
            <w:pPr>
              <w:spacing w:line="300" w:lineRule="exact"/>
              <w:jc w:val="left"/>
              <w:outlineLvl w:val="0"/>
            </w:pPr>
          </w:p>
        </w:tc>
        <w:tc>
          <w:tcPr>
            <w:tcW w:w="752" w:type="dxa"/>
            <w:vMerge w:val="continue"/>
            <w:vAlign w:val="center"/>
          </w:tcPr>
          <w:p>
            <w:pPr>
              <w:spacing w:line="300" w:lineRule="exact"/>
              <w:jc w:val="left"/>
              <w:outlineLvl w:val="0"/>
            </w:pPr>
          </w:p>
        </w:tc>
        <w:tc>
          <w:tcPr>
            <w:tcW w:w="951" w:type="dxa"/>
            <w:vMerge w:val="continue"/>
            <w:vAlign w:val="center"/>
          </w:tcPr>
          <w:p>
            <w:pPr>
              <w:spacing w:line="300" w:lineRule="exact"/>
              <w:jc w:val="left"/>
              <w:outlineLvl w:val="0"/>
            </w:pPr>
          </w:p>
        </w:tc>
        <w:tc>
          <w:tcPr>
            <w:tcW w:w="957"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771"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14"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39" w:type="dxa"/>
            <w:vMerge w:val="continue"/>
            <w:vAlign w:val="center"/>
          </w:tcPr>
          <w:p>
            <w:pPr>
              <w:spacing w:line="300" w:lineRule="exact"/>
              <w:jc w:val="left"/>
              <w:outlineLvl w:val="0"/>
            </w:pPr>
          </w:p>
        </w:tc>
        <w:tc>
          <w:tcPr>
            <w:tcW w:w="1090" w:type="dxa"/>
            <w:vMerge w:val="continue"/>
            <w:vAlign w:val="center"/>
          </w:tcPr>
          <w:p>
            <w:pPr>
              <w:spacing w:line="300" w:lineRule="exact"/>
              <w:jc w:val="left"/>
              <w:outlineLvl w:val="0"/>
            </w:pPr>
          </w:p>
        </w:tc>
        <w:tc>
          <w:tcPr>
            <w:tcW w:w="965" w:type="dxa"/>
            <w:vMerge w:val="continue"/>
            <w:vAlign w:val="center"/>
          </w:tcPr>
          <w:p>
            <w:pPr>
              <w:spacing w:line="300" w:lineRule="exact"/>
              <w:jc w:val="left"/>
              <w:outlineLvl w:val="0"/>
            </w:pPr>
          </w:p>
        </w:tc>
        <w:tc>
          <w:tcPr>
            <w:tcW w:w="977" w:type="dxa"/>
            <w:vMerge w:val="continue"/>
            <w:vAlign w:val="center"/>
          </w:tcPr>
          <w:p>
            <w:pPr>
              <w:spacing w:line="300" w:lineRule="exact"/>
              <w:jc w:val="left"/>
              <w:outlineLvl w:val="0"/>
            </w:pPr>
          </w:p>
        </w:tc>
        <w:tc>
          <w:tcPr>
            <w:tcW w:w="752" w:type="dxa"/>
            <w:vMerge w:val="continue"/>
            <w:vAlign w:val="center"/>
          </w:tcPr>
          <w:p>
            <w:pPr>
              <w:spacing w:line="300" w:lineRule="exact"/>
              <w:jc w:val="left"/>
              <w:outlineLvl w:val="0"/>
            </w:pPr>
          </w:p>
        </w:tc>
        <w:tc>
          <w:tcPr>
            <w:tcW w:w="752" w:type="dxa"/>
            <w:vMerge w:val="continue"/>
            <w:vAlign w:val="center"/>
          </w:tcPr>
          <w:p>
            <w:pPr>
              <w:spacing w:line="300" w:lineRule="exact"/>
              <w:jc w:val="left"/>
              <w:outlineLvl w:val="0"/>
            </w:pPr>
          </w:p>
        </w:tc>
        <w:tc>
          <w:tcPr>
            <w:tcW w:w="951" w:type="dxa"/>
            <w:vMerge w:val="continue"/>
            <w:vAlign w:val="center"/>
          </w:tcPr>
          <w:p>
            <w:pPr>
              <w:spacing w:line="300" w:lineRule="exact"/>
              <w:jc w:val="left"/>
              <w:outlineLvl w:val="0"/>
            </w:pPr>
          </w:p>
        </w:tc>
        <w:tc>
          <w:tcPr>
            <w:tcW w:w="957" w:type="dxa"/>
            <w:vMerge w:val="continue"/>
            <w:vAlign w:val="center"/>
          </w:tcPr>
          <w:p>
            <w:pPr>
              <w:spacing w:line="300" w:lineRule="exact"/>
              <w:jc w:val="left"/>
              <w:outlineLvl w:val="0"/>
            </w:pP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4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5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14"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90" w:type="dxa"/>
            <w:vAlign w:val="center"/>
          </w:tcPr>
          <w:p>
            <w:pPr>
              <w:spacing w:line="300" w:lineRule="exact"/>
              <w:jc w:val="right"/>
              <w:rPr>
                <w:rFonts w:ascii="方正书宋_GBK" w:eastAsia="方正书宋_GBK"/>
                <w:b/>
              </w:rPr>
            </w:pPr>
          </w:p>
        </w:tc>
        <w:tc>
          <w:tcPr>
            <w:tcW w:w="965" w:type="dxa"/>
            <w:vAlign w:val="center"/>
          </w:tcPr>
          <w:p>
            <w:pPr>
              <w:spacing w:line="300" w:lineRule="exact"/>
              <w:jc w:val="left"/>
              <w:rPr>
                <w:rFonts w:ascii="方正书宋_GBK" w:eastAsia="方正书宋_GBK"/>
                <w:b/>
              </w:rPr>
            </w:pPr>
          </w:p>
        </w:tc>
        <w:tc>
          <w:tcPr>
            <w:tcW w:w="977" w:type="dxa"/>
            <w:vAlign w:val="center"/>
          </w:tcPr>
          <w:p>
            <w:pPr>
              <w:spacing w:line="300" w:lineRule="exact"/>
              <w:jc w:val="left"/>
              <w:rPr>
                <w:rFonts w:ascii="方正书宋_GBK" w:eastAsia="方正书宋_GBK"/>
                <w:b/>
              </w:rPr>
            </w:pPr>
          </w:p>
        </w:tc>
        <w:tc>
          <w:tcPr>
            <w:tcW w:w="752" w:type="dxa"/>
            <w:vAlign w:val="center"/>
          </w:tcPr>
          <w:p>
            <w:pPr>
              <w:spacing w:line="300" w:lineRule="exact"/>
              <w:jc w:val="left"/>
              <w:rPr>
                <w:rFonts w:ascii="方正书宋_GBK" w:eastAsia="方正书宋_GBK"/>
                <w:b/>
              </w:rPr>
            </w:pPr>
          </w:p>
        </w:tc>
        <w:tc>
          <w:tcPr>
            <w:tcW w:w="752"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r>
              <w:rPr>
                <w:rFonts w:ascii="方正书宋_GBK" w:eastAsia="方正书宋_GBK"/>
                <w:b/>
              </w:rPr>
              <w:t>3833.29</w:t>
            </w:r>
          </w:p>
        </w:tc>
        <w:tc>
          <w:tcPr>
            <w:tcW w:w="957" w:type="dxa"/>
            <w:vAlign w:val="center"/>
          </w:tcPr>
          <w:p>
            <w:pPr>
              <w:spacing w:line="300" w:lineRule="exact"/>
              <w:jc w:val="right"/>
              <w:rPr>
                <w:rFonts w:ascii="方正书宋_GBK" w:eastAsia="方正书宋_GBK"/>
                <w:b/>
              </w:rPr>
            </w:pPr>
            <w:r>
              <w:rPr>
                <w:rFonts w:ascii="方正书宋_GBK" w:eastAsia="方正书宋_GBK"/>
                <w:b/>
              </w:rPr>
              <w:t>3833.29</w:t>
            </w:r>
          </w:p>
        </w:tc>
        <w:tc>
          <w:tcPr>
            <w:tcW w:w="957" w:type="dxa"/>
            <w:vAlign w:val="center"/>
          </w:tcPr>
          <w:p>
            <w:pPr>
              <w:spacing w:line="300" w:lineRule="exact"/>
              <w:jc w:val="right"/>
              <w:rPr>
                <w:rFonts w:ascii="方正书宋_GBK" w:eastAsia="方正书宋_GBK"/>
                <w:b/>
              </w:rPr>
            </w:pPr>
            <w:r>
              <w:rPr>
                <w:rFonts w:ascii="方正书宋_GBK" w:eastAsia="方正书宋_GBK"/>
                <w:b/>
              </w:rPr>
              <w:t>3833.29</w:t>
            </w:r>
          </w:p>
        </w:tc>
        <w:tc>
          <w:tcPr>
            <w:tcW w:w="943"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1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center"/>
              <w:rPr>
                <w:rFonts w:ascii="方正书宋_GBK" w:eastAsia="方正书宋_GBK"/>
                <w:b/>
              </w:rPr>
            </w:pPr>
            <w:r>
              <w:rPr>
                <w:rFonts w:hint="eastAsia" w:ascii="方正书宋_GBK" w:eastAsia="方正书宋_GBK"/>
                <w:b/>
              </w:rPr>
              <w:t>无极县住房和城乡建设局小计</w:t>
            </w:r>
          </w:p>
        </w:tc>
        <w:tc>
          <w:tcPr>
            <w:tcW w:w="1090" w:type="dxa"/>
            <w:vAlign w:val="center"/>
          </w:tcPr>
          <w:p>
            <w:pPr>
              <w:spacing w:line="300" w:lineRule="exact"/>
              <w:jc w:val="right"/>
              <w:rPr>
                <w:rFonts w:ascii="方正书宋_GBK" w:eastAsia="方正书宋_GBK"/>
                <w:b/>
              </w:rPr>
            </w:pPr>
          </w:p>
        </w:tc>
        <w:tc>
          <w:tcPr>
            <w:tcW w:w="965" w:type="dxa"/>
            <w:vAlign w:val="center"/>
          </w:tcPr>
          <w:p>
            <w:pPr>
              <w:spacing w:line="300" w:lineRule="exact"/>
              <w:jc w:val="left"/>
              <w:rPr>
                <w:rFonts w:ascii="方正书宋_GBK" w:eastAsia="方正书宋_GBK"/>
                <w:b/>
              </w:rPr>
            </w:pPr>
          </w:p>
        </w:tc>
        <w:tc>
          <w:tcPr>
            <w:tcW w:w="977" w:type="dxa"/>
            <w:vAlign w:val="center"/>
          </w:tcPr>
          <w:p>
            <w:pPr>
              <w:spacing w:line="300" w:lineRule="exact"/>
              <w:jc w:val="left"/>
              <w:rPr>
                <w:rFonts w:ascii="方正书宋_GBK" w:eastAsia="方正书宋_GBK"/>
                <w:b/>
              </w:rPr>
            </w:pPr>
          </w:p>
        </w:tc>
        <w:tc>
          <w:tcPr>
            <w:tcW w:w="752" w:type="dxa"/>
            <w:vAlign w:val="center"/>
          </w:tcPr>
          <w:p>
            <w:pPr>
              <w:spacing w:line="300" w:lineRule="exact"/>
              <w:jc w:val="left"/>
              <w:rPr>
                <w:rFonts w:ascii="方正书宋_GBK" w:eastAsia="方正书宋_GBK"/>
                <w:b/>
              </w:rPr>
            </w:pPr>
          </w:p>
        </w:tc>
        <w:tc>
          <w:tcPr>
            <w:tcW w:w="752"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r>
              <w:rPr>
                <w:rFonts w:ascii="方正书宋_GBK" w:eastAsia="方正书宋_GBK"/>
                <w:b/>
              </w:rPr>
              <w:t>1500.00</w:t>
            </w:r>
          </w:p>
        </w:tc>
        <w:tc>
          <w:tcPr>
            <w:tcW w:w="957" w:type="dxa"/>
            <w:vAlign w:val="center"/>
          </w:tcPr>
          <w:p>
            <w:pPr>
              <w:spacing w:line="300" w:lineRule="exact"/>
              <w:jc w:val="right"/>
              <w:rPr>
                <w:rFonts w:ascii="方正书宋_GBK" w:eastAsia="方正书宋_GBK"/>
                <w:b/>
              </w:rPr>
            </w:pPr>
            <w:r>
              <w:rPr>
                <w:rFonts w:ascii="方正书宋_GBK" w:eastAsia="方正书宋_GBK"/>
                <w:b/>
              </w:rPr>
              <w:t>1500.00</w:t>
            </w:r>
          </w:p>
        </w:tc>
        <w:tc>
          <w:tcPr>
            <w:tcW w:w="957" w:type="dxa"/>
            <w:vAlign w:val="center"/>
          </w:tcPr>
          <w:p>
            <w:pPr>
              <w:spacing w:line="300" w:lineRule="exact"/>
              <w:jc w:val="right"/>
              <w:rPr>
                <w:rFonts w:ascii="方正书宋_GBK" w:eastAsia="方正书宋_GBK"/>
                <w:b/>
              </w:rPr>
            </w:pPr>
            <w:r>
              <w:rPr>
                <w:rFonts w:ascii="方正书宋_GBK" w:eastAsia="方正书宋_GBK"/>
                <w:b/>
              </w:rPr>
              <w:t>1500.00</w:t>
            </w:r>
          </w:p>
        </w:tc>
        <w:tc>
          <w:tcPr>
            <w:tcW w:w="943"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1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hint="eastAsia" w:ascii="方正书宋_GBK" w:eastAsia="方正书宋_GBK"/>
              </w:rPr>
              <w:t>城市建设专项资金</w:t>
            </w:r>
          </w:p>
        </w:tc>
        <w:tc>
          <w:tcPr>
            <w:tcW w:w="1090" w:type="dxa"/>
            <w:vAlign w:val="center"/>
          </w:tcPr>
          <w:p>
            <w:pPr>
              <w:spacing w:line="300" w:lineRule="exact"/>
              <w:jc w:val="right"/>
              <w:rPr>
                <w:rFonts w:ascii="方正书宋_GBK" w:eastAsia="方正书宋_GBK"/>
              </w:rPr>
            </w:pPr>
            <w:r>
              <w:rPr>
                <w:rFonts w:ascii="方正书宋_GBK" w:eastAsia="方正书宋_GBK"/>
              </w:rPr>
              <w:t>1000.00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城市道路工程施工</w:t>
            </w:r>
          </w:p>
        </w:tc>
        <w:tc>
          <w:tcPr>
            <w:tcW w:w="977" w:type="dxa"/>
            <w:vAlign w:val="center"/>
          </w:tcPr>
          <w:p>
            <w:pPr>
              <w:spacing w:line="300" w:lineRule="exact"/>
              <w:jc w:val="left"/>
              <w:rPr>
                <w:rFonts w:ascii="方正书宋_GBK" w:eastAsia="方正书宋_GBK"/>
              </w:rPr>
            </w:pPr>
            <w:r>
              <w:rPr>
                <w:rFonts w:ascii="方正书宋_GBK" w:eastAsia="方正书宋_GBK"/>
              </w:rPr>
              <w:t>B0205</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1000.00</w:t>
            </w:r>
          </w:p>
        </w:tc>
        <w:tc>
          <w:tcPr>
            <w:tcW w:w="957" w:type="dxa"/>
            <w:vAlign w:val="center"/>
          </w:tcPr>
          <w:p>
            <w:pPr>
              <w:spacing w:line="300" w:lineRule="exact"/>
              <w:jc w:val="right"/>
              <w:rPr>
                <w:rFonts w:ascii="方正书宋_GBK" w:eastAsia="方正书宋_GBK"/>
              </w:rPr>
            </w:pPr>
            <w:r>
              <w:rPr>
                <w:rFonts w:ascii="方正书宋_GBK" w:eastAsia="方正书宋_GBK"/>
              </w:rPr>
              <w:t>1000.00</w:t>
            </w:r>
          </w:p>
        </w:tc>
        <w:tc>
          <w:tcPr>
            <w:tcW w:w="957" w:type="dxa"/>
            <w:vAlign w:val="center"/>
          </w:tcPr>
          <w:p>
            <w:pPr>
              <w:spacing w:line="300" w:lineRule="exact"/>
              <w:jc w:val="right"/>
              <w:rPr>
                <w:rFonts w:ascii="方正书宋_GBK" w:eastAsia="方正书宋_GBK"/>
              </w:rPr>
            </w:pPr>
            <w:r>
              <w:rPr>
                <w:rFonts w:ascii="方正书宋_GBK" w:eastAsia="方正书宋_GBK"/>
              </w:rPr>
              <w:t>1000.00</w:t>
            </w:r>
          </w:p>
        </w:tc>
        <w:tc>
          <w:tcPr>
            <w:tcW w:w="957" w:type="dxa"/>
            <w:vAlign w:val="center"/>
          </w:tcPr>
          <w:p>
            <w:pPr>
              <w:spacing w:line="300" w:lineRule="exact"/>
              <w:jc w:val="right"/>
              <w:rPr>
                <w:rFonts w:ascii="方正书宋_GBK" w:eastAsia="方正书宋_GBK"/>
              </w:rPr>
            </w:pPr>
            <w:r>
              <w:rPr>
                <w:rFonts w:ascii="方正书宋_GBK" w:eastAsia="方正书宋_GBK"/>
              </w:rPr>
              <w:t>1000.00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年中信公司托管运营服务费</w:t>
            </w:r>
          </w:p>
        </w:tc>
        <w:tc>
          <w:tcPr>
            <w:tcW w:w="1090" w:type="dxa"/>
            <w:vAlign w:val="center"/>
          </w:tcPr>
          <w:p>
            <w:pPr>
              <w:spacing w:line="300" w:lineRule="exact"/>
              <w:jc w:val="right"/>
              <w:rPr>
                <w:rFonts w:ascii="方正书宋_GBK" w:eastAsia="方正书宋_GBK"/>
              </w:rPr>
            </w:pPr>
            <w:r>
              <w:rPr>
                <w:rFonts w:ascii="方正书宋_GBK" w:eastAsia="方正书宋_GBK"/>
              </w:rPr>
              <w:t>500.00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运营服务</w:t>
            </w:r>
          </w:p>
        </w:tc>
        <w:tc>
          <w:tcPr>
            <w:tcW w:w="977" w:type="dxa"/>
            <w:vAlign w:val="center"/>
          </w:tcPr>
          <w:p>
            <w:pPr>
              <w:spacing w:line="300" w:lineRule="exact"/>
              <w:jc w:val="left"/>
              <w:rPr>
                <w:rFonts w:ascii="方正书宋_GBK" w:eastAsia="方正书宋_GBK"/>
              </w:rPr>
            </w:pPr>
            <w:r>
              <w:rPr>
                <w:rFonts w:ascii="方正书宋_GBK" w:eastAsia="方正书宋_GBK"/>
              </w:rPr>
              <w:t>C0207</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500.00</w:t>
            </w:r>
          </w:p>
        </w:tc>
        <w:tc>
          <w:tcPr>
            <w:tcW w:w="957" w:type="dxa"/>
            <w:vAlign w:val="center"/>
          </w:tcPr>
          <w:p>
            <w:pPr>
              <w:spacing w:line="300" w:lineRule="exact"/>
              <w:jc w:val="right"/>
              <w:rPr>
                <w:rFonts w:ascii="方正书宋_GBK" w:eastAsia="方正书宋_GBK"/>
              </w:rPr>
            </w:pPr>
            <w:r>
              <w:rPr>
                <w:rFonts w:ascii="方正书宋_GBK" w:eastAsia="方正书宋_GBK"/>
              </w:rPr>
              <w:t>500.00</w:t>
            </w:r>
          </w:p>
        </w:tc>
        <w:tc>
          <w:tcPr>
            <w:tcW w:w="957" w:type="dxa"/>
            <w:vAlign w:val="center"/>
          </w:tcPr>
          <w:p>
            <w:pPr>
              <w:spacing w:line="300" w:lineRule="exact"/>
              <w:jc w:val="right"/>
              <w:rPr>
                <w:rFonts w:ascii="方正书宋_GBK" w:eastAsia="方正书宋_GBK"/>
              </w:rPr>
            </w:pPr>
            <w:r>
              <w:rPr>
                <w:rFonts w:ascii="方正书宋_GBK" w:eastAsia="方正书宋_GBK"/>
              </w:rPr>
              <w:t>500.00</w:t>
            </w:r>
          </w:p>
        </w:tc>
        <w:tc>
          <w:tcPr>
            <w:tcW w:w="957" w:type="dxa"/>
            <w:vAlign w:val="center"/>
          </w:tcPr>
          <w:p>
            <w:pPr>
              <w:spacing w:line="300" w:lineRule="exact"/>
              <w:jc w:val="right"/>
              <w:rPr>
                <w:rFonts w:ascii="方正书宋_GBK" w:eastAsia="方正书宋_GBK"/>
              </w:rPr>
            </w:pPr>
            <w:r>
              <w:rPr>
                <w:rFonts w:ascii="方正书宋_GBK" w:eastAsia="方正书宋_GBK"/>
              </w:rPr>
              <w:t>500.00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center"/>
              <w:rPr>
                <w:rFonts w:ascii="方正书宋_GBK" w:eastAsia="方正书宋_GBK"/>
                <w:b/>
              </w:rPr>
            </w:pPr>
            <w:r>
              <w:rPr>
                <w:rFonts w:hint="eastAsia" w:ascii="方正书宋_GBK" w:eastAsia="方正书宋_GBK"/>
                <w:b/>
              </w:rPr>
              <w:t>无极县城市管理局小计</w:t>
            </w:r>
          </w:p>
        </w:tc>
        <w:tc>
          <w:tcPr>
            <w:tcW w:w="1090" w:type="dxa"/>
            <w:vAlign w:val="center"/>
          </w:tcPr>
          <w:p>
            <w:pPr>
              <w:spacing w:line="300" w:lineRule="exact"/>
              <w:jc w:val="right"/>
              <w:rPr>
                <w:rFonts w:ascii="方正书宋_GBK" w:eastAsia="方正书宋_GBK"/>
                <w:b/>
              </w:rPr>
            </w:pPr>
          </w:p>
        </w:tc>
        <w:tc>
          <w:tcPr>
            <w:tcW w:w="965" w:type="dxa"/>
            <w:vAlign w:val="center"/>
          </w:tcPr>
          <w:p>
            <w:pPr>
              <w:spacing w:line="300" w:lineRule="exact"/>
              <w:jc w:val="left"/>
              <w:rPr>
                <w:rFonts w:ascii="方正书宋_GBK" w:eastAsia="方正书宋_GBK"/>
                <w:b/>
              </w:rPr>
            </w:pPr>
          </w:p>
        </w:tc>
        <w:tc>
          <w:tcPr>
            <w:tcW w:w="977" w:type="dxa"/>
            <w:vAlign w:val="center"/>
          </w:tcPr>
          <w:p>
            <w:pPr>
              <w:spacing w:line="300" w:lineRule="exact"/>
              <w:jc w:val="left"/>
              <w:rPr>
                <w:rFonts w:ascii="方正书宋_GBK" w:eastAsia="方正书宋_GBK"/>
                <w:b/>
              </w:rPr>
            </w:pPr>
          </w:p>
        </w:tc>
        <w:tc>
          <w:tcPr>
            <w:tcW w:w="752" w:type="dxa"/>
            <w:vAlign w:val="center"/>
          </w:tcPr>
          <w:p>
            <w:pPr>
              <w:spacing w:line="300" w:lineRule="exact"/>
              <w:jc w:val="left"/>
              <w:rPr>
                <w:rFonts w:ascii="方正书宋_GBK" w:eastAsia="方正书宋_GBK"/>
                <w:b/>
              </w:rPr>
            </w:pPr>
          </w:p>
        </w:tc>
        <w:tc>
          <w:tcPr>
            <w:tcW w:w="752" w:type="dxa"/>
            <w:vAlign w:val="center"/>
          </w:tcPr>
          <w:p>
            <w:pPr>
              <w:spacing w:line="300" w:lineRule="exact"/>
              <w:jc w:val="right"/>
              <w:rPr>
                <w:rFonts w:ascii="方正书宋_GBK" w:eastAsia="方正书宋_GBK"/>
                <w:b/>
              </w:rPr>
            </w:pPr>
          </w:p>
        </w:tc>
        <w:tc>
          <w:tcPr>
            <w:tcW w:w="951"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r>
              <w:rPr>
                <w:rFonts w:ascii="方正书宋_GBK" w:eastAsia="方正书宋_GBK"/>
                <w:b/>
              </w:rPr>
              <w:t>2333.29</w:t>
            </w:r>
          </w:p>
        </w:tc>
        <w:tc>
          <w:tcPr>
            <w:tcW w:w="957" w:type="dxa"/>
            <w:vAlign w:val="center"/>
          </w:tcPr>
          <w:p>
            <w:pPr>
              <w:spacing w:line="300" w:lineRule="exact"/>
              <w:jc w:val="right"/>
              <w:rPr>
                <w:rFonts w:ascii="方正书宋_GBK" w:eastAsia="方正书宋_GBK"/>
                <w:b/>
              </w:rPr>
            </w:pPr>
            <w:r>
              <w:rPr>
                <w:rFonts w:ascii="方正书宋_GBK" w:eastAsia="方正书宋_GBK"/>
                <w:b/>
              </w:rPr>
              <w:t>2333.29</w:t>
            </w:r>
          </w:p>
        </w:tc>
        <w:tc>
          <w:tcPr>
            <w:tcW w:w="957" w:type="dxa"/>
            <w:vAlign w:val="center"/>
          </w:tcPr>
          <w:p>
            <w:pPr>
              <w:spacing w:line="300" w:lineRule="exact"/>
              <w:jc w:val="right"/>
              <w:rPr>
                <w:rFonts w:ascii="方正书宋_GBK" w:eastAsia="方正书宋_GBK"/>
                <w:b/>
              </w:rPr>
            </w:pPr>
            <w:r>
              <w:rPr>
                <w:rFonts w:ascii="方正书宋_GBK" w:eastAsia="方正书宋_GBK"/>
                <w:b/>
              </w:rPr>
              <w:t>2333.29</w:t>
            </w:r>
          </w:p>
        </w:tc>
        <w:tc>
          <w:tcPr>
            <w:tcW w:w="943"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57" w:type="dxa"/>
            <w:vAlign w:val="center"/>
          </w:tcPr>
          <w:p>
            <w:pPr>
              <w:spacing w:line="300" w:lineRule="exact"/>
              <w:jc w:val="right"/>
              <w:rPr>
                <w:rFonts w:ascii="方正书宋_GBK" w:eastAsia="方正书宋_GBK"/>
                <w:b/>
              </w:rPr>
            </w:pPr>
          </w:p>
        </w:tc>
        <w:tc>
          <w:tcPr>
            <w:tcW w:w="91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年主城区以外剩余部分道路清扫保洁服务费</w:t>
            </w:r>
          </w:p>
        </w:tc>
        <w:tc>
          <w:tcPr>
            <w:tcW w:w="1090" w:type="dxa"/>
            <w:vAlign w:val="center"/>
          </w:tcPr>
          <w:p>
            <w:pPr>
              <w:spacing w:line="300" w:lineRule="exact"/>
              <w:jc w:val="right"/>
              <w:rPr>
                <w:rFonts w:ascii="方正书宋_GBK" w:eastAsia="方正书宋_GBK"/>
              </w:rPr>
            </w:pPr>
            <w:r>
              <w:rPr>
                <w:rFonts w:ascii="方正书宋_GBK" w:eastAsia="方正书宋_GBK"/>
              </w:rPr>
              <w:t>475.00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475.00</w:t>
            </w:r>
          </w:p>
        </w:tc>
        <w:tc>
          <w:tcPr>
            <w:tcW w:w="957" w:type="dxa"/>
            <w:vAlign w:val="center"/>
          </w:tcPr>
          <w:p>
            <w:pPr>
              <w:spacing w:line="300" w:lineRule="exact"/>
              <w:jc w:val="right"/>
              <w:rPr>
                <w:rFonts w:ascii="方正书宋_GBK" w:eastAsia="方正书宋_GBK"/>
              </w:rPr>
            </w:pPr>
            <w:r>
              <w:rPr>
                <w:rFonts w:ascii="方正书宋_GBK" w:eastAsia="方正书宋_GBK"/>
              </w:rPr>
              <w:t>475.00</w:t>
            </w:r>
          </w:p>
        </w:tc>
        <w:tc>
          <w:tcPr>
            <w:tcW w:w="957" w:type="dxa"/>
            <w:vAlign w:val="center"/>
          </w:tcPr>
          <w:p>
            <w:pPr>
              <w:spacing w:line="300" w:lineRule="exact"/>
              <w:jc w:val="right"/>
              <w:rPr>
                <w:rFonts w:ascii="方正书宋_GBK" w:eastAsia="方正书宋_GBK"/>
              </w:rPr>
            </w:pPr>
            <w:r>
              <w:rPr>
                <w:rFonts w:ascii="方正书宋_GBK" w:eastAsia="方正书宋_GBK"/>
              </w:rPr>
              <w:t>475.00</w:t>
            </w:r>
          </w:p>
        </w:tc>
        <w:tc>
          <w:tcPr>
            <w:tcW w:w="957" w:type="dxa"/>
            <w:vAlign w:val="center"/>
          </w:tcPr>
          <w:p>
            <w:pPr>
              <w:spacing w:line="300" w:lineRule="exact"/>
              <w:jc w:val="right"/>
              <w:rPr>
                <w:rFonts w:ascii="方正书宋_GBK" w:eastAsia="方正书宋_GBK"/>
              </w:rPr>
            </w:pPr>
            <w:r>
              <w:rPr>
                <w:rFonts w:ascii="方正书宋_GBK" w:eastAsia="方正书宋_GBK"/>
              </w:rPr>
              <w:t>475.00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年城区外围新修道路清扫保洁服务费</w:t>
            </w:r>
          </w:p>
        </w:tc>
        <w:tc>
          <w:tcPr>
            <w:tcW w:w="1090" w:type="dxa"/>
            <w:vAlign w:val="center"/>
          </w:tcPr>
          <w:p>
            <w:pPr>
              <w:spacing w:line="300" w:lineRule="exact"/>
              <w:jc w:val="right"/>
              <w:rPr>
                <w:rFonts w:ascii="方正书宋_GBK" w:eastAsia="方正书宋_GBK"/>
              </w:rPr>
            </w:pPr>
            <w:r>
              <w:rPr>
                <w:rFonts w:ascii="方正书宋_GBK" w:eastAsia="方正书宋_GBK"/>
              </w:rPr>
              <w:t>38.00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38.00</w:t>
            </w:r>
          </w:p>
        </w:tc>
        <w:tc>
          <w:tcPr>
            <w:tcW w:w="957" w:type="dxa"/>
            <w:vAlign w:val="center"/>
          </w:tcPr>
          <w:p>
            <w:pPr>
              <w:spacing w:line="300" w:lineRule="exact"/>
              <w:jc w:val="right"/>
              <w:rPr>
                <w:rFonts w:ascii="方正书宋_GBK" w:eastAsia="方正书宋_GBK"/>
              </w:rPr>
            </w:pPr>
            <w:r>
              <w:rPr>
                <w:rFonts w:ascii="方正书宋_GBK" w:eastAsia="方正书宋_GBK"/>
              </w:rPr>
              <w:t>38.00</w:t>
            </w:r>
          </w:p>
        </w:tc>
        <w:tc>
          <w:tcPr>
            <w:tcW w:w="957" w:type="dxa"/>
            <w:vAlign w:val="center"/>
          </w:tcPr>
          <w:p>
            <w:pPr>
              <w:spacing w:line="300" w:lineRule="exact"/>
              <w:jc w:val="right"/>
              <w:rPr>
                <w:rFonts w:ascii="方正书宋_GBK" w:eastAsia="方正书宋_GBK"/>
              </w:rPr>
            </w:pPr>
            <w:r>
              <w:rPr>
                <w:rFonts w:ascii="方正书宋_GBK" w:eastAsia="方正书宋_GBK"/>
              </w:rPr>
              <w:t>38.00</w:t>
            </w:r>
          </w:p>
        </w:tc>
        <w:tc>
          <w:tcPr>
            <w:tcW w:w="957" w:type="dxa"/>
            <w:vAlign w:val="center"/>
          </w:tcPr>
          <w:p>
            <w:pPr>
              <w:spacing w:line="300" w:lineRule="exact"/>
              <w:jc w:val="right"/>
              <w:rPr>
                <w:rFonts w:ascii="方正书宋_GBK" w:eastAsia="方正书宋_GBK"/>
              </w:rPr>
            </w:pPr>
            <w:r>
              <w:rPr>
                <w:rFonts w:ascii="方正书宋_GBK" w:eastAsia="方正书宋_GBK"/>
              </w:rPr>
              <w:t>38.00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年主城区道路清扫保洁服务费</w:t>
            </w:r>
          </w:p>
        </w:tc>
        <w:tc>
          <w:tcPr>
            <w:tcW w:w="1090" w:type="dxa"/>
            <w:vAlign w:val="center"/>
          </w:tcPr>
          <w:p>
            <w:pPr>
              <w:spacing w:line="300" w:lineRule="exact"/>
              <w:jc w:val="right"/>
              <w:rPr>
                <w:rFonts w:ascii="方正书宋_GBK" w:eastAsia="方正书宋_GBK"/>
              </w:rPr>
            </w:pPr>
            <w:r>
              <w:rPr>
                <w:rFonts w:ascii="方正书宋_GBK" w:eastAsia="方正书宋_GBK"/>
              </w:rPr>
              <w:t>453.30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453.30</w:t>
            </w:r>
          </w:p>
        </w:tc>
        <w:tc>
          <w:tcPr>
            <w:tcW w:w="957" w:type="dxa"/>
            <w:vAlign w:val="center"/>
          </w:tcPr>
          <w:p>
            <w:pPr>
              <w:spacing w:line="300" w:lineRule="exact"/>
              <w:jc w:val="right"/>
              <w:rPr>
                <w:rFonts w:ascii="方正书宋_GBK" w:eastAsia="方正书宋_GBK"/>
              </w:rPr>
            </w:pPr>
            <w:r>
              <w:rPr>
                <w:rFonts w:ascii="方正书宋_GBK" w:eastAsia="方正书宋_GBK"/>
              </w:rPr>
              <w:t>453.30</w:t>
            </w:r>
          </w:p>
        </w:tc>
        <w:tc>
          <w:tcPr>
            <w:tcW w:w="957" w:type="dxa"/>
            <w:vAlign w:val="center"/>
          </w:tcPr>
          <w:p>
            <w:pPr>
              <w:spacing w:line="300" w:lineRule="exact"/>
              <w:jc w:val="right"/>
              <w:rPr>
                <w:rFonts w:ascii="方正书宋_GBK" w:eastAsia="方正书宋_GBK"/>
              </w:rPr>
            </w:pPr>
            <w:r>
              <w:rPr>
                <w:rFonts w:ascii="方正书宋_GBK" w:eastAsia="方正书宋_GBK"/>
              </w:rPr>
              <w:t>453.30</w:t>
            </w:r>
          </w:p>
        </w:tc>
        <w:tc>
          <w:tcPr>
            <w:tcW w:w="957" w:type="dxa"/>
            <w:vAlign w:val="center"/>
          </w:tcPr>
          <w:p>
            <w:pPr>
              <w:spacing w:line="300" w:lineRule="exact"/>
              <w:jc w:val="right"/>
              <w:rPr>
                <w:rFonts w:ascii="方正书宋_GBK" w:eastAsia="方正书宋_GBK"/>
              </w:rPr>
            </w:pPr>
            <w:r>
              <w:rPr>
                <w:rFonts w:ascii="方正书宋_GBK" w:eastAsia="方正书宋_GBK"/>
              </w:rPr>
              <w:t>453.30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年城中村道路清扫保洁服务费</w:t>
            </w:r>
          </w:p>
        </w:tc>
        <w:tc>
          <w:tcPr>
            <w:tcW w:w="1090" w:type="dxa"/>
            <w:vAlign w:val="center"/>
          </w:tcPr>
          <w:p>
            <w:pPr>
              <w:spacing w:line="300" w:lineRule="exact"/>
              <w:jc w:val="right"/>
              <w:rPr>
                <w:rFonts w:ascii="方正书宋_GBK" w:eastAsia="方正书宋_GBK"/>
              </w:rPr>
            </w:pPr>
            <w:r>
              <w:rPr>
                <w:rFonts w:ascii="方正书宋_GBK" w:eastAsia="方正书宋_GBK"/>
              </w:rPr>
              <w:t>74.00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74.00</w:t>
            </w:r>
          </w:p>
        </w:tc>
        <w:tc>
          <w:tcPr>
            <w:tcW w:w="957" w:type="dxa"/>
            <w:vAlign w:val="center"/>
          </w:tcPr>
          <w:p>
            <w:pPr>
              <w:spacing w:line="300" w:lineRule="exact"/>
              <w:jc w:val="right"/>
              <w:rPr>
                <w:rFonts w:ascii="方正书宋_GBK" w:eastAsia="方正书宋_GBK"/>
              </w:rPr>
            </w:pPr>
            <w:r>
              <w:rPr>
                <w:rFonts w:ascii="方正书宋_GBK" w:eastAsia="方正书宋_GBK"/>
              </w:rPr>
              <w:t>74.00</w:t>
            </w:r>
          </w:p>
        </w:tc>
        <w:tc>
          <w:tcPr>
            <w:tcW w:w="957" w:type="dxa"/>
            <w:vAlign w:val="center"/>
          </w:tcPr>
          <w:p>
            <w:pPr>
              <w:spacing w:line="300" w:lineRule="exact"/>
              <w:jc w:val="right"/>
              <w:rPr>
                <w:rFonts w:ascii="方正书宋_GBK" w:eastAsia="方正书宋_GBK"/>
              </w:rPr>
            </w:pPr>
            <w:r>
              <w:rPr>
                <w:rFonts w:ascii="方正书宋_GBK" w:eastAsia="方正书宋_GBK"/>
              </w:rPr>
              <w:t>74.00</w:t>
            </w:r>
          </w:p>
        </w:tc>
        <w:tc>
          <w:tcPr>
            <w:tcW w:w="957" w:type="dxa"/>
            <w:vAlign w:val="center"/>
          </w:tcPr>
          <w:p>
            <w:pPr>
              <w:spacing w:line="300" w:lineRule="exact"/>
              <w:jc w:val="right"/>
              <w:rPr>
                <w:rFonts w:ascii="方正书宋_GBK" w:eastAsia="方正书宋_GBK"/>
              </w:rPr>
            </w:pPr>
            <w:r>
              <w:rPr>
                <w:rFonts w:ascii="方正书宋_GBK" w:eastAsia="方正书宋_GBK"/>
              </w:rPr>
              <w:t>74.00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hint="eastAsia" w:ascii="方正书宋_GBK" w:eastAsia="方正书宋_GBK"/>
              </w:rPr>
              <w:t>服务群众专项经费</w:t>
            </w:r>
          </w:p>
        </w:tc>
        <w:tc>
          <w:tcPr>
            <w:tcW w:w="1090" w:type="dxa"/>
            <w:vAlign w:val="center"/>
          </w:tcPr>
          <w:p>
            <w:pPr>
              <w:spacing w:line="300" w:lineRule="exact"/>
              <w:jc w:val="right"/>
              <w:rPr>
                <w:rFonts w:ascii="方正书宋_GBK" w:eastAsia="方正书宋_GBK"/>
              </w:rPr>
            </w:pPr>
            <w:r>
              <w:rPr>
                <w:rFonts w:ascii="方正书宋_GBK" w:eastAsia="方正书宋_GBK"/>
              </w:rPr>
              <w:t>628.30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628.29</w:t>
            </w:r>
          </w:p>
        </w:tc>
        <w:tc>
          <w:tcPr>
            <w:tcW w:w="957" w:type="dxa"/>
            <w:vAlign w:val="center"/>
          </w:tcPr>
          <w:p>
            <w:pPr>
              <w:spacing w:line="300" w:lineRule="exact"/>
              <w:jc w:val="right"/>
              <w:rPr>
                <w:rFonts w:ascii="方正书宋_GBK" w:eastAsia="方正书宋_GBK"/>
              </w:rPr>
            </w:pPr>
            <w:r>
              <w:rPr>
                <w:rFonts w:ascii="方正书宋_GBK" w:eastAsia="方正书宋_GBK"/>
              </w:rPr>
              <w:t>628.29</w:t>
            </w:r>
          </w:p>
        </w:tc>
        <w:tc>
          <w:tcPr>
            <w:tcW w:w="957" w:type="dxa"/>
            <w:vAlign w:val="center"/>
          </w:tcPr>
          <w:p>
            <w:pPr>
              <w:spacing w:line="300" w:lineRule="exact"/>
              <w:jc w:val="right"/>
              <w:rPr>
                <w:rFonts w:ascii="方正书宋_GBK" w:eastAsia="方正书宋_GBK"/>
              </w:rPr>
            </w:pPr>
            <w:r>
              <w:rPr>
                <w:rFonts w:ascii="方正书宋_GBK" w:eastAsia="方正书宋_GBK"/>
              </w:rPr>
              <w:t>628.29</w:t>
            </w:r>
          </w:p>
        </w:tc>
        <w:tc>
          <w:tcPr>
            <w:tcW w:w="957" w:type="dxa"/>
            <w:vAlign w:val="center"/>
          </w:tcPr>
          <w:p>
            <w:pPr>
              <w:spacing w:line="300" w:lineRule="exact"/>
              <w:jc w:val="right"/>
              <w:rPr>
                <w:rFonts w:ascii="方正书宋_GBK" w:eastAsia="方正书宋_GBK"/>
              </w:rPr>
            </w:pPr>
            <w:r>
              <w:rPr>
                <w:rFonts w:ascii="方正书宋_GBK" w:eastAsia="方正书宋_GBK"/>
              </w:rPr>
              <w:t>628.29</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39" w:type="dxa"/>
            <w:vAlign w:val="center"/>
          </w:tcPr>
          <w:p>
            <w:pPr>
              <w:spacing w:line="300" w:lineRule="exact"/>
              <w:jc w:val="left"/>
              <w:rPr>
                <w:rFonts w:ascii="方正书宋_GBK" w:eastAsia="方正书宋_GBK"/>
              </w:rPr>
            </w:pPr>
            <w:r>
              <w:rPr>
                <w:rFonts w:hint="eastAsia" w:ascii="方正书宋_GBK" w:eastAsia="方正书宋_GBK"/>
              </w:rPr>
              <w:t>服务群众专项经费</w:t>
            </w:r>
          </w:p>
        </w:tc>
        <w:tc>
          <w:tcPr>
            <w:tcW w:w="1090" w:type="dxa"/>
            <w:vAlign w:val="center"/>
          </w:tcPr>
          <w:p>
            <w:pPr>
              <w:spacing w:line="300" w:lineRule="exact"/>
              <w:jc w:val="right"/>
              <w:rPr>
                <w:rFonts w:ascii="方正书宋_GBK" w:eastAsia="方正书宋_GBK"/>
              </w:rPr>
            </w:pPr>
            <w:r>
              <w:rPr>
                <w:rFonts w:ascii="方正书宋_GBK" w:eastAsia="方正书宋_GBK"/>
              </w:rPr>
              <w:t>664.70</w:t>
            </w:r>
          </w:p>
        </w:tc>
        <w:tc>
          <w:tcPr>
            <w:tcW w:w="965" w:type="dxa"/>
            <w:vAlign w:val="center"/>
          </w:tcPr>
          <w:p>
            <w:pPr>
              <w:spacing w:line="300" w:lineRule="exact"/>
              <w:jc w:val="left"/>
              <w:rPr>
                <w:rFonts w:ascii="方正书宋_GBK" w:eastAsia="方正书宋_GBK"/>
              </w:rPr>
            </w:pPr>
            <w:r>
              <w:rPr>
                <w:rFonts w:hint="eastAsia" w:ascii="方正书宋_GBK" w:eastAsia="方正书宋_GBK"/>
              </w:rPr>
              <w:t>城镇公共卫生服务</w:t>
            </w:r>
          </w:p>
        </w:tc>
        <w:tc>
          <w:tcPr>
            <w:tcW w:w="977" w:type="dxa"/>
            <w:vAlign w:val="center"/>
          </w:tcPr>
          <w:p>
            <w:pPr>
              <w:spacing w:line="300" w:lineRule="exact"/>
              <w:jc w:val="left"/>
              <w:rPr>
                <w:rFonts w:ascii="方正书宋_GBK" w:eastAsia="方正书宋_GBK"/>
              </w:rPr>
            </w:pPr>
            <w:r>
              <w:rPr>
                <w:rFonts w:ascii="方正书宋_GBK" w:eastAsia="方正书宋_GBK"/>
              </w:rPr>
              <w:t>C1601</w:t>
            </w:r>
          </w:p>
        </w:tc>
        <w:tc>
          <w:tcPr>
            <w:tcW w:w="752" w:type="dxa"/>
            <w:vAlign w:val="center"/>
          </w:tcPr>
          <w:p>
            <w:pPr>
              <w:spacing w:line="300" w:lineRule="exact"/>
              <w:jc w:val="left"/>
              <w:rPr>
                <w:rFonts w:ascii="方正书宋_GBK" w:eastAsia="方正书宋_GBK"/>
              </w:rPr>
            </w:pPr>
          </w:p>
        </w:tc>
        <w:tc>
          <w:tcPr>
            <w:tcW w:w="752" w:type="dxa"/>
            <w:vAlign w:val="center"/>
          </w:tcPr>
          <w:p>
            <w:pPr>
              <w:spacing w:line="300" w:lineRule="exact"/>
              <w:jc w:val="right"/>
              <w:rPr>
                <w:rFonts w:ascii="方正书宋_GBK" w:eastAsia="方正书宋_GBK"/>
              </w:rPr>
            </w:pPr>
            <w:r>
              <w:rPr>
                <w:rFonts w:ascii="方正书宋_GBK" w:eastAsia="方正书宋_GBK"/>
              </w:rPr>
              <w:t>1.00</w:t>
            </w:r>
          </w:p>
        </w:tc>
        <w:tc>
          <w:tcPr>
            <w:tcW w:w="951" w:type="dxa"/>
            <w:vAlign w:val="center"/>
          </w:tcPr>
          <w:p>
            <w:pPr>
              <w:spacing w:line="300" w:lineRule="exact"/>
              <w:jc w:val="right"/>
              <w:rPr>
                <w:rFonts w:ascii="方正书宋_GBK" w:eastAsia="方正书宋_GBK"/>
              </w:rPr>
            </w:pPr>
            <w:r>
              <w:rPr>
                <w:rFonts w:ascii="方正书宋_GBK" w:eastAsia="方正书宋_GBK"/>
              </w:rPr>
              <w:t>664.70</w:t>
            </w:r>
          </w:p>
        </w:tc>
        <w:tc>
          <w:tcPr>
            <w:tcW w:w="957" w:type="dxa"/>
            <w:vAlign w:val="center"/>
          </w:tcPr>
          <w:p>
            <w:pPr>
              <w:spacing w:line="300" w:lineRule="exact"/>
              <w:jc w:val="right"/>
              <w:rPr>
                <w:rFonts w:ascii="方正书宋_GBK" w:eastAsia="方正书宋_GBK"/>
              </w:rPr>
            </w:pPr>
            <w:r>
              <w:rPr>
                <w:rFonts w:ascii="方正书宋_GBK" w:eastAsia="方正书宋_GBK"/>
              </w:rPr>
              <w:t>664.70</w:t>
            </w:r>
          </w:p>
        </w:tc>
        <w:tc>
          <w:tcPr>
            <w:tcW w:w="957" w:type="dxa"/>
            <w:vAlign w:val="center"/>
          </w:tcPr>
          <w:p>
            <w:pPr>
              <w:spacing w:line="300" w:lineRule="exact"/>
              <w:jc w:val="right"/>
              <w:rPr>
                <w:rFonts w:ascii="方正书宋_GBK" w:eastAsia="方正书宋_GBK"/>
              </w:rPr>
            </w:pPr>
            <w:r>
              <w:rPr>
                <w:rFonts w:ascii="方正书宋_GBK" w:eastAsia="方正书宋_GBK"/>
              </w:rPr>
              <w:t>664.70</w:t>
            </w:r>
          </w:p>
        </w:tc>
        <w:tc>
          <w:tcPr>
            <w:tcW w:w="957" w:type="dxa"/>
            <w:vAlign w:val="center"/>
          </w:tcPr>
          <w:p>
            <w:pPr>
              <w:spacing w:line="300" w:lineRule="exact"/>
              <w:jc w:val="right"/>
              <w:rPr>
                <w:rFonts w:ascii="方正书宋_GBK" w:eastAsia="方正书宋_GBK"/>
              </w:rPr>
            </w:pPr>
            <w:r>
              <w:rPr>
                <w:rFonts w:ascii="方正书宋_GBK" w:eastAsia="方正书宋_GBK"/>
              </w:rPr>
              <w:t>664.70</w:t>
            </w:r>
          </w:p>
        </w:tc>
        <w:tc>
          <w:tcPr>
            <w:tcW w:w="943"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57" w:type="dxa"/>
            <w:vAlign w:val="center"/>
          </w:tcPr>
          <w:p>
            <w:pPr>
              <w:spacing w:line="300" w:lineRule="exact"/>
              <w:jc w:val="right"/>
              <w:rPr>
                <w:rFonts w:ascii="方正书宋_GBK" w:eastAsia="方正书宋_GBK"/>
              </w:rPr>
            </w:pPr>
          </w:p>
        </w:tc>
        <w:tc>
          <w:tcPr>
            <w:tcW w:w="914" w:type="dxa"/>
            <w:vAlign w:val="center"/>
          </w:tcPr>
          <w:p>
            <w:pPr>
              <w:spacing w:line="300" w:lineRule="exact"/>
              <w:jc w:val="right"/>
              <w:rPr>
                <w:rFonts w:ascii="方正书宋_GBK" w:eastAsia="方正书宋_GBK"/>
              </w:rPr>
            </w:pPr>
          </w:p>
        </w:tc>
      </w:tr>
    </w:tbl>
    <w:p>
      <w:pPr>
        <w:rPr>
          <w:rFonts w:ascii="仿宋_GB2312" w:eastAsia="仿宋_GB2312"/>
          <w:sz w:val="30"/>
          <w:szCs w:val="30"/>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无极县住建局上年末固定资产金额为 1667.97万元（详见下表）。本年度拟购置固定资产金额为</w:t>
      </w:r>
      <w:r>
        <w:rPr>
          <w:rFonts w:hint="eastAsia" w:ascii="仿宋" w:hAnsi="仿宋" w:eastAsia="仿宋" w:cs="仿宋"/>
          <w:sz w:val="32"/>
          <w:szCs w:val="32"/>
          <w:lang w:val="en-US" w:eastAsia="zh-CN"/>
        </w:rPr>
        <w:t>3833.29</w:t>
      </w:r>
      <w:r>
        <w:rPr>
          <w:rFonts w:hint="eastAsia" w:ascii="仿宋" w:hAnsi="仿宋" w:eastAsia="仿宋" w:cs="仿宋"/>
          <w:sz w:val="32"/>
          <w:szCs w:val="32"/>
        </w:rPr>
        <w:t>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无极县住建局固定资产占用情况表</w:t>
      </w:r>
    </w:p>
    <w:tbl>
      <w:tblPr>
        <w:tblStyle w:val="4"/>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firstLineChars="200"/>
              <w:jc w:val="center"/>
              <w:rPr>
                <w:rFonts w:ascii="仿宋_GB2312" w:hAnsi="宋体" w:eastAsia="仿宋_GB2312" w:cs="宋体"/>
                <w:b/>
                <w:bCs/>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480" w:firstLineChars="200"/>
              <w:jc w:val="left"/>
              <w:rPr>
                <w:rFonts w:ascii="仿宋_GB2312" w:eastAsia="仿宋_GB2312" w:cs="仿宋_GB2312"/>
                <w:bCs/>
                <w:sz w:val="24"/>
                <w:szCs w:val="32"/>
              </w:rPr>
            </w:pPr>
            <w:r>
              <w:rPr>
                <w:rFonts w:hint="eastAsia" w:ascii="仿宋_GB2312" w:hAnsi="宋体" w:eastAsia="仿宋_GB2312" w:cs="宋体"/>
                <w:kern w:val="0"/>
                <w:sz w:val="24"/>
                <w:szCs w:val="32"/>
              </w:rPr>
              <w:t>编制部门：</w:t>
            </w:r>
            <w:r>
              <w:rPr>
                <w:rFonts w:hint="eastAsia" w:ascii="仿宋_GB2312" w:eastAsia="仿宋_GB2312" w:cs="仿宋_GB2312"/>
                <w:bCs/>
                <w:sz w:val="24"/>
                <w:szCs w:val="32"/>
              </w:rPr>
              <w:t>无极县住建局</w:t>
            </w:r>
          </w:p>
        </w:tc>
        <w:tc>
          <w:tcPr>
            <w:tcW w:w="5103" w:type="dxa"/>
            <w:tcBorders>
              <w:top w:val="nil"/>
              <w:left w:val="nil"/>
              <w:bottom w:val="nil"/>
              <w:right w:val="nil"/>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截止时间：2018年12月31日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资产总额</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1667.97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13482.13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359.06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13482.13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359.06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2、车辆（台、辆）</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75</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p>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884.37</w:t>
            </w:r>
          </w:p>
          <w:p>
            <w:pPr>
              <w:widowControl/>
              <w:rPr>
                <w:rFonts w:ascii="仿宋_GB2312" w:hAnsi="宋体" w:eastAsia="仿宋_GB2312" w:cs="宋体"/>
                <w:kern w:val="0"/>
                <w:sz w:val="24"/>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424.54</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hint="eastAsia" w:ascii="仿宋" w:hAnsi="仿宋" w:eastAsia="仿宋"/>
          <w:b w:val="0"/>
          <w:bCs/>
          <w:sz w:val="32"/>
          <w:szCs w:val="32"/>
        </w:rPr>
      </w:pPr>
      <w:r>
        <w:rPr>
          <w:rFonts w:hint="eastAsia" w:ascii="仿宋" w:hAnsi="仿宋" w:eastAsia="仿宋"/>
          <w:b/>
          <w:bCs w:val="0"/>
          <w:sz w:val="32"/>
          <w:szCs w:val="32"/>
        </w:rPr>
        <w:t>1、一般公共预算拨款收入</w:t>
      </w:r>
      <w:r>
        <w:rPr>
          <w:rFonts w:hint="eastAsia" w:ascii="仿宋" w:hAnsi="仿宋" w:eastAsia="仿宋"/>
          <w:b w:val="0"/>
          <w:bCs/>
          <w:sz w:val="32"/>
          <w:szCs w:val="32"/>
        </w:rPr>
        <w:t>：指县级财政当年拨付的资金。</w:t>
      </w:r>
    </w:p>
    <w:p>
      <w:pPr>
        <w:ind w:firstLine="720"/>
        <w:rPr>
          <w:rFonts w:hint="eastAsia" w:ascii="仿宋" w:hAnsi="仿宋" w:eastAsia="仿宋"/>
          <w:b w:val="0"/>
          <w:bCs/>
          <w:sz w:val="32"/>
          <w:szCs w:val="32"/>
        </w:rPr>
      </w:pPr>
      <w:r>
        <w:rPr>
          <w:rFonts w:hint="eastAsia" w:ascii="仿宋" w:hAnsi="仿宋" w:eastAsia="仿宋"/>
          <w:b/>
          <w:bCs w:val="0"/>
          <w:sz w:val="32"/>
          <w:szCs w:val="32"/>
        </w:rPr>
        <w:t>2、事业收入</w:t>
      </w:r>
      <w:r>
        <w:rPr>
          <w:rFonts w:hint="eastAsia" w:ascii="仿宋" w:hAnsi="仿宋" w:eastAsia="仿宋"/>
          <w:b w:val="0"/>
          <w:bCs/>
          <w:sz w:val="32"/>
          <w:szCs w:val="32"/>
        </w:rPr>
        <w:t>：指事业单位开展专业业务活动及辅助活动所取得的收入。</w:t>
      </w:r>
    </w:p>
    <w:p>
      <w:pPr>
        <w:ind w:firstLine="720"/>
        <w:rPr>
          <w:rFonts w:hint="eastAsia" w:ascii="仿宋" w:hAnsi="仿宋" w:eastAsia="仿宋"/>
          <w:b w:val="0"/>
          <w:bCs/>
          <w:sz w:val="32"/>
          <w:szCs w:val="32"/>
        </w:rPr>
      </w:pPr>
      <w:r>
        <w:rPr>
          <w:rFonts w:hint="eastAsia" w:ascii="仿宋" w:hAnsi="仿宋" w:eastAsia="仿宋"/>
          <w:b/>
          <w:bCs w:val="0"/>
          <w:sz w:val="32"/>
          <w:szCs w:val="32"/>
        </w:rPr>
        <w:t>3、其他收入</w:t>
      </w:r>
      <w:r>
        <w:rPr>
          <w:rFonts w:hint="eastAsia" w:ascii="仿宋" w:hAnsi="仿宋" w:eastAsia="仿宋"/>
          <w:b w:val="0"/>
          <w:bCs/>
          <w:sz w:val="32"/>
          <w:szCs w:val="32"/>
        </w:rPr>
        <w:t>：指除“一般公共预算拨款收入”、“事业收入”等以外的收入。主要是按规定动用的租房收入、存款利息收入等。</w:t>
      </w:r>
    </w:p>
    <w:p>
      <w:pPr>
        <w:ind w:firstLine="720"/>
        <w:rPr>
          <w:rFonts w:hint="eastAsia" w:ascii="仿宋" w:hAnsi="仿宋" w:eastAsia="仿宋"/>
          <w:b w:val="0"/>
          <w:bCs/>
          <w:sz w:val="32"/>
          <w:szCs w:val="32"/>
        </w:rPr>
      </w:pPr>
      <w:r>
        <w:rPr>
          <w:rFonts w:hint="eastAsia" w:ascii="仿宋" w:hAnsi="仿宋" w:eastAsia="仿宋"/>
          <w:b/>
          <w:bCs w:val="0"/>
          <w:sz w:val="32"/>
          <w:szCs w:val="32"/>
        </w:rPr>
        <w:t>4、基本支出</w:t>
      </w:r>
      <w:r>
        <w:rPr>
          <w:rFonts w:hint="eastAsia" w:ascii="仿宋" w:hAnsi="仿宋" w:eastAsia="仿宋"/>
          <w:b w:val="0"/>
          <w:bCs/>
          <w:sz w:val="32"/>
          <w:szCs w:val="32"/>
        </w:rPr>
        <w:t>：指为保障机构正常运转、完成日常工作任务而发生的人员支出和公用支出。</w:t>
      </w:r>
    </w:p>
    <w:p>
      <w:pPr>
        <w:ind w:firstLine="720"/>
        <w:rPr>
          <w:rFonts w:hint="eastAsia" w:ascii="仿宋" w:hAnsi="仿宋" w:eastAsia="仿宋"/>
          <w:b w:val="0"/>
          <w:bCs/>
          <w:sz w:val="32"/>
          <w:szCs w:val="32"/>
        </w:rPr>
      </w:pPr>
      <w:r>
        <w:rPr>
          <w:rFonts w:hint="eastAsia" w:ascii="仿宋" w:hAnsi="仿宋" w:eastAsia="仿宋"/>
          <w:b/>
          <w:bCs w:val="0"/>
          <w:sz w:val="32"/>
          <w:szCs w:val="32"/>
        </w:rPr>
        <w:t>5、项目支出</w:t>
      </w:r>
      <w:r>
        <w:rPr>
          <w:rFonts w:hint="eastAsia" w:ascii="仿宋" w:hAnsi="仿宋" w:eastAsia="仿宋"/>
          <w:b w:val="0"/>
          <w:bCs/>
          <w:sz w:val="32"/>
          <w:szCs w:val="32"/>
        </w:rPr>
        <w:t>：指在基本支出之外为完成特定行政任务和事业发展目标所发生的支出。</w:t>
      </w:r>
    </w:p>
    <w:p>
      <w:pPr>
        <w:ind w:firstLine="720"/>
        <w:rPr>
          <w:rFonts w:hint="eastAsia" w:ascii="仿宋" w:hAnsi="仿宋" w:eastAsia="仿宋"/>
          <w:b w:val="0"/>
          <w:bCs/>
          <w:sz w:val="32"/>
          <w:szCs w:val="32"/>
        </w:rPr>
      </w:pPr>
      <w:r>
        <w:rPr>
          <w:rFonts w:hint="eastAsia" w:ascii="仿宋" w:hAnsi="仿宋" w:eastAsia="仿宋"/>
          <w:b/>
          <w:bCs w:val="0"/>
          <w:sz w:val="32"/>
          <w:szCs w:val="32"/>
        </w:rPr>
        <w:t>6、上缴上级支出</w:t>
      </w:r>
      <w:r>
        <w:rPr>
          <w:rFonts w:hint="eastAsia" w:ascii="仿宋" w:hAnsi="仿宋" w:eastAsia="仿宋"/>
          <w:b w:val="0"/>
          <w:bCs/>
          <w:sz w:val="32"/>
          <w:szCs w:val="32"/>
        </w:rPr>
        <w:t>：指下级单位上缴上级的支出。</w:t>
      </w:r>
    </w:p>
    <w:p>
      <w:pPr>
        <w:ind w:firstLine="720"/>
        <w:rPr>
          <w:rFonts w:hint="eastAsia" w:ascii="仿宋" w:hAnsi="仿宋" w:eastAsia="仿宋"/>
          <w:b w:val="0"/>
          <w:bCs/>
          <w:sz w:val="32"/>
          <w:szCs w:val="32"/>
        </w:rPr>
      </w:pPr>
      <w:r>
        <w:rPr>
          <w:rFonts w:hint="eastAsia" w:ascii="仿宋" w:hAnsi="仿宋" w:eastAsia="仿宋"/>
          <w:b/>
          <w:bCs w:val="0"/>
          <w:sz w:val="32"/>
          <w:szCs w:val="32"/>
        </w:rPr>
        <w:t>7、“三公”经费</w:t>
      </w:r>
      <w:r>
        <w:rPr>
          <w:rFonts w:hint="eastAsia" w:ascii="仿宋" w:hAnsi="仿宋" w:eastAsia="仿宋"/>
          <w:b w:val="0"/>
          <w:bCs/>
          <w:sz w:val="32"/>
          <w:szCs w:val="32"/>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720"/>
        <w:rPr>
          <w:rFonts w:hint="eastAsia" w:ascii="仿宋" w:hAnsi="仿宋" w:eastAsia="仿宋"/>
          <w:b w:val="0"/>
          <w:bCs/>
          <w:sz w:val="32"/>
          <w:szCs w:val="32"/>
        </w:rPr>
      </w:pPr>
      <w:r>
        <w:rPr>
          <w:rFonts w:hint="eastAsia" w:ascii="仿宋" w:hAnsi="仿宋" w:eastAsia="仿宋"/>
          <w:b/>
          <w:bCs w:val="0"/>
          <w:sz w:val="32"/>
          <w:szCs w:val="32"/>
        </w:rPr>
        <w:t>8、机关运行费</w:t>
      </w:r>
      <w:r>
        <w:rPr>
          <w:rFonts w:hint="eastAsia" w:ascii="仿宋" w:hAnsi="仿宋" w:eastAsia="仿宋"/>
          <w:b w:val="0"/>
          <w:bCs/>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hint="eastAsia" w:ascii="仿宋" w:hAnsi="仿宋" w:eastAsia="仿宋"/>
          <w:b w:val="0"/>
          <w:bCs/>
          <w:sz w:val="32"/>
          <w:szCs w:val="32"/>
        </w:rPr>
      </w:pPr>
      <w:r>
        <w:rPr>
          <w:rFonts w:hint="eastAsia" w:ascii="仿宋" w:hAnsi="仿宋" w:eastAsia="仿宋"/>
          <w:b/>
          <w:bCs w:val="0"/>
          <w:sz w:val="32"/>
          <w:szCs w:val="32"/>
        </w:rPr>
        <w:t>9、上年结转</w:t>
      </w:r>
      <w:r>
        <w:rPr>
          <w:rFonts w:hint="eastAsia" w:ascii="仿宋" w:hAnsi="仿宋" w:eastAsia="仿宋"/>
          <w:b w:val="0"/>
          <w:bCs/>
          <w:sz w:val="32"/>
          <w:szCs w:val="32"/>
        </w:rPr>
        <w:t>：指以前年度尚未完成、结转到本年仍按原规定用途继续使用的资金。</w:t>
      </w:r>
    </w:p>
    <w:p>
      <w:pPr>
        <w:ind w:firstLine="720"/>
        <w:rPr>
          <w:rFonts w:ascii="仿宋" w:hAnsi="仿宋" w:eastAsia="仿宋"/>
          <w:b w:val="0"/>
          <w:bCs/>
          <w:sz w:val="32"/>
          <w:szCs w:val="32"/>
        </w:rPr>
      </w:pPr>
      <w:r>
        <w:rPr>
          <w:rFonts w:hint="eastAsia" w:ascii="仿宋" w:hAnsi="仿宋" w:eastAsia="仿宋"/>
          <w:b/>
          <w:bCs w:val="0"/>
          <w:sz w:val="32"/>
          <w:szCs w:val="32"/>
        </w:rPr>
        <w:t>10、事业单位经营支出</w:t>
      </w:r>
      <w:r>
        <w:rPr>
          <w:rFonts w:hint="eastAsia" w:ascii="仿宋" w:hAnsi="仿宋" w:eastAsia="仿宋"/>
          <w:b w:val="0"/>
          <w:bCs/>
          <w:sz w:val="32"/>
          <w:szCs w:val="32"/>
        </w:rPr>
        <w:t>：指事业单位在专业业务活动及其辅助活动之外开展非独立核算经营活动发生的支出。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hint="eastAsia" w:ascii="仿宋" w:hAnsi="仿宋" w:eastAsia="仿宋"/>
          <w:sz w:val="32"/>
          <w:szCs w:val="32"/>
          <w:lang w:eastAsia="zh-CN"/>
        </w:rPr>
      </w:pPr>
      <w:r>
        <w:rPr>
          <w:rFonts w:hint="eastAsia" w:ascii="仿宋" w:hAnsi="仿宋" w:eastAsia="仿宋"/>
          <w:sz w:val="32"/>
          <w:szCs w:val="32"/>
          <w:lang w:eastAsia="zh-CN"/>
        </w:rPr>
        <w:t>我部门无其他需要说明的事项。</w:t>
      </w:r>
    </w:p>
    <w:sectPr>
      <w:headerReference r:id="rId3" w:type="default"/>
      <w:footerReference r:id="rId4"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07C63D2"/>
    <w:rsid w:val="221B0506"/>
    <w:rsid w:val="2A52612E"/>
    <w:rsid w:val="31EB445C"/>
    <w:rsid w:val="557B639F"/>
    <w:rsid w:val="612A705F"/>
    <w:rsid w:val="6DD1631C"/>
    <w:rsid w:val="6FEB2AB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6">
    <w:name w:val="页脚 Char"/>
    <w:link w:val="2"/>
    <w:semiHidden/>
    <w:qFormat/>
    <w:uiPriority w:val="0"/>
    <w:rPr>
      <w:rFonts w:ascii="Times New Roman" w:hAnsi="Times New Roman" w:eastAsia="宋体" w:cs="Times New Roman"/>
      <w:sz w:val="18"/>
      <w:szCs w:val="18"/>
    </w:rPr>
  </w:style>
  <w:style w:type="character" w:customStyle="1" w:styleId="7">
    <w:name w:val="页眉 Char"/>
    <w:link w:val="3"/>
    <w:semiHidden/>
    <w:qFormat/>
    <w:uiPriority w:val="0"/>
    <w:rPr>
      <w:rFonts w:ascii="Times New Roman" w:hAnsi="Times New Roman" w:eastAsia="宋体" w:cs="Times New Roman"/>
      <w:sz w:val="18"/>
      <w:szCs w:val="18"/>
    </w:rPr>
  </w:style>
  <w:style w:type="paragraph" w:customStyle="1" w:styleId="8">
    <w:name w:val="列出段落1"/>
    <w:basedOn w:val="1"/>
    <w:qFormat/>
    <w:uiPriority w:val="0"/>
    <w:pPr>
      <w:ind w:firstLine="420" w:firstLineChars="200"/>
    </w:pPr>
  </w:style>
  <w:style w:type="paragraph" w:customStyle="1" w:styleId="9">
    <w:name w:val="p0"/>
    <w:basedOn w:val="1"/>
    <w:qFormat/>
    <w:uiPriority w:val="0"/>
    <w:pPr>
      <w:widowControl/>
    </w:pPr>
    <w:rPr>
      <w:rFonts w:ascii="Calibri" w:hAnsi="Calibri" w:cs="宋体"/>
      <w:kern w:val="0"/>
      <w:szCs w:val="21"/>
    </w:rPr>
  </w:style>
  <w:style w:type="paragraph" w:customStyle="1" w:styleId="10">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20</Pages>
  <Words>1334</Words>
  <Characters>7610</Characters>
  <Lines>63</Lines>
  <Paragraphs>17</Paragraphs>
  <TotalTime>32</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2019-01-04T01:34:00Z</dcterms:created>
  <dc:creator>微软用户</dc:creator>
  <cp:lastModifiedBy>Administrator</cp:lastModifiedBy>
  <dcterms:modified xsi:type="dcterms:W3CDTF">2024-01-23T07:06:04Z</dcterms:modified>
  <dc:title>Windows User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D5DB1099475E4D6AB4934D4FDB2D68E5</vt:lpwstr>
  </property>
</Properties>
</file>