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jc w:val="center"/>
        <w:rPr>
          <w:rFonts w:ascii="宋体" w:hAnsi="宋体" w:eastAsia="宋体" w:cs="Times New Roman"/>
          <w:sz w:val="44"/>
          <w:szCs w:val="44"/>
        </w:rPr>
      </w:pPr>
      <w:bookmarkStart w:id="2" w:name="_GoBack"/>
      <w:bookmarkEnd w:id="2"/>
      <w:r>
        <w:rPr>
          <w:rFonts w:hint="eastAsia" w:ascii="宋体" w:hAnsi="宋体" w:eastAsia="宋体" w:cs="Times New Roman"/>
          <w:sz w:val="44"/>
          <w:szCs w:val="44"/>
        </w:rPr>
        <w:t>无极县人民政府</w:t>
      </w:r>
    </w:p>
    <w:p>
      <w:pPr>
        <w:adjustRightInd w:val="0"/>
        <w:snapToGrid w:val="0"/>
        <w:spacing w:line="560" w:lineRule="exact"/>
        <w:jc w:val="center"/>
        <w:rPr>
          <w:rFonts w:ascii="宋体" w:hAnsi="宋体" w:eastAsia="宋体" w:cs="Times New Roman"/>
          <w:szCs w:val="21"/>
        </w:rPr>
      </w:pPr>
      <w:r>
        <w:rPr>
          <w:rFonts w:hint="eastAsia" w:ascii="宋体" w:hAnsi="宋体" w:eastAsia="宋体" w:cs="Times New Roman"/>
          <w:sz w:val="44"/>
          <w:szCs w:val="44"/>
        </w:rPr>
        <w:t>关于2019年财政决算情况的报告</w:t>
      </w:r>
    </w:p>
    <w:p>
      <w:pPr>
        <w:adjustRightInd w:val="0"/>
        <w:snapToGrid w:val="0"/>
        <w:spacing w:line="560" w:lineRule="exact"/>
        <w:jc w:val="center"/>
        <w:rPr>
          <w:rFonts w:ascii="楷体_GB2312" w:hAnsi="Times New Roman" w:eastAsia="楷体_GB2312" w:cs="Times New Roman"/>
          <w:sz w:val="32"/>
          <w:szCs w:val="32"/>
        </w:rPr>
      </w:pPr>
      <w:r>
        <w:rPr>
          <w:rFonts w:hint="eastAsia" w:ascii="华文中宋" w:hAnsi="华文中宋" w:eastAsia="华文中宋" w:cs="Times New Roman"/>
          <w:sz w:val="32"/>
          <w:szCs w:val="32"/>
        </w:rPr>
        <w:t>——</w:t>
      </w:r>
      <w:r>
        <w:rPr>
          <w:rFonts w:hint="eastAsia" w:ascii="楷体_GB2312" w:hAnsi="Times New Roman" w:eastAsia="楷体_GB2312" w:cs="Times New Roman"/>
          <w:sz w:val="32"/>
          <w:szCs w:val="32"/>
        </w:rPr>
        <w:t>在无极县第十六届人大常委会第二十九次会议上</w:t>
      </w:r>
    </w:p>
    <w:p>
      <w:pPr>
        <w:adjustRightInd w:val="0"/>
        <w:snapToGrid w:val="0"/>
        <w:spacing w:line="560" w:lineRule="exact"/>
        <w:jc w:val="center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无极县财政局局长  刘亚飞</w:t>
      </w:r>
    </w:p>
    <w:p>
      <w:pPr>
        <w:adjustRightInd w:val="0"/>
        <w:snapToGrid w:val="0"/>
        <w:spacing w:line="560" w:lineRule="exact"/>
        <w:jc w:val="center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(2020年8月31日)</w:t>
      </w:r>
    </w:p>
    <w:p>
      <w:pPr>
        <w:adjustRightInd w:val="0"/>
        <w:snapToGrid w:val="0"/>
        <w:spacing w:line="560" w:lineRule="exact"/>
        <w:rPr>
          <w:rFonts w:ascii="仿宋_GB2312" w:hAnsi="楷体" w:eastAsia="仿宋_GB2312" w:cs="Times New Roman"/>
          <w:b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rPr>
          <w:rFonts w:ascii="仿宋_GB2312" w:hAnsi="仿宋" w:eastAsia="仿宋_GB2312" w:cs="Times New Roman"/>
          <w:kern w:val="0"/>
          <w:sz w:val="32"/>
          <w:szCs w:val="32"/>
        </w:rPr>
      </w:pPr>
      <w:r>
        <w:rPr>
          <w:rFonts w:hint="eastAsia" w:ascii="仿宋_GB2312" w:hAnsi="仿宋" w:eastAsia="仿宋_GB2312" w:cs="Times New Roman"/>
          <w:kern w:val="0"/>
          <w:sz w:val="32"/>
          <w:szCs w:val="32"/>
        </w:rPr>
        <w:t>各位代表：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" w:eastAsia="仿宋_GB2312" w:cs="Times New Roman"/>
          <w:kern w:val="32"/>
          <w:sz w:val="32"/>
          <w:szCs w:val="32"/>
        </w:rPr>
      </w:pP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县十六届人大五次会议审查批准了《关于2019年财政预算执行情况及2020年财政预算草案的报告》。现在，2019年决算草案已经汇编完成，受县政府委托，现将有关情况报告如下，请予以审议。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hAnsi="仿宋" w:eastAsia="仿宋_GB2312" w:cs="Times New Roman"/>
          <w:kern w:val="32"/>
          <w:sz w:val="32"/>
          <w:szCs w:val="32"/>
        </w:rPr>
      </w:pPr>
      <w:r>
        <w:rPr>
          <w:rFonts w:ascii="仿宋_GB2312" w:hAnsi="仿宋" w:eastAsia="仿宋_GB2312" w:cs="Times New Roman"/>
          <w:kern w:val="32"/>
          <w:sz w:val="32"/>
          <w:szCs w:val="32"/>
        </w:rPr>
        <w:t>2019 年，面对国内外风险挑战明显上升的复杂局面，全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各部门坚持以习近平新时代中国特色社会主义思想为指导，全面贯彻党的十九大和十九届二中、三中、四中全会精神，坚决落实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县委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决策部署，认真执行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人大各项决议，坚持稳中求进工作总基调，深入贯彻新发展理念，坚持以供给侧结构性改革为主线，推动高质量发展，加力提效落实积极财政政策，强化收支管理，深化财税改革，防控财政风险，较好完成了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十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六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届人大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五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次会议确定的目标任务，全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财政运行总体平稳。 现将 2019 年决算情况汇报如下：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bCs/>
          <w:kern w:val="32"/>
          <w:sz w:val="32"/>
          <w:szCs w:val="32"/>
        </w:rPr>
      </w:pPr>
      <w:r>
        <w:rPr>
          <w:rFonts w:hint="eastAsia" w:ascii="黑体" w:hAnsi="黑体" w:eastAsia="黑体" w:cs="黑体"/>
          <w:bCs/>
          <w:kern w:val="32"/>
          <w:sz w:val="32"/>
          <w:szCs w:val="32"/>
        </w:rPr>
        <w:t>一、2019年全县决算情况</w:t>
      </w:r>
    </w:p>
    <w:p>
      <w:pPr>
        <w:spacing w:line="52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1、全县一般公共预算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全县一般公共预算收入完成75859万元，占年初预算100.7%，比上年增收7459万元，增长10.9% ，其中税收收入完成52445万元，占预算的100.3%，增长12.1%；非税收入完成23414万元，占年初预算的101.8%，增长8.3%。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全县一般公共预算收入，加上地方政府债券收入、税收返还和转移支付补助、调入资金、补充预算稳定调节基金、上年结余等，全县收入总计450286万元。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支出446075万元，为调整预算的98.9%，比上年增支160422万元，增长56.2%。主要支出大类分别为：一般公共服务支出60465万元；公共安全9607万元；教育支出82589万元；社会保障和就业支出47099万元；医疗卫生与计划生育支出40907万元；节能环保79300万元；城乡社区支出36366万元；农林水支出36058万元；交通运输21326万元；自然资源海洋气象等支出8749万元；住房保障9644万元；债务利息支出4188万元。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全县一般公共预算支出，加上一般债务还本支出、上解上级支出，支出总计444921万元。收支相抵后，按规定结转下年支出4806万元，安排预算稳定调解基金559万元。</w:t>
      </w:r>
    </w:p>
    <w:p>
      <w:pPr>
        <w:spacing w:line="52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2、政府性基金预算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年政府性基金收入完成569188万元，占年初预算的97.6%，比上年减少6430万元，下降10.2%，其中国有土地使用权出让收入48667万元，比上年减少6120万元，下降11.2%。加上上级转移支付397万元；专项债券24000万元；上年结转2491万元，收入总计为83706万元。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政府性基金支出42508万元，完成预算的99.9%，同比减支426万元，下降1%，其中国有土地出让收入及对应专项债务安排的支出14344万元，棚户区改造专项债券收入安排的支出24000万元。加上年末调出资金41136万元，支出总计83644万元。收支相抵后，按规定结转下年62万元。</w:t>
      </w:r>
    </w:p>
    <w:p>
      <w:pPr>
        <w:spacing w:line="52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3、社会保险基金预算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全年社会保险基金收入142201万元，完成预算的101.7%，其中保险费收入83189万元，财政补贴收入48528万元，利息收入914万元，加上上年结余，收入总计154417万元。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社会保险基金支出129985万元，完成预算的96.9%。收支相抵后，按规定结转下年55692万元。</w:t>
      </w:r>
    </w:p>
    <w:p>
      <w:pPr>
        <w:spacing w:line="52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4、国有资本经营预算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为加强我县污水处理厂的运营管理，将污水处理厂进行转让，当年取得产权转让收入16009万元，调出资金16009万元。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Times New Roman"/>
          <w:kern w:val="32"/>
          <w:sz w:val="32"/>
          <w:szCs w:val="32"/>
        </w:rPr>
      </w:pPr>
      <w:r>
        <w:rPr>
          <w:rFonts w:hint="eastAsia" w:ascii="黑体" w:hAnsi="黑体" w:eastAsia="黑体" w:cs="Times New Roman"/>
          <w:kern w:val="32"/>
          <w:sz w:val="32"/>
          <w:szCs w:val="32"/>
        </w:rPr>
        <w:t>二、财政转移支付资金安排执行情况</w:t>
      </w:r>
    </w:p>
    <w:p>
      <w:pPr>
        <w:spacing w:line="560" w:lineRule="exact"/>
        <w:ind w:firstLine="643"/>
        <w:rPr>
          <w:rFonts w:ascii="仿宋_GB2312" w:eastAsia="仿宋_GB2312"/>
          <w:kern w:val="32"/>
          <w:sz w:val="32"/>
          <w:szCs w:val="32"/>
        </w:rPr>
      </w:pPr>
      <w:r>
        <w:rPr>
          <w:rFonts w:hint="eastAsia" w:ascii="仿宋_GB2312" w:eastAsia="仿宋_GB2312"/>
          <w:kern w:val="32"/>
          <w:sz w:val="32"/>
          <w:szCs w:val="32"/>
        </w:rPr>
        <w:t>1、省对我县上级补助收入总计169923万元，包括：</w:t>
      </w:r>
      <w:r>
        <w:rPr>
          <w:rFonts w:hint="eastAsia" w:ascii="仿宋_GB2312" w:hAnsi="宋体" w:eastAsia="仿宋_GB2312" w:cs="宋体"/>
          <w:kern w:val="32"/>
          <w:sz w:val="32"/>
          <w:szCs w:val="32"/>
        </w:rPr>
        <w:t>①</w:t>
      </w:r>
      <w:r>
        <w:rPr>
          <w:rFonts w:hint="eastAsia" w:ascii="仿宋_GB2312" w:eastAsia="仿宋_GB2312"/>
          <w:kern w:val="32"/>
          <w:sz w:val="32"/>
          <w:szCs w:val="32"/>
        </w:rPr>
        <w:t>税收返还9794万元，其中：所得税基数返还2100万元、成品油税费改革税收返还1398万元、增值税税收返还1888万元、增值税“五五分享”税收返还收入4408万元；</w:t>
      </w:r>
      <w:r>
        <w:rPr>
          <w:rFonts w:hint="eastAsia" w:ascii="仿宋_GB2312" w:hAnsi="宋体" w:eastAsia="仿宋_GB2312" w:cs="宋体"/>
          <w:kern w:val="32"/>
          <w:sz w:val="32"/>
          <w:szCs w:val="32"/>
        </w:rPr>
        <w:t>②</w:t>
      </w:r>
      <w:r>
        <w:rPr>
          <w:rFonts w:hint="eastAsia" w:ascii="仿宋_GB2312" w:eastAsia="仿宋_GB2312"/>
          <w:kern w:val="32"/>
          <w:sz w:val="32"/>
          <w:szCs w:val="32"/>
        </w:rPr>
        <w:t>一般性转移支付130309万元，其中：体制补助收入769万元、均衡性转移支付22233万元、县级基本财力保障机制奖补11574万元、结算补助收入222万元、产粮（油）大县奖励资金2353万元、固定数额补助11728万元、革命老区转移支付740万元、民族地区转移支付6万元、贫困地区转移支付收入1245万元、一般公共服务共同财政事权转移支付收入55万元、公共安全共同财政事权转移支付收入1270万元、教育共同财政事权转移支付收入8316万元、科学技术共同财政事权转移支付收入203万元、文化旅游体育与传媒共同财政事权转移支付收入227万元、社会保障和就业共同财政事权转移支付收入20472万元、卫生健康共同财政事权转移支付收入17315万元、节能环保共同财政事权转移支付收入246万元、农林水共同财政事权转移支付收入10676万元、交通运输共同财政事权转移支付收入780万元、自然资源海洋气象等共同财政事权转移支付收入3206万元、住房保障共同财政事权转移支付收入3706万元、其他一般性转移支付收入12727万元；</w:t>
      </w:r>
      <w:r>
        <w:rPr>
          <w:rFonts w:hint="eastAsia" w:ascii="仿宋_GB2312" w:hAnsi="宋体" w:eastAsia="仿宋_GB2312" w:cs="宋体"/>
          <w:kern w:val="32"/>
          <w:sz w:val="32"/>
          <w:szCs w:val="32"/>
        </w:rPr>
        <w:t>③</w:t>
      </w:r>
      <w:r>
        <w:rPr>
          <w:rFonts w:hint="eastAsia" w:ascii="仿宋_GB2312" w:eastAsia="仿宋_GB2312"/>
          <w:kern w:val="32"/>
          <w:sz w:val="32"/>
          <w:szCs w:val="32"/>
        </w:rPr>
        <w:t>专项转移支付29820万元，包括：一般公共服务306万元、文化旅游体育与传媒100万元、公共安全4万元、卫生健康100万元、节能环保25009万元、农林水2373万元、资源勘探信息等416万元、商业服务业等15万元、自然资源海洋气象等1501万元。</w:t>
      </w:r>
    </w:p>
    <w:p>
      <w:pPr>
        <w:spacing w:line="560" w:lineRule="exact"/>
        <w:ind w:firstLine="643"/>
        <w:rPr>
          <w:rFonts w:ascii="仿宋_GB2312" w:hAnsi="黑体" w:eastAsia="仿宋_GB2312" w:cs="宋体"/>
          <w:kern w:val="32"/>
          <w:sz w:val="32"/>
          <w:szCs w:val="32"/>
        </w:rPr>
      </w:pPr>
      <w:r>
        <w:rPr>
          <w:rFonts w:hint="eastAsia" w:ascii="仿宋_GB2312" w:eastAsia="仿宋_GB2312"/>
          <w:kern w:val="32"/>
          <w:sz w:val="32"/>
          <w:szCs w:val="32"/>
        </w:rPr>
        <w:t>2、省对我县政府性基金转移支付总计397万元，包括：文化体育与传媒69万元、社会保障和就业1万元、其他327万元。</w:t>
      </w:r>
    </w:p>
    <w:p>
      <w:pPr>
        <w:spacing w:line="560" w:lineRule="exact"/>
        <w:ind w:firstLine="643"/>
        <w:rPr>
          <w:rFonts w:ascii="黑体" w:hAnsi="黑体" w:eastAsia="黑体" w:cs="宋体"/>
          <w:kern w:val="32"/>
          <w:sz w:val="32"/>
          <w:szCs w:val="32"/>
        </w:rPr>
      </w:pPr>
      <w:r>
        <w:rPr>
          <w:rFonts w:hint="eastAsia" w:ascii="黑体" w:hAnsi="黑体" w:eastAsia="黑体" w:cs="宋体"/>
          <w:kern w:val="32"/>
          <w:sz w:val="32"/>
          <w:szCs w:val="32"/>
        </w:rPr>
        <w:t>三、2017年政府债务情况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经省政府批准，财政厅核定我县2019年政府债务限额269782万元，其中一般债务207889万元，专项债务61893万元。截止2019年底，全县政府债务余额216543万元，债务形式全部为政府债券，其中一般债务157643万元，专项债务58900万元。全县政府综合债务率为31.1%，处于绿色安全区，总体风险可控。</w:t>
      </w:r>
    </w:p>
    <w:p>
      <w:pPr>
        <w:adjustRightInd w:val="0"/>
        <w:spacing w:line="560" w:lineRule="exact"/>
        <w:ind w:firstLine="640" w:firstLineChars="200"/>
        <w:rPr>
          <w:rFonts w:ascii="仿宋_GB2312" w:eastAsia="仿宋_GB2312"/>
          <w:kern w:val="32"/>
          <w:sz w:val="32"/>
          <w:szCs w:val="32"/>
        </w:rPr>
      </w:pPr>
      <w:r>
        <w:rPr>
          <w:rFonts w:hint="eastAsia" w:ascii="黑体" w:eastAsia="黑体"/>
          <w:kern w:val="32"/>
          <w:sz w:val="32"/>
          <w:szCs w:val="32"/>
        </w:rPr>
        <w:t>四、其他需要说明的情况</w:t>
      </w:r>
      <w:r>
        <w:rPr>
          <w:rFonts w:hint="eastAsia" w:ascii="仿宋_GB2312" w:eastAsia="仿宋_GB2312"/>
          <w:kern w:val="32"/>
          <w:sz w:val="32"/>
          <w:szCs w:val="32"/>
        </w:rPr>
        <w:t xml:space="preserve"> </w:t>
      </w:r>
    </w:p>
    <w:p>
      <w:pPr>
        <w:spacing w:line="520" w:lineRule="exact"/>
        <w:ind w:firstLine="640" w:firstLineChars="200"/>
        <w:rPr>
          <w:rFonts w:ascii="仿宋_GB2312" w:hAnsi="仿宋" w:eastAsia="仿宋_GB2312" w:cs="Times New Roman"/>
          <w:kern w:val="32"/>
          <w:sz w:val="32"/>
          <w:szCs w:val="32"/>
        </w:rPr>
      </w:pPr>
      <w:r>
        <w:rPr>
          <w:rFonts w:hint="eastAsia" w:ascii="仿宋_GB2312" w:eastAsia="仿宋_GB2312"/>
          <w:kern w:val="32"/>
          <w:sz w:val="32"/>
          <w:szCs w:val="32"/>
        </w:rPr>
        <w:t>根据</w:t>
      </w:r>
      <w:r>
        <w:rPr>
          <w:rFonts w:hint="default" w:ascii="仿宋_GB2312" w:eastAsia="仿宋_GB2312"/>
          <w:kern w:val="32"/>
          <w:sz w:val="32"/>
          <w:szCs w:val="32"/>
          <w:lang w:val="en-US"/>
        </w:rPr>
        <w:t>《中华人民共和国预算法》</w:t>
      </w:r>
      <w:r>
        <w:rPr>
          <w:rFonts w:hint="eastAsia" w:ascii="仿宋_GB2312" w:eastAsia="仿宋_GB2312"/>
          <w:kern w:val="32"/>
          <w:sz w:val="32"/>
          <w:szCs w:val="32"/>
        </w:rPr>
        <w:t>和《河北省预算审查监督条例》的规定，另就以下几项内容予以说明：一是关于上年结转资金使用。一般公共预算 2018年结转 2019 年使用的7201万元，政府性基金 2018年结转 2019年使用的2391万元，已全部使用完毕。二是关于资金结余情况。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县人代会十六届五次会议通过的预算报告中，一般公共预算年终结余资金为5117万元，其中</w:t>
      </w:r>
      <w:r>
        <w:rPr>
          <w:rFonts w:hint="eastAsia" w:ascii="仿宋_GB2312" w:hAnsi="仿宋" w:eastAsia="仿宋_GB2312" w:cs="仿宋"/>
          <w:sz w:val="32"/>
          <w:szCs w:val="32"/>
        </w:rPr>
        <w:t>补充预算稳定调节基金559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万元</w:t>
      </w:r>
      <w:r>
        <w:rPr>
          <w:rFonts w:hint="eastAsia" w:ascii="仿宋_GB2312" w:hAnsi="仿宋" w:eastAsia="仿宋_GB2312" w:cs="仿宋"/>
          <w:sz w:val="32"/>
          <w:szCs w:val="32"/>
        </w:rPr>
        <w:t>，结转下年支出4558万元。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省厅批复的结算单中年终结余资金调整为5365万元，其中</w:t>
      </w:r>
      <w:r>
        <w:rPr>
          <w:rFonts w:hint="eastAsia" w:ascii="仿宋_GB2312" w:hAnsi="仿宋" w:eastAsia="仿宋_GB2312" w:cs="仿宋"/>
          <w:sz w:val="32"/>
          <w:szCs w:val="32"/>
        </w:rPr>
        <w:t>补充预算稳定调节基金559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万元</w:t>
      </w:r>
      <w:r>
        <w:rPr>
          <w:rFonts w:hint="eastAsia" w:ascii="仿宋_GB2312" w:hAnsi="仿宋" w:eastAsia="仿宋_GB2312" w:cs="仿宋"/>
          <w:sz w:val="32"/>
          <w:szCs w:val="32"/>
        </w:rPr>
        <w:t>，结转下年支出4806万元。</w:t>
      </w:r>
      <w:r>
        <w:rPr>
          <w:rFonts w:hint="eastAsia" w:ascii="仿宋_GB2312" w:eastAsia="仿宋_GB2312"/>
          <w:kern w:val="32"/>
          <w:sz w:val="32"/>
          <w:szCs w:val="32"/>
        </w:rPr>
        <w:t xml:space="preserve">三是关于超收收入。2019年一般公共预算超收559万元，按规定全部补充预算稳定调节基金。政府性基金短收1382万元，当年支出减少13580万元，调入一般公共预算资金由29000万元调整为41136万元，结转下年使用62万元。四是关于预算周转金。2019年底预算周转金与上年底持平，仍为468万元。五是关于预算稳定调节基金。2018 年决算后预算稳定调节基金9738万元，2019年决算动用预算稳定调解基金9738万元，安排预算稳定调节基金559万元。六是关于“三公”经费。2019年“三公”经费一般公共预算支出合计200.7万元，比预算少86.3万元。七是关于权责发生制列支情况。按照 </w:t>
      </w:r>
      <w:r>
        <w:rPr>
          <w:rFonts w:hint="default" w:ascii="仿宋_GB2312" w:eastAsia="仿宋_GB2312"/>
          <w:kern w:val="32"/>
          <w:sz w:val="32"/>
          <w:szCs w:val="32"/>
          <w:lang w:val="en-US"/>
        </w:rPr>
        <w:t>《中华人民共和国预算法》</w:t>
      </w:r>
      <w:r>
        <w:rPr>
          <w:rFonts w:hint="eastAsia" w:ascii="仿宋_GB2312" w:eastAsia="仿宋_GB2312"/>
          <w:kern w:val="32"/>
          <w:sz w:val="32"/>
          <w:szCs w:val="32"/>
        </w:rPr>
        <w:t>和省政府有关规定，2019年权责发生制列支国库集中支付结余资金84403万元，其中一般公共预算列支82903万元、政府性基金预算列支1500万元。</w:t>
      </w:r>
    </w:p>
    <w:p>
      <w:pPr>
        <w:adjustRightInd w:val="0"/>
        <w:spacing w:line="560" w:lineRule="exact"/>
        <w:ind w:firstLine="640" w:firstLineChars="200"/>
        <w:rPr>
          <w:rFonts w:ascii="黑体" w:hAnsi="黑体" w:eastAsia="黑体" w:cs="宋体"/>
          <w:kern w:val="32"/>
          <w:sz w:val="32"/>
          <w:szCs w:val="32"/>
        </w:rPr>
      </w:pPr>
      <w:r>
        <w:rPr>
          <w:rFonts w:hint="eastAsia" w:ascii="黑体" w:hAnsi="黑体" w:eastAsia="黑体" w:cs="宋体"/>
          <w:kern w:val="32"/>
          <w:sz w:val="32"/>
          <w:szCs w:val="32"/>
        </w:rPr>
        <w:t>五、2019年预算执行效果和落实县人大决议情况</w:t>
      </w:r>
    </w:p>
    <w:p>
      <w:pPr>
        <w:spacing w:line="520" w:lineRule="exact"/>
        <w:ind w:firstLine="800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一年里，我们紧紧围绕“深化改革、注重绩效、突出重点、统筹兼顾、厉行节约、防控风险”总基调，抢抓机遇，迎难而上，把县委决策部署落实摆在首位，全力支持重大战略、重大决策、重大改革的有效实施，坚决履行好财政服务全县高质量发展的职责、使命，竭力推动全县经济社会平稳健康发展。</w:t>
      </w:r>
    </w:p>
    <w:p>
      <w:pPr>
        <w:spacing w:line="520" w:lineRule="exact"/>
        <w:ind w:firstLine="803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--聚力筹措资金</w:t>
      </w:r>
      <w:r>
        <w:rPr>
          <w:rFonts w:hint="eastAsia" w:ascii="仿宋_GB2312" w:hAnsi="仿宋" w:eastAsia="仿宋_GB2312" w:cs="仿宋"/>
          <w:sz w:val="32"/>
          <w:szCs w:val="32"/>
        </w:rPr>
        <w:t>，</w:t>
      </w:r>
      <w:r>
        <w:rPr>
          <w:rFonts w:hint="eastAsia" w:ascii="仿宋_GB2312" w:hAnsi="仿宋" w:eastAsia="仿宋_GB2312" w:cs="仿宋"/>
          <w:b/>
          <w:sz w:val="32"/>
          <w:szCs w:val="32"/>
        </w:rPr>
        <w:t>促进社会经济保持稳定发展</w:t>
      </w:r>
      <w:r>
        <w:rPr>
          <w:rFonts w:hint="eastAsia" w:ascii="仿宋_GB2312" w:hAnsi="仿宋" w:eastAsia="仿宋_GB2312" w:cs="仿宋"/>
          <w:sz w:val="32"/>
          <w:szCs w:val="32"/>
        </w:rPr>
        <w:t>。一是抓住中央加大对地方转移支付力度的有利契机，多次向省财政反映我县实际情况，全年争取各种财力性补助资金31981万元，比年初预算增加9572万元，有效缓解了支出压力。二是加大政府债券争取力度，县委、县政府主要领导多次协调调度，全年共争取政府债券14.07亿元，在全省县（市、区）中名列前茅，重点支持了北大教育园区、污水处理厂提标改造、大外环建设、木刀沟综合整治、开发区建设以及姚村棚户区改造等重大工程，为全县可持续发展奠定了坚实基础，为绘就全县建设和发展蓝图勾画了浓墨重彩的一笔。</w:t>
      </w:r>
    </w:p>
    <w:p>
      <w:pPr>
        <w:spacing w:line="520" w:lineRule="exact"/>
        <w:ind w:firstLine="803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--聚力用活政策</w:t>
      </w:r>
      <w:r>
        <w:rPr>
          <w:rFonts w:hint="eastAsia" w:ascii="仿宋_GB2312" w:hAnsi="仿宋" w:eastAsia="仿宋_GB2312" w:cs="仿宋"/>
          <w:sz w:val="32"/>
          <w:szCs w:val="32"/>
        </w:rPr>
        <w:t>，</w:t>
      </w:r>
      <w:r>
        <w:rPr>
          <w:rFonts w:hint="eastAsia" w:ascii="仿宋_GB2312" w:hAnsi="仿宋" w:eastAsia="仿宋_GB2312" w:cs="仿宋"/>
          <w:b/>
          <w:sz w:val="32"/>
          <w:szCs w:val="32"/>
        </w:rPr>
        <w:t>助推发展实现提质增效</w:t>
      </w:r>
      <w:r>
        <w:rPr>
          <w:rFonts w:hint="eastAsia" w:ascii="仿宋_GB2312" w:hAnsi="仿宋" w:eastAsia="仿宋_GB2312" w:cs="仿宋"/>
          <w:sz w:val="32"/>
          <w:szCs w:val="32"/>
        </w:rPr>
        <w:t>。一是支持主导产业转型升级，认真践行高质量发展要求，举全县之力推动皮革、装饰板材、装备制造等传统产业转型升级，力促老产业焕发新活力。在财力十分紧张的情况下，筹措资金9000万元用于支持了主导产业转型升级，先后与中信集团、冀物集团签订战略合作协议，大力支持鸿瑞装饰材料产业园设施建设，传统产业转型升级取得重大成果，闯出了一条由“小散乱”向“高大强”转变的“小升规”企业发展之路；二是促进区域经济发展，参与制定了《关于支持民营经济高质量发展的政策措施》，在全部30条措施中，涉及财政的达22条，有效激发了发展的内生动力，全县一般公共预算收入税收占比达到69.1%，比上年提高了0.7个百分点；三是优化财税环境，全面落实国家减税降费政策。据统计，全年共计减免税金15200万元，极大地减轻了企业负担。</w:t>
      </w:r>
    </w:p>
    <w:p>
      <w:pPr>
        <w:spacing w:line="520" w:lineRule="exact"/>
        <w:ind w:firstLine="803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--聚力科学发展</w:t>
      </w:r>
      <w:r>
        <w:rPr>
          <w:rFonts w:hint="eastAsia" w:ascii="仿宋_GB2312" w:hAnsi="仿宋" w:eastAsia="仿宋_GB2312" w:cs="仿宋"/>
          <w:sz w:val="32"/>
          <w:szCs w:val="32"/>
        </w:rPr>
        <w:t>，</w:t>
      </w:r>
      <w:r>
        <w:rPr>
          <w:rFonts w:hint="eastAsia" w:ascii="仿宋_GB2312" w:hAnsi="仿宋" w:eastAsia="仿宋_GB2312" w:cs="仿宋"/>
          <w:b/>
          <w:sz w:val="32"/>
          <w:szCs w:val="32"/>
        </w:rPr>
        <w:t>确保打赢“三大攻坚战”</w:t>
      </w:r>
      <w:r>
        <w:rPr>
          <w:rFonts w:hint="eastAsia" w:ascii="仿宋_GB2312" w:hAnsi="仿宋" w:eastAsia="仿宋_GB2312" w:cs="仿宋"/>
          <w:sz w:val="32"/>
          <w:szCs w:val="32"/>
        </w:rPr>
        <w:t>。一是全力推进精准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脱贫攻坚</w:t>
      </w:r>
      <w:r>
        <w:rPr>
          <w:rFonts w:hint="eastAsia" w:ascii="仿宋_GB2312" w:hAnsi="仿宋" w:eastAsia="仿宋_GB2312" w:cs="仿宋"/>
          <w:sz w:val="32"/>
          <w:szCs w:val="32"/>
        </w:rPr>
        <w:t>战，加大资金投入。建立健全县级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脱贫攻坚</w:t>
      </w:r>
      <w:r>
        <w:rPr>
          <w:rFonts w:hint="eastAsia" w:ascii="仿宋_GB2312" w:hAnsi="仿宋" w:eastAsia="仿宋_GB2312" w:cs="仿宋"/>
          <w:sz w:val="32"/>
          <w:szCs w:val="32"/>
        </w:rPr>
        <w:t>财政资金稳定投入机制，充分发挥财政资金在脱贫攻坚中的主导作用和聚焦效应，全年共拨付各类扶贫资金4344万元,较上年实现了大幅度提升,同比增长54%。建立并执行长效监管机制,先后出台《关于推进财政支农资金支持资产收益扶贫健康发展的实施意见》、《专项扶贫资金管理办法》、《专项扶贫资金监督办法》等制度文件，为开展扶贫工作提供了政策依据。全面实施财政扶贫资金绩效管理，不断织密扶贫资金监督网，减少扶贫资金支出的随意性和盲目性，为全县精准扶贫工作顺利开展做出了应有贡献。二是坚持绿色发展，大力支持生态环境治理。持续加环境保护投入力度，在积极争取上级资金的基础上，通过优化支出结构，全力保证大气污染防治，坚持环保优先的原则，全年环保支出7.92亿元，同比增长58.8%，为改善我县环境质量奠定了坚实基础。及时拨付农村“双代”补助资金3.42亿元，保障群众温暖过冬。支持生态治理修复，投入资金1324万元，用于小麦节水品种推广、非农作物替代（植树)和地下水综合治理。三是坚决守住底线，切实防范化解财政风险。坚持走“前门”、堵“后门”，严格遵守中央、省有关债务管理的相关规定，如期如数偿还到期债务本息，一年来没有发生违规举债行为。虽然全县债务规模有所扩大，但依然在可控范围内。严格落实《关于防范化解地方政府隐性债务风险的意见》，一年来，共消化隐性债务7800 万元，完成了年度化解目标任务。</w:t>
      </w:r>
    </w:p>
    <w:p>
      <w:pPr>
        <w:spacing w:line="520" w:lineRule="exact"/>
        <w:ind w:firstLine="803" w:firstLineChars="25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--聚力改善民生，扎实办好民生实事</w:t>
      </w:r>
      <w:r>
        <w:rPr>
          <w:rFonts w:hint="eastAsia" w:ascii="仿宋_GB2312" w:hAnsi="仿宋" w:eastAsia="仿宋_GB2312" w:cs="仿宋"/>
          <w:sz w:val="32"/>
          <w:szCs w:val="32"/>
        </w:rPr>
        <w:t>。全县民生支出完成368156万元，占当年一般公共预算支出的82.3%，增长57.1%。积极促进社会事业发展，全年共下达教育资金84489 万元，新建、扩建公办幼儿园所和城乡中小学校舍13所；实施农村义务教育阶段学生营养改善计划，受益学生31000人。积极筹措资金5301万元，重点支持推进公共卫生服务均等化；积极搭建智慧医疗全民健康信息平台，推动医疗、医改、医保三轮驱动；扎实推进中医院医疗综合楼建设，建成后将有效缓解全县医疗资源不足压力。加大城乡基础设施建设力度，完成总投资16.5亿元，新建了一条花园路主干道，完成了城区11条道路提升再造工程，有效改善了县城面貌；新建临街林荫停车场4个，极大地方便了群众停车难问题；城乡保洁全面实施，改善群众了居住环境；大外环项目开始启动，为推动城镇化进程奠定了基础；对4个出城口及部分公园进行了高标准改造，努力打造园林式城市。全面落实国家和省各项民生提标政策，企业和事业单位退休人员基本养老金月人均分别增加130元和150元，基本公共卫生服务经费人均财政补贴标准达到69元，城乡居民医疗保险补贴标准每人每年达到520元，城乡居民最低生活保障标准分别提高到675元/月和4900元/年。在财政十分困难的情况下，出台了公务员通讯补贴，并对机关事业单位自收自支人员发放了4000元的目标绩效奖励和2000元的取暖补贴；筹措资金1000多万元，解决了自收自支人员养老保险和职业年金社保缴费等遗留问题。</w:t>
      </w:r>
    </w:p>
    <w:p>
      <w:pPr>
        <w:spacing w:line="520" w:lineRule="exact"/>
        <w:ind w:firstLine="803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--聚力财税政策，努力构建现代财政制度</w:t>
      </w:r>
      <w:r>
        <w:rPr>
          <w:rFonts w:hint="eastAsia" w:ascii="仿宋_GB2312" w:hAnsi="仿宋" w:eastAsia="仿宋_GB2312" w:cs="仿宋"/>
          <w:sz w:val="32"/>
          <w:szCs w:val="32"/>
        </w:rPr>
        <w:t>。全面推进绩效预算管理改革，完善框架，努力建成绩效管理“四梁八柱”制度体系。制定了《全面落实绩效预算管理落实的实施意见》和《全面推进预算绩效管理工作实施方案》，为加快建成全方位、全过程、全覆盖的预算绩效管理体系明确了职责和实施路径；突出重点，深入推进重点领域、重点项目绩效管理。继续完善财政预决算公开公示制度，公开的内容更加丰富，形式更加规范，时效更加及时。进一步完善财政评审制度改革。制定了《关于建设工程实行工程总承包模式有关意见》等制度，提高了评审工作的规范化、制度化水平。建立了评审工作台账，加强日常监理；引进财政投资评审工作云平台系统，提高了财政评审信息化水平。全年完成评审项目247个，审减资金8676万元。推进综合治税改革，构建政府财税大数据决算支撑系统，及时为税务部门提供疑似欠税信息。推动政府采购项目改革，抓规范，促效率，全年执行政府采购项目预算6亿多元，节约资金1500多万元。</w:t>
      </w:r>
    </w:p>
    <w:p>
      <w:pPr>
        <w:spacing w:line="520" w:lineRule="exact"/>
        <w:ind w:firstLine="800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以上成绩的取得是县委统揽全局正确领导的结果，是县人大、及代表委员们监督指导和大力支持的结果，是各级各部门齐心协力、共同奋斗的结果。同时我们也清醒地认识到，财政工作还面临着一些困难和问题，主要是经济环境发生变化，财政增收难度加大，同时财政支出增长刚性较强，预算“紧平衡”成为新常态；财源基础不牢固，保障能力不够强，预算执行责任落实不够到位，一些投资项目前期准备不充分，开工不及时，导致资金闲置浪费；政府债务大幅增加，潜在风险防控任务较重；依法理财意识需待加强，违反财经纪律的问题仍有发生。对此，我们将高度重视，进一步强化问题导向，采取有力措施，认真加以解决。</w:t>
      </w:r>
    </w:p>
    <w:p>
      <w:pPr>
        <w:spacing w:line="520" w:lineRule="exact"/>
        <w:ind w:firstLine="800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以上报告，请予审议。</w:t>
      </w:r>
    </w:p>
    <w:p>
      <w:pPr>
        <w:adjustRightInd w:val="0"/>
        <w:snapToGrid w:val="0"/>
        <w:spacing w:line="600" w:lineRule="exact"/>
        <w:ind w:firstLine="320" w:firstLineChars="1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附表：1、2019年度无极县一般公共预算收入决算表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2、2019年度无极县一般公共预算支出决算表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3、2019年度无极县一般公共预算收支平衡表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4、2019年无极县一般公共预算支出预算变动及结余、结转情况表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5、2019年无极县政府性基金收支决算总表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6、2019年无极县社会保险基金收支情况表</w:t>
      </w:r>
    </w:p>
    <w:tbl>
      <w:tblPr>
        <w:tblStyle w:val="6"/>
        <w:tblW w:w="852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2"/>
        <w:gridCol w:w="1748"/>
        <w:gridCol w:w="1654"/>
        <w:gridCol w:w="186"/>
        <w:gridCol w:w="19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附表一</w:t>
            </w: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85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36"/>
                <w:szCs w:val="36"/>
              </w:rPr>
            </w:pPr>
            <w:bookmarkStart w:id="0" w:name="OLE_LINK1"/>
            <w:bookmarkStart w:id="1" w:name="OLE_LINK2"/>
            <w:r>
              <w:rPr>
                <w:rFonts w:hint="eastAsia" w:ascii="宋体" w:hAnsi="宋体" w:eastAsia="宋体" w:cs="宋体"/>
                <w:kern w:val="0"/>
                <w:sz w:val="36"/>
                <w:szCs w:val="36"/>
              </w:rPr>
              <w:t>2019年度无极县一般公共预算收入决算表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填报单位：无极县财政局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单位:万元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预算科目</w:t>
            </w:r>
          </w:p>
        </w:tc>
        <w:tc>
          <w:tcPr>
            <w:tcW w:w="17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预算数</w:t>
            </w:r>
          </w:p>
        </w:tc>
        <w:tc>
          <w:tcPr>
            <w:tcW w:w="16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决算数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完成预算%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一、税收收入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52,300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52,445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100.28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增值税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22,750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16,403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72.10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企业所得税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3,200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2,760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86.25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个人所得税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810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390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48.15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资源税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280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194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69.29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城市维护建设税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3,250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1,671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51.42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房产税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342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22.80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印花税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676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45.07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城镇土地使用税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5,500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3,146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57.20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土地增值税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2,000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1,148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57.40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车船税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2,500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2401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96.04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耕地占用税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19,077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545.06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契税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5,000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3,226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64.52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烟叶税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 xml:space="preserve">    环境保护税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510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1011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198.24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其他税收收入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二、非税收入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23,000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23,414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101.80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专项收入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8,670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7,149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82.46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行政事业性收费收入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5,520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184.00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罚没收入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7,300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7,001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95.90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国有资本经营收入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3300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2501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75.79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国有资源(资产)有偿使用收入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946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189.20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    捐赠收入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37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123.33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    政府住房基金收入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260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130.00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　其他收入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#DIV/0!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本 年 收 入 合 计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75,300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75,859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106.67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hint="eastAsia" w:ascii="仿宋_GB2312" w:hAnsi="仿宋" w:eastAsia="仿宋_GB2312" w:cs="Times New Roman"/>
          <w:sz w:val="32"/>
          <w:szCs w:val="32"/>
        </w:rPr>
      </w:pPr>
    </w:p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tbl>
      <w:tblPr>
        <w:tblStyle w:val="6"/>
        <w:tblW w:w="9317" w:type="dxa"/>
        <w:tblInd w:w="5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20"/>
        <w:gridCol w:w="1480"/>
        <w:gridCol w:w="1480"/>
        <w:gridCol w:w="143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附表二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3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kern w:val="0"/>
                <w:sz w:val="36"/>
                <w:szCs w:val="36"/>
              </w:rPr>
              <w:t>2019年度无极县一般公共预算支出决算表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cs="Times New Roman" w:asciiTheme="minorEastAsia" w:hAnsiTheme="minorEastAsia"/>
          <w:sz w:val="24"/>
          <w:szCs w:val="24"/>
        </w:rPr>
      </w:pPr>
      <w:r>
        <w:rPr>
          <w:rFonts w:hint="eastAsia" w:cs="Times New Roman" w:asciiTheme="minorEastAsia" w:hAnsiTheme="minorEastAsia"/>
          <w:sz w:val="24"/>
          <w:szCs w:val="24"/>
        </w:rPr>
        <w:t>填报单位：无极县财政局                                       单位：万元</w:t>
      </w:r>
    </w:p>
    <w:tbl>
      <w:tblPr>
        <w:tblStyle w:val="6"/>
        <w:tblW w:w="8726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20"/>
        <w:gridCol w:w="1254"/>
        <w:gridCol w:w="1276"/>
        <w:gridCol w:w="1276"/>
        <w:gridCol w:w="130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3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预算科目</w:t>
            </w:r>
          </w:p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预算数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调整预算数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  <w:u w:val="single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决算数</w:t>
            </w:r>
          </w:p>
        </w:tc>
        <w:tc>
          <w:tcPr>
            <w:tcW w:w="13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完成调整预算数%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一、一般公共服务支出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30,414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62,890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60,465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96.1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二、外交支出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#DIV/0!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三、国防支出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#DIV/0!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四、公共安全支出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8,890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10,608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9,608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90.6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五、教育支出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48,815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82,610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82,589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六、科学技术支出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191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750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740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98.7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七、文化旅游体育与传媒支出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1206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1,428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1,428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八、社会保障和就业支出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44,163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47,100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47,098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九、卫生健康支出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35,938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40,914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40,908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十、节能环保支出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5,718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79,300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79,300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十一、城乡社区支出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12,229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36,366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36,366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十二、农林水支出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21,048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36,342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36,057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99.2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十三、交通运输支出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4,000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21,325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21,325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十四、资源勘探信息等支出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3241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1,556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1,556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十五、商业服务业等支出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931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1,545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1,545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十六、金融支出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#DIV/0!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十七、援助其他地区支出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#DIV/0!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十八、自然资源海洋气象等支出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2,231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8,749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8,749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十九、住房保障支出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4,800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9,644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9,644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二十、粮油物资储备支出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757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224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29.6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二十一、灾害防治及应急管理支出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1016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1635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1635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二十二、预备费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#DIV/0!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二十三、其他支出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15355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3,044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2,520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82.8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二十四、债务付息支出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5350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4188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4188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二十五、债务发行费用支出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360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本 年 支 出 合 计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245,896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450,881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446,075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98.9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bookmarkEnd w:id="0"/>
    <w:bookmarkEnd w:id="1"/>
    <w:tbl>
      <w:tblPr>
        <w:tblStyle w:val="6"/>
        <w:tblW w:w="11516" w:type="dxa"/>
        <w:tblInd w:w="5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"/>
        <w:gridCol w:w="3400"/>
        <w:gridCol w:w="1180"/>
        <w:gridCol w:w="252"/>
        <w:gridCol w:w="1480"/>
        <w:gridCol w:w="20"/>
        <w:gridCol w:w="1448"/>
        <w:gridCol w:w="12"/>
        <w:gridCol w:w="1188"/>
        <w:gridCol w:w="141"/>
        <w:gridCol w:w="108"/>
        <w:gridCol w:w="1963"/>
        <w:gridCol w:w="23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2"/>
          <w:wBefore w:w="88" w:type="dxa"/>
          <w:wAfter w:w="2199" w:type="dxa"/>
          <w:trHeight w:val="285" w:hRule="atLeast"/>
        </w:trPr>
        <w:tc>
          <w:tcPr>
            <w:tcW w:w="4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2"/>
          <w:wBefore w:w="88" w:type="dxa"/>
          <w:wAfter w:w="2199" w:type="dxa"/>
          <w:trHeight w:val="450" w:hRule="atLeast"/>
        </w:trPr>
        <w:tc>
          <w:tcPr>
            <w:tcW w:w="922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附表三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48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307" w:type="dxa"/>
          <w:trHeight w:val="480" w:hRule="atLeast"/>
        </w:trPr>
        <w:tc>
          <w:tcPr>
            <w:tcW w:w="920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  <w:t>2019年度无极县一般公共预算收支平衡表</w:t>
            </w:r>
          </w:p>
          <w:p>
            <w:pPr>
              <w:widowControl/>
              <w:jc w:val="left"/>
              <w:rPr>
                <w:rFonts w:cs="宋体" w:asciiTheme="minorEastAsia" w:hAnsiTheme="minorEastAsia"/>
                <w:bCs/>
                <w:kern w:val="0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 w:val="24"/>
                <w:szCs w:val="24"/>
              </w:rPr>
              <w:t>填报单位;无极县财政局                                          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预算科目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决 算 数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预算科目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决 算 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一般公共预算收入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75,859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一般公共预算支出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446,075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上级补助收入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169,923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补助下级支出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返还性收入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9,794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返还性支出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所得税基数返还收入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2,100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所得税基数返还支出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成品油税费改革税收返还收入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1,398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成品油税费改革税收返还支出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480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增值税税收返还收入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1,888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增值税税收返还支出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增值税“五五分享”税收返还收入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4,408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增值税“五五分享”税收返还支出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一般性转移支付收入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130,309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一般性转移支付支出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体制补助收入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769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体制补助支出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均衡性转移支付收入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22,233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均衡性转移支付支出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480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县级基本财力保障机制奖补资金收入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11,574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县级基本财力保障机制奖补资金支出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结算补助收入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222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结算补助支出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产粮(油)大县奖励资金收入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2,593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产粮(油)大县奖励资金支出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41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固定数额补助收入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11,728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固定数额补助支出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革命老区转移支付收入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740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革命老区转移支付支出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480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民族地区转移支付收入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民族地区转移支付支出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贫困地区转移支付收入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1,245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贫困地区转移支付支出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一般公共服务共同财政事权转移支付收入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55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一般公共服务共同财政事权转移支付支出 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93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公共安全共同财政事权转移支付收入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1,270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公共安全共同财政事权转移支付支出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教育共同财政事权转移支付收入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8,316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教育共同财政事权转移支付支出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科学技术共同财政事权转移支付收入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203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科学技术共同财政事权转移支付支出 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227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文化旅游体育与传媒共同财政事权转移支付支出 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社会保障和就业共同财政事权转移支付收入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20,472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社会保障和就业共同财政事权转移支付支出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17,315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卫生健康共同财政事权转移支付支出 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节能环保共同财政事权转移支付收入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节能环保共同财政事权转移支付支出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农林水共同财政事权转移支付收入  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10,676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农林水共同财政事权转移支付支出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交通运输共同财政事权转移支付收入  </w:t>
            </w: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780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交通运输共同财政事权转移支付支出 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3,206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自然资源海洋气象等共同财政事权转移支付支出 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住房保障共同财政事权转移支付收入  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3,706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住房保障共同财政事权转移支付支出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其他一般性转移支付收入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12,727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其他一般性转移支付支出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专项转移支付收入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29,820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专项转移支付支出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一般公共服务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306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一般公共服务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100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100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节能环保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25,009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节能环保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2,373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资源勘探信息等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416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资源勘探信息等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商业服务业等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15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商业服务业等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1,501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下级上解收入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上解上级支出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-2,554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专项上解收入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专项上解支出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-2,554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待偿债置换一般债券上年结余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130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上年结余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7,201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调入资金   </w:t>
            </w: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69,735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调出资金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从政府性基金预算调入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41,136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从国有资本经营预算调入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16,009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从其他资金调入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12,590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债务收入</w:t>
            </w: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债务还本支出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地方政府债务收入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地方政府一般债务还本支出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  一般债务收入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地方政府一般债券还本支出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地方政府一般债券收入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地方政府向外国政府借款还本支出</w:t>
            </w:r>
          </w:p>
        </w:tc>
        <w:tc>
          <w:tcPr>
            <w:tcW w:w="120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480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债务转贷收入</w:t>
            </w: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117,700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债务转贷支出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地方政府一般债务转贷收入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117,700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地方政府一般债券转贷支出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地方政府一般债券转贷收入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117,700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地方政府向外国政府借款转贷支出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动用预算稳定调节基金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9,738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安排预算稳定调节基金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年终结余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减:结转下年的支出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净结余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收  入  总  计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450,286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支  出  总  计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450,286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  <w:sectPr>
          <w:footerReference r:id="rId3" w:type="default"/>
          <w:footerReference r:id="rId4" w:type="even"/>
          <w:pgSz w:w="11906" w:h="16838"/>
          <w:pgMar w:top="1440" w:right="1474" w:bottom="1361" w:left="1797" w:header="851" w:footer="992" w:gutter="0"/>
          <w:cols w:space="425" w:num="1"/>
          <w:docGrid w:type="lines" w:linePitch="312" w:charSpace="0"/>
        </w:sectPr>
      </w:pPr>
    </w:p>
    <w:tbl>
      <w:tblPr>
        <w:tblStyle w:val="6"/>
        <w:tblW w:w="19898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0"/>
        <w:gridCol w:w="2063"/>
        <w:gridCol w:w="327"/>
        <w:gridCol w:w="313"/>
        <w:gridCol w:w="45"/>
        <w:gridCol w:w="326"/>
        <w:gridCol w:w="541"/>
        <w:gridCol w:w="35"/>
        <w:gridCol w:w="78"/>
        <w:gridCol w:w="113"/>
        <w:gridCol w:w="109"/>
        <w:gridCol w:w="818"/>
        <w:gridCol w:w="179"/>
        <w:gridCol w:w="45"/>
        <w:gridCol w:w="149"/>
        <w:gridCol w:w="718"/>
        <w:gridCol w:w="510"/>
        <w:gridCol w:w="160"/>
        <w:gridCol w:w="259"/>
        <w:gridCol w:w="482"/>
        <w:gridCol w:w="169"/>
        <w:gridCol w:w="236"/>
        <w:gridCol w:w="62"/>
        <w:gridCol w:w="43"/>
        <w:gridCol w:w="26"/>
        <w:gridCol w:w="684"/>
        <w:gridCol w:w="191"/>
        <w:gridCol w:w="375"/>
        <w:gridCol w:w="459"/>
        <w:gridCol w:w="287"/>
        <w:gridCol w:w="388"/>
        <w:gridCol w:w="66"/>
        <w:gridCol w:w="218"/>
        <w:gridCol w:w="266"/>
        <w:gridCol w:w="515"/>
        <w:gridCol w:w="494"/>
        <w:gridCol w:w="100"/>
        <w:gridCol w:w="431"/>
        <w:gridCol w:w="745"/>
        <w:gridCol w:w="83"/>
        <w:gridCol w:w="159"/>
        <w:gridCol w:w="652"/>
        <w:gridCol w:w="340"/>
        <w:gridCol w:w="1022"/>
        <w:gridCol w:w="837"/>
        <w:gridCol w:w="1020"/>
        <w:gridCol w:w="1000"/>
        <w:gridCol w:w="780"/>
        <w:gridCol w:w="2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6118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附表四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450" w:hRule="atLeast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>
            <w:pPr>
              <w:jc w:val="center"/>
              <w:rPr>
                <w:rFonts w:hint="eastAsia"/>
                <w:b/>
                <w:bCs/>
                <w:color w:val="000000"/>
                <w:sz w:val="36"/>
                <w:szCs w:val="36"/>
              </w:rPr>
            </w:pPr>
          </w:p>
        </w:tc>
        <w:tc>
          <w:tcPr>
            <w:tcW w:w="13919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000000"/>
                <w:sz w:val="36"/>
                <w:szCs w:val="36"/>
              </w:rPr>
            </w:pPr>
            <w:r>
              <w:rPr>
                <w:rFonts w:hint="eastAsia"/>
                <w:b/>
                <w:bCs/>
                <w:color w:val="000000"/>
                <w:sz w:val="36"/>
                <w:szCs w:val="36"/>
              </w:rPr>
              <w:t>2019年度无极县一般公共预算支出预算变动及结余、结转情况表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70" w:hRule="atLeast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>
            <w:pPr>
              <w:rPr>
                <w:rFonts w:hint="eastAsia"/>
                <w:color w:val="000000"/>
                <w:sz w:val="20"/>
                <w:szCs w:val="20"/>
              </w:rPr>
            </w:pPr>
          </w:p>
        </w:tc>
        <w:tc>
          <w:tcPr>
            <w:tcW w:w="13919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填报单位：无极县财政局                                                                                                        单位:万元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预算科目</w:t>
            </w:r>
          </w:p>
        </w:tc>
        <w:tc>
          <w:tcPr>
            <w:tcW w:w="1011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预算数</w:t>
            </w:r>
          </w:p>
        </w:tc>
        <w:tc>
          <w:tcPr>
            <w:tcW w:w="7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center"/>
              <w:rPr>
                <w:rFonts w:hint="eastAsia"/>
                <w:color w:val="000000"/>
                <w:sz w:val="20"/>
                <w:szCs w:val="20"/>
              </w:rPr>
            </w:pPr>
          </w:p>
        </w:tc>
        <w:tc>
          <w:tcPr>
            <w:tcW w:w="6415" w:type="dxa"/>
            <w:gridSpan w:val="2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变    动    项    目</w:t>
            </w:r>
          </w:p>
        </w:tc>
        <w:tc>
          <w:tcPr>
            <w:tcW w:w="999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调整预算数</w:t>
            </w:r>
          </w:p>
        </w:tc>
        <w:tc>
          <w:tcPr>
            <w:tcW w:w="1025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决算数</w:t>
            </w:r>
          </w:p>
        </w:tc>
        <w:tc>
          <w:tcPr>
            <w:tcW w:w="82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预算结余</w:t>
            </w:r>
          </w:p>
        </w:tc>
        <w:tc>
          <w:tcPr>
            <w:tcW w:w="81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结转下年使用数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1011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小计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一般性转移支付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专项转移支付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上年结转使用数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科目调剂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调入资金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sz w:val="20"/>
                <w:szCs w:val="20"/>
              </w:rPr>
            </w:pPr>
            <w:r>
              <w:rPr>
                <w:rFonts w:hint="eastAsia"/>
                <w:bCs/>
                <w:sz w:val="20"/>
                <w:szCs w:val="20"/>
              </w:rPr>
              <w:t>科目调剂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其他</w:t>
            </w:r>
          </w:p>
        </w:tc>
        <w:tc>
          <w:tcPr>
            <w:tcW w:w="999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82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81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一般公共预算支出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245,896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204,985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38,880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29,820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7,201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12,136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116,700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248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450,881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446,075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4,806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一般公共服务支出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30,414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32,476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306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62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12,136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16,310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3,662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62,890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60,465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2,425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2,425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公共安全支出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8,890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1,718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367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1,000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351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10,608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9,608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1,000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教育支出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48,815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33,795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8,316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32,933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-7,464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82,610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82,589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21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科学技术支出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191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559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637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-78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750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740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文化旅游体育与传媒支出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1,206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222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227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100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-105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1,428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1,428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社会保障和就业支出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44,163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2,937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10,594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500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-8,159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47,100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47,098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卫生健康支出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35,938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4,976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5,923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100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2,500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-3,547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40,914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40,908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节能环保支出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5,718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73,582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246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25,009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3,877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24,525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19,925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79,300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79,300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城乡社区支出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12,229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24,137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16,064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8,073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36,366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36,366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农林水支出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21,048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15,294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4,488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2,373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2,325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9,068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-2,960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36,342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36,057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285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285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交通运输支出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4,000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17,325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1,170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13,800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2,355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21,325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21,325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资源勘探信息等支出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3,241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-1,685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416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-2,101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1,556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1,556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商业服务业等支出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931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614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15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599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1,545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1,545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自然资源海洋气象等支出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2,231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6,518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3,206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1,501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1,811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8,749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8,749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住房保障支出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4,800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4,844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3,706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1,138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9,644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9,644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粮油物资储备支出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757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521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236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757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224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533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灾害防治及应急管理支出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1,016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619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65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554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1,635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1,635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其他支出(类)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15,355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-12,311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339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-12,898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248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3,044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2,520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524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524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债务付息支出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5,350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-1,162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-1,162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4,188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4,188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债务发行费用支出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360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-230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-230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130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130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35" w:hRule="atLeast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4259" w:type="dxa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552" w:hRule="atLeast"/>
        </w:trPr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</w:p>
        </w:tc>
        <w:tc>
          <w:tcPr>
            <w:tcW w:w="14259" w:type="dxa"/>
            <w:gridSpan w:val="4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  <w:t>2019年无极县政府性基金收支决算总表</w:t>
            </w:r>
          </w:p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填报单位：无极县财政局                                                                                  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收入预算科目</w:t>
            </w:r>
          </w:p>
        </w:tc>
        <w:tc>
          <w:tcPr>
            <w:tcW w:w="1338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年初预算数</w:t>
            </w:r>
          </w:p>
        </w:tc>
        <w:tc>
          <w:tcPr>
            <w:tcW w:w="141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调整预算数</w:t>
            </w:r>
          </w:p>
        </w:tc>
        <w:tc>
          <w:tcPr>
            <w:tcW w:w="138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决算数</w:t>
            </w:r>
          </w:p>
        </w:tc>
        <w:tc>
          <w:tcPr>
            <w:tcW w:w="74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292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支出预算科目</w:t>
            </w:r>
          </w:p>
        </w:tc>
        <w:tc>
          <w:tcPr>
            <w:tcW w:w="165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年初预算数</w:t>
            </w: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调整预算数</w:t>
            </w: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决算数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散装水泥专项资金收入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文化体育与传媒支出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7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69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新型墙体材料专项基金收入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23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23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社会保障与就业支出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城市公用事业附加收入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城乡社区支出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29462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40155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40155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国有土地收益基金收入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2000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2962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2962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资源勘探信息等支出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农业土地开发资金收入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100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174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174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335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684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684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国有土地使用权出让收入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52000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48,667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48,667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债务付息支出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1635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1635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1635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彩票公益金收入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315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315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债务发行费用支出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3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26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26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城市基础设施配套费收入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2000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2006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2006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本 年 支 出 合 计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29443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42570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42508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污水处理费收入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2000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2771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2771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调出资金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29000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41136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41136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本 年 收 入 合 计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58300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56918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56918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债务还本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政府性基金上级补助收入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397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397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政府性基金补助下级支出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政府性基金上年结余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2391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2391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2391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政府性基金调出资金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债务转贷收入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24000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24000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上年结余资金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政府性基金调入资金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政府性基金年终结余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2248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62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1.一般公共预算调入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2.调入专项收入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3.其他调入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收　　入　　总　　计　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60691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83706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83706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支　　出　　总　　计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60691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83706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83706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5"/>
          <w:wAfter w:w="3877" w:type="dxa"/>
          <w:trHeight w:val="285" w:hRule="atLeast"/>
        </w:trPr>
        <w:tc>
          <w:tcPr>
            <w:tcW w:w="34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附表六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1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6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5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1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5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5"/>
          <w:wAfter w:w="3877" w:type="dxa"/>
          <w:trHeight w:val="450" w:hRule="atLeast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</w:p>
        </w:tc>
        <w:tc>
          <w:tcPr>
            <w:tcW w:w="15281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  <w:t>2017年度无极县社会保险基金收支情况表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5"/>
          <w:wAfter w:w="3877" w:type="dxa"/>
          <w:trHeight w:val="450" w:hRule="atLeast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</w:pPr>
          </w:p>
        </w:tc>
        <w:tc>
          <w:tcPr>
            <w:tcW w:w="15281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编制单位：无极县财政局                                                                           单位:万元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12" w:hRule="atLeast"/>
        </w:trPr>
        <w:tc>
          <w:tcPr>
            <w:tcW w:w="3443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项目</w:t>
            </w:r>
          </w:p>
        </w:tc>
        <w:tc>
          <w:tcPr>
            <w:tcW w:w="947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合计</w:t>
            </w:r>
          </w:p>
        </w:tc>
        <w:tc>
          <w:tcPr>
            <w:tcW w:w="1342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企业职工基本养老保险基金</w:t>
            </w:r>
          </w:p>
        </w:tc>
        <w:tc>
          <w:tcPr>
            <w:tcW w:w="1377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城乡居民基本养老保险基金</w:t>
            </w:r>
          </w:p>
        </w:tc>
        <w:tc>
          <w:tcPr>
            <w:tcW w:w="1070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机关事业单位基本养老保险基金</w:t>
            </w: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</w:tcBorders>
            <w:shd w:val="clear" w:color="000000" w:fill="FFFFFF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381" w:type="dxa"/>
            <w:gridSpan w:val="6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城镇职工基本医疗保险基金</w:t>
            </w:r>
          </w:p>
        </w:tc>
        <w:tc>
          <w:tcPr>
            <w:tcW w:w="1418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居民基本医疗保险基金</w:t>
            </w:r>
          </w:p>
        </w:tc>
        <w:tc>
          <w:tcPr>
            <w:tcW w:w="1275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工伤保险基金</w:t>
            </w:r>
          </w:p>
        </w:tc>
        <w:tc>
          <w:tcPr>
            <w:tcW w:w="1276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失业保险基金</w:t>
            </w:r>
          </w:p>
        </w:tc>
        <w:tc>
          <w:tcPr>
            <w:tcW w:w="1234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生育保险基金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840" w:hRule="atLeast"/>
        </w:trPr>
        <w:tc>
          <w:tcPr>
            <w:tcW w:w="3443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47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342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377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070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color="auto" w:sz="4" w:space="0"/>
              <w:bottom w:val="single" w:color="auto" w:sz="4" w:space="0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381" w:type="dxa"/>
            <w:gridSpan w:val="6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418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234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一、收入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142,201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19,642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16,302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61,234</w:t>
            </w:r>
          </w:p>
        </w:tc>
        <w:tc>
          <w:tcPr>
            <w:tcW w:w="3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9,119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35,744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其中:社会保险费收入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83,189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11,285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3,991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48,687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8,890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10,184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152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利息收入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914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530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34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145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175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财政补贴收入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48,528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11,757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11,402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25,369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委托投资收益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其他收入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178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60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17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83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转移收入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245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202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35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中央调剂资金收入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二、支出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129,985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20,230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11,619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57,117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6,180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34,802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其中:社会保险待遇支出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123,319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20,170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11,612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54,117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6,046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31,337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其他支出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3,016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3,000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转移支出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185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60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118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中央调剂资金支出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三、本年收支结余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12,216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-588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4,683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4,117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2,939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942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四、年末滚存结余</w:t>
            </w:r>
          </w:p>
        </w:tc>
        <w:tc>
          <w:tcPr>
            <w:tcW w:w="94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55,692</w:t>
            </w:r>
          </w:p>
        </w:tc>
        <w:tc>
          <w:tcPr>
            <w:tcW w:w="134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2,570</w:t>
            </w:r>
          </w:p>
        </w:tc>
        <w:tc>
          <w:tcPr>
            <w:tcW w:w="137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26,929</w:t>
            </w:r>
          </w:p>
        </w:tc>
        <w:tc>
          <w:tcPr>
            <w:tcW w:w="107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8,069</w:t>
            </w:r>
          </w:p>
        </w:tc>
        <w:tc>
          <w:tcPr>
            <w:tcW w:w="3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12,477</w:t>
            </w:r>
          </w:p>
        </w:tc>
        <w:tc>
          <w:tcPr>
            <w:tcW w:w="141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4,860</w:t>
            </w:r>
          </w:p>
        </w:tc>
        <w:tc>
          <w:tcPr>
            <w:tcW w:w="127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787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sectPr>
      <w:pgSz w:w="16838" w:h="11906" w:orient="landscape"/>
      <w:pgMar w:top="851" w:right="851" w:bottom="851" w:left="851" w:header="851" w:footer="567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560"/>
      <w:jc w:val="center"/>
      <w:rPr>
        <w:sz w:val="28"/>
        <w:szCs w:val="28"/>
      </w:rPr>
    </w:pPr>
    <w:r>
      <w:rPr>
        <w:rFonts w:hint="eastAsia"/>
        <w:sz w:val="28"/>
        <w:szCs w:val="28"/>
      </w:rPr>
      <w:t>－</w:t>
    </w:r>
    <w:sdt>
      <w:sdtPr>
        <w:rPr>
          <w:sz w:val="28"/>
          <w:szCs w:val="28"/>
        </w:rPr>
        <w:id w:val="633145010"/>
        <w:docPartObj>
          <w:docPartGallery w:val="autotext"/>
        </w:docPartObj>
      </w:sdtPr>
      <w:sdtEndPr>
        <w:rPr>
          <w:sz w:val="28"/>
          <w:szCs w:val="28"/>
        </w:rPr>
      </w:sdtEndPr>
      <w:sdtContent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15</w:t>
        </w:r>
        <w:r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>－</w:t>
        </w:r>
      </w:sdtContent>
    </w:sdt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sz w:val="28"/>
        <w:szCs w:val="28"/>
      </w:rPr>
    </w:pPr>
    <w:r>
      <w:rPr>
        <w:rFonts w:hint="eastAsia"/>
        <w:sz w:val="28"/>
        <w:szCs w:val="28"/>
      </w:rPr>
      <w:t>－</w:t>
    </w:r>
    <w:sdt>
      <w:sdtPr>
        <w:rPr>
          <w:sz w:val="28"/>
          <w:szCs w:val="28"/>
        </w:rPr>
        <w:id w:val="-1"/>
        <w:docPartObj>
          <w:docPartGallery w:val="autotext"/>
        </w:docPartObj>
      </w:sdtPr>
      <w:sdtEndPr>
        <w:rPr>
          <w:sz w:val="28"/>
          <w:szCs w:val="28"/>
          <w:lang w:val="zh-CN"/>
        </w:rPr>
      </w:sdtEndPr>
      <w:sdtContent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16</w:t>
        </w:r>
        <w:r>
          <w:rPr>
            <w:sz w:val="28"/>
            <w:szCs w:val="28"/>
            <w:lang w:val="zh-CN"/>
          </w:rPr>
          <w:fldChar w:fldCharType="end"/>
        </w:r>
        <w:r>
          <w:rPr>
            <w:rFonts w:hint="eastAsia"/>
            <w:sz w:val="28"/>
            <w:szCs w:val="28"/>
            <w:lang w:val="zh-CN"/>
          </w:rPr>
          <w:t>－</w:t>
        </w:r>
      </w:sdtContent>
    </w:sdt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bordersDoNotSurroundHeader w:val="1"/>
  <w:bordersDoNotSurroundFooter w:val="1"/>
  <w:gutterAtTop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349"/>
    <w:rsid w:val="000010FB"/>
    <w:rsid w:val="000013E5"/>
    <w:rsid w:val="00001B3A"/>
    <w:rsid w:val="00007F8F"/>
    <w:rsid w:val="00010243"/>
    <w:rsid w:val="00016B19"/>
    <w:rsid w:val="00021C52"/>
    <w:rsid w:val="000267A3"/>
    <w:rsid w:val="0004428B"/>
    <w:rsid w:val="00055F9E"/>
    <w:rsid w:val="00062EBD"/>
    <w:rsid w:val="00072922"/>
    <w:rsid w:val="00090EC2"/>
    <w:rsid w:val="00093F1A"/>
    <w:rsid w:val="000947B6"/>
    <w:rsid w:val="000955C9"/>
    <w:rsid w:val="000A1BE2"/>
    <w:rsid w:val="000B4D3B"/>
    <w:rsid w:val="000B5343"/>
    <w:rsid w:val="000C2D89"/>
    <w:rsid w:val="000D0D63"/>
    <w:rsid w:val="000D72E6"/>
    <w:rsid w:val="000E0BA4"/>
    <w:rsid w:val="000E32A8"/>
    <w:rsid w:val="000E3CE0"/>
    <w:rsid w:val="000F2083"/>
    <w:rsid w:val="000F55E6"/>
    <w:rsid w:val="0011747F"/>
    <w:rsid w:val="00121FE8"/>
    <w:rsid w:val="001677BE"/>
    <w:rsid w:val="0017146C"/>
    <w:rsid w:val="00197DE7"/>
    <w:rsid w:val="001E1ABD"/>
    <w:rsid w:val="001E3ADC"/>
    <w:rsid w:val="001E3D71"/>
    <w:rsid w:val="001E7261"/>
    <w:rsid w:val="001F0FF7"/>
    <w:rsid w:val="0020231B"/>
    <w:rsid w:val="00211238"/>
    <w:rsid w:val="002238D8"/>
    <w:rsid w:val="00232634"/>
    <w:rsid w:val="00243EA6"/>
    <w:rsid w:val="002475CE"/>
    <w:rsid w:val="00250D30"/>
    <w:rsid w:val="002530A1"/>
    <w:rsid w:val="002767DC"/>
    <w:rsid w:val="00295C97"/>
    <w:rsid w:val="002966B1"/>
    <w:rsid w:val="002B2861"/>
    <w:rsid w:val="002C1F75"/>
    <w:rsid w:val="002C49C4"/>
    <w:rsid w:val="002D76EA"/>
    <w:rsid w:val="002E05A4"/>
    <w:rsid w:val="00302A3A"/>
    <w:rsid w:val="00302C77"/>
    <w:rsid w:val="00306189"/>
    <w:rsid w:val="00317547"/>
    <w:rsid w:val="00325943"/>
    <w:rsid w:val="00334CA7"/>
    <w:rsid w:val="003447B6"/>
    <w:rsid w:val="00360894"/>
    <w:rsid w:val="003664B5"/>
    <w:rsid w:val="00372C30"/>
    <w:rsid w:val="00386ECA"/>
    <w:rsid w:val="00391C35"/>
    <w:rsid w:val="003B6CD4"/>
    <w:rsid w:val="003C3191"/>
    <w:rsid w:val="003C5C48"/>
    <w:rsid w:val="003E3F37"/>
    <w:rsid w:val="003E4BDC"/>
    <w:rsid w:val="003F1E63"/>
    <w:rsid w:val="004208C5"/>
    <w:rsid w:val="00436B0C"/>
    <w:rsid w:val="004667D5"/>
    <w:rsid w:val="004716E8"/>
    <w:rsid w:val="00472289"/>
    <w:rsid w:val="004C2E20"/>
    <w:rsid w:val="004D01F3"/>
    <w:rsid w:val="004D0E59"/>
    <w:rsid w:val="004D1372"/>
    <w:rsid w:val="004E14C5"/>
    <w:rsid w:val="004E5DB4"/>
    <w:rsid w:val="004E7A08"/>
    <w:rsid w:val="004F040F"/>
    <w:rsid w:val="00503E55"/>
    <w:rsid w:val="00522739"/>
    <w:rsid w:val="00536555"/>
    <w:rsid w:val="005506F4"/>
    <w:rsid w:val="00564774"/>
    <w:rsid w:val="0056584B"/>
    <w:rsid w:val="00586633"/>
    <w:rsid w:val="0059142F"/>
    <w:rsid w:val="005D23AC"/>
    <w:rsid w:val="006035D3"/>
    <w:rsid w:val="006052A8"/>
    <w:rsid w:val="00616895"/>
    <w:rsid w:val="00620BFB"/>
    <w:rsid w:val="0062686B"/>
    <w:rsid w:val="00675A96"/>
    <w:rsid w:val="00681F0B"/>
    <w:rsid w:val="006864E3"/>
    <w:rsid w:val="006869C2"/>
    <w:rsid w:val="006B2829"/>
    <w:rsid w:val="006C02D6"/>
    <w:rsid w:val="006D41C9"/>
    <w:rsid w:val="006E01EC"/>
    <w:rsid w:val="006E22EE"/>
    <w:rsid w:val="00702326"/>
    <w:rsid w:val="00711846"/>
    <w:rsid w:val="00736C29"/>
    <w:rsid w:val="0075008B"/>
    <w:rsid w:val="00760168"/>
    <w:rsid w:val="00785B92"/>
    <w:rsid w:val="00785FD2"/>
    <w:rsid w:val="007B5ECC"/>
    <w:rsid w:val="007C003E"/>
    <w:rsid w:val="007E3572"/>
    <w:rsid w:val="007F1B4F"/>
    <w:rsid w:val="007F3C9D"/>
    <w:rsid w:val="0080685F"/>
    <w:rsid w:val="008128DC"/>
    <w:rsid w:val="00820AD1"/>
    <w:rsid w:val="0083537C"/>
    <w:rsid w:val="00842BE0"/>
    <w:rsid w:val="00847886"/>
    <w:rsid w:val="00853E74"/>
    <w:rsid w:val="00854090"/>
    <w:rsid w:val="00870EB5"/>
    <w:rsid w:val="008A0D84"/>
    <w:rsid w:val="008B71AD"/>
    <w:rsid w:val="008C4132"/>
    <w:rsid w:val="008C5552"/>
    <w:rsid w:val="008D13F9"/>
    <w:rsid w:val="008E5858"/>
    <w:rsid w:val="008E68B6"/>
    <w:rsid w:val="00901A4D"/>
    <w:rsid w:val="0091095D"/>
    <w:rsid w:val="00915033"/>
    <w:rsid w:val="009267F4"/>
    <w:rsid w:val="00944AB4"/>
    <w:rsid w:val="009A11D1"/>
    <w:rsid w:val="009A4054"/>
    <w:rsid w:val="009A611A"/>
    <w:rsid w:val="009B2420"/>
    <w:rsid w:val="009C315D"/>
    <w:rsid w:val="009D01C1"/>
    <w:rsid w:val="009D19D9"/>
    <w:rsid w:val="009D6F0B"/>
    <w:rsid w:val="009F4720"/>
    <w:rsid w:val="009F4A4B"/>
    <w:rsid w:val="00A0114B"/>
    <w:rsid w:val="00A05458"/>
    <w:rsid w:val="00A11A73"/>
    <w:rsid w:val="00A26E99"/>
    <w:rsid w:val="00A31981"/>
    <w:rsid w:val="00A52102"/>
    <w:rsid w:val="00A54C7E"/>
    <w:rsid w:val="00A6563C"/>
    <w:rsid w:val="00A80A9F"/>
    <w:rsid w:val="00A83400"/>
    <w:rsid w:val="00A925C4"/>
    <w:rsid w:val="00A968BF"/>
    <w:rsid w:val="00AA0FC6"/>
    <w:rsid w:val="00AC3AFF"/>
    <w:rsid w:val="00AD27CB"/>
    <w:rsid w:val="00AE6BF1"/>
    <w:rsid w:val="00AF03D2"/>
    <w:rsid w:val="00AF33E0"/>
    <w:rsid w:val="00B00E19"/>
    <w:rsid w:val="00B01BEF"/>
    <w:rsid w:val="00B17D42"/>
    <w:rsid w:val="00B22570"/>
    <w:rsid w:val="00B305ED"/>
    <w:rsid w:val="00B30DA4"/>
    <w:rsid w:val="00B3526A"/>
    <w:rsid w:val="00B4466D"/>
    <w:rsid w:val="00B45241"/>
    <w:rsid w:val="00B46D99"/>
    <w:rsid w:val="00B575C0"/>
    <w:rsid w:val="00B6533E"/>
    <w:rsid w:val="00B66FB4"/>
    <w:rsid w:val="00B9301F"/>
    <w:rsid w:val="00BA18C2"/>
    <w:rsid w:val="00BA2F68"/>
    <w:rsid w:val="00BA395D"/>
    <w:rsid w:val="00BC1D71"/>
    <w:rsid w:val="00BF6392"/>
    <w:rsid w:val="00C00BF4"/>
    <w:rsid w:val="00C02F7B"/>
    <w:rsid w:val="00C03B30"/>
    <w:rsid w:val="00C25902"/>
    <w:rsid w:val="00C35FE0"/>
    <w:rsid w:val="00C43E23"/>
    <w:rsid w:val="00C47411"/>
    <w:rsid w:val="00C52BC9"/>
    <w:rsid w:val="00C53146"/>
    <w:rsid w:val="00C67ACE"/>
    <w:rsid w:val="00C700C2"/>
    <w:rsid w:val="00C7568B"/>
    <w:rsid w:val="00C80C37"/>
    <w:rsid w:val="00C85106"/>
    <w:rsid w:val="00CB375E"/>
    <w:rsid w:val="00CB6B6A"/>
    <w:rsid w:val="00CD1B77"/>
    <w:rsid w:val="00CE7292"/>
    <w:rsid w:val="00D04069"/>
    <w:rsid w:val="00D23B78"/>
    <w:rsid w:val="00D314B2"/>
    <w:rsid w:val="00D376C7"/>
    <w:rsid w:val="00D516A1"/>
    <w:rsid w:val="00D543F9"/>
    <w:rsid w:val="00D61AD5"/>
    <w:rsid w:val="00D6576A"/>
    <w:rsid w:val="00D94A35"/>
    <w:rsid w:val="00DB1729"/>
    <w:rsid w:val="00DC0994"/>
    <w:rsid w:val="00DF66A8"/>
    <w:rsid w:val="00E10A29"/>
    <w:rsid w:val="00E14503"/>
    <w:rsid w:val="00E27E64"/>
    <w:rsid w:val="00E30390"/>
    <w:rsid w:val="00E328BD"/>
    <w:rsid w:val="00E4726F"/>
    <w:rsid w:val="00E53371"/>
    <w:rsid w:val="00E6438C"/>
    <w:rsid w:val="00E72F96"/>
    <w:rsid w:val="00E778E8"/>
    <w:rsid w:val="00E80046"/>
    <w:rsid w:val="00E9244C"/>
    <w:rsid w:val="00E95A04"/>
    <w:rsid w:val="00EC0568"/>
    <w:rsid w:val="00EE0558"/>
    <w:rsid w:val="00EE376A"/>
    <w:rsid w:val="00F04839"/>
    <w:rsid w:val="00F23E40"/>
    <w:rsid w:val="00F40357"/>
    <w:rsid w:val="00F50EF5"/>
    <w:rsid w:val="00F57CE6"/>
    <w:rsid w:val="00F61650"/>
    <w:rsid w:val="00F6775D"/>
    <w:rsid w:val="00F7489B"/>
    <w:rsid w:val="00F8242B"/>
    <w:rsid w:val="00F93725"/>
    <w:rsid w:val="00FB0BE5"/>
    <w:rsid w:val="00FB5349"/>
    <w:rsid w:val="00FE3923"/>
    <w:rsid w:val="00FF3747"/>
    <w:rsid w:val="00FF78E8"/>
    <w:rsid w:val="5C9D6A1C"/>
    <w:rsid w:val="5D102796"/>
    <w:rsid w:val="FFFB253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36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日期 Char"/>
    <w:basedOn w:val="7"/>
    <w:link w:val="2"/>
    <w:semiHidden/>
    <w:uiPriority w:val="99"/>
  </w:style>
  <w:style w:type="character" w:customStyle="1" w:styleId="11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7"/>
    <w:link w:val="4"/>
    <w:qFormat/>
    <w:uiPriority w:val="99"/>
    <w:rPr>
      <w:sz w:val="18"/>
      <w:szCs w:val="18"/>
    </w:rPr>
  </w:style>
  <w:style w:type="paragraph" w:customStyle="1" w:styleId="13">
    <w:name w:val="xl66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4">
    <w:name w:val="xl67"/>
    <w:basedOn w:val="1"/>
    <w:qFormat/>
    <w:uiPriority w:val="0"/>
    <w:pPr>
      <w:widowControl/>
      <w:shd w:val="clear" w:color="000000" w:fill="C0C0C0"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5">
    <w:name w:val="xl68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36"/>
      <w:szCs w:val="36"/>
    </w:rPr>
  </w:style>
  <w:style w:type="paragraph" w:customStyle="1" w:styleId="16">
    <w:name w:val="xl69"/>
    <w:basedOn w:val="1"/>
    <w:qFormat/>
    <w:uiPriority w:val="0"/>
    <w:pPr>
      <w:widowControl/>
      <w:pBdr>
        <w:bottom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7">
    <w:name w:val="xl70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8">
    <w:name w:val="xl71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9">
    <w:name w:val="xl72"/>
    <w:basedOn w:val="1"/>
    <w:qFormat/>
    <w:uiPriority w:val="0"/>
    <w:pPr>
      <w:widowControl/>
      <w:pBdr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0">
    <w:name w:val="xl73"/>
    <w:basedOn w:val="1"/>
    <w:qFormat/>
    <w:uiPriority w:val="0"/>
    <w:pPr>
      <w:widowControl/>
      <w:pBdr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1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2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3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4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5">
    <w:name w:val="xl78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6">
    <w:name w:val="xl79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7">
    <w:name w:val="xl80"/>
    <w:basedOn w:val="1"/>
    <w:qFormat/>
    <w:uiPriority w:val="0"/>
    <w:pPr>
      <w:widowControl/>
      <w:pBdr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8">
    <w:name w:val="xl81"/>
    <w:basedOn w:val="1"/>
    <w:qFormat/>
    <w:uiPriority w:val="0"/>
    <w:pPr>
      <w:widowControl/>
      <w:pBdr>
        <w:lef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9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0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1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2">
    <w:name w:val="xl85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3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styleId="34">
    <w:name w:val="No Spacing"/>
    <w:link w:val="35"/>
    <w:qFormat/>
    <w:uiPriority w:val="1"/>
    <w:rPr>
      <w:rFonts w:asciiTheme="minorHAnsi" w:hAnsiTheme="minorHAnsi" w:eastAsiaTheme="minorEastAsia" w:cstheme="minorBidi"/>
      <w:kern w:val="0"/>
      <w:sz w:val="22"/>
      <w:szCs w:val="22"/>
      <w:lang w:val="en-US" w:eastAsia="zh-CN" w:bidi="ar-SA"/>
    </w:rPr>
  </w:style>
  <w:style w:type="character" w:customStyle="1" w:styleId="35">
    <w:name w:val="无间隔 Char"/>
    <w:basedOn w:val="7"/>
    <w:link w:val="34"/>
    <w:qFormat/>
    <w:uiPriority w:val="1"/>
    <w:rPr>
      <w:kern w:val="0"/>
      <w:sz w:val="22"/>
    </w:rPr>
  </w:style>
  <w:style w:type="character" w:customStyle="1" w:styleId="36">
    <w:name w:val="批注框文本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16</Pages>
  <Words>2014</Words>
  <Characters>11480</Characters>
  <Lines>95</Lines>
  <Paragraphs>26</Paragraphs>
  <TotalTime>4383</TotalTime>
  <ScaleCrop>false</ScaleCrop>
  <LinksUpToDate>false</LinksUpToDate>
  <CharactersWithSpaces>13468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2017-08-10T15:07:00Z</dcterms:created>
  <dc:creator>User</dc:creator>
  <cp:lastModifiedBy>Administrator</cp:lastModifiedBy>
  <cp:lastPrinted>2018-09-13T16:49:00Z</cp:lastPrinted>
  <dcterms:modified xsi:type="dcterms:W3CDTF">2024-01-30T09:30:01Z</dcterms:modified>
  <cp:revision>56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80C19BD01E6C45D280D324FE80A79032</vt:lpwstr>
  </property>
</Properties>
</file>