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jc w:val="center"/>
        <w:rPr>
          <w:rFonts w:ascii="宋体" w:hAnsi="宋体" w:eastAsia="宋体" w:cs="Times New Roman"/>
          <w:sz w:val="44"/>
          <w:szCs w:val="44"/>
        </w:rPr>
      </w:pPr>
      <w:bookmarkStart w:id="2" w:name="_GoBack"/>
      <w:bookmarkEnd w:id="2"/>
      <w:r>
        <w:rPr>
          <w:rFonts w:hint="eastAsia" w:ascii="宋体" w:hAnsi="宋体" w:eastAsia="宋体" w:cs="Times New Roman"/>
          <w:sz w:val="44"/>
          <w:szCs w:val="44"/>
        </w:rPr>
        <w:t>无极县人民政府</w:t>
      </w:r>
    </w:p>
    <w:p>
      <w:pPr>
        <w:adjustRightInd w:val="0"/>
        <w:snapToGrid w:val="0"/>
        <w:spacing w:line="560" w:lineRule="exact"/>
        <w:jc w:val="center"/>
        <w:rPr>
          <w:rFonts w:ascii="宋体" w:hAnsi="宋体" w:eastAsia="宋体" w:cs="Times New Roman"/>
          <w:szCs w:val="21"/>
        </w:rPr>
      </w:pPr>
      <w:r>
        <w:rPr>
          <w:rFonts w:hint="eastAsia" w:ascii="宋体" w:hAnsi="宋体" w:eastAsia="宋体" w:cs="Times New Roman"/>
          <w:sz w:val="44"/>
          <w:szCs w:val="44"/>
        </w:rPr>
        <w:t>关于2018年财政决算情况的报告</w:t>
      </w:r>
    </w:p>
    <w:p>
      <w:pPr>
        <w:adjustRightInd w:val="0"/>
        <w:snapToGrid w:val="0"/>
        <w:spacing w:line="560" w:lineRule="exact"/>
        <w:jc w:val="center"/>
        <w:rPr>
          <w:rFonts w:ascii="楷体_GB2312" w:hAnsi="Times New Roman" w:eastAsia="楷体_GB2312" w:cs="Times New Roman"/>
          <w:sz w:val="32"/>
          <w:szCs w:val="32"/>
        </w:rPr>
      </w:pPr>
      <w:r>
        <w:rPr>
          <w:rFonts w:hint="eastAsia" w:ascii="华文中宋" w:hAnsi="华文中宋" w:eastAsia="华文中宋" w:cs="Times New Roman"/>
          <w:sz w:val="32"/>
          <w:szCs w:val="32"/>
        </w:rPr>
        <w:t>——</w:t>
      </w:r>
      <w:r>
        <w:rPr>
          <w:rFonts w:hint="eastAsia" w:ascii="楷体_GB2312" w:hAnsi="Times New Roman" w:eastAsia="楷体_GB2312" w:cs="Times New Roman"/>
          <w:sz w:val="32"/>
          <w:szCs w:val="32"/>
        </w:rPr>
        <w:t>在无极县第十六届人大常委会第十九次会议上</w:t>
      </w:r>
    </w:p>
    <w:p>
      <w:pPr>
        <w:adjustRightInd w:val="0"/>
        <w:snapToGrid w:val="0"/>
        <w:spacing w:line="560" w:lineRule="exact"/>
        <w:jc w:val="center"/>
        <w:rPr>
          <w:rFonts w:ascii="楷体_GB2312" w:eastAsia="楷体_GB2312"/>
          <w:sz w:val="32"/>
          <w:szCs w:val="32"/>
        </w:rPr>
      </w:pPr>
      <w:r>
        <w:rPr>
          <w:rFonts w:hint="eastAsia" w:ascii="楷体_GB2312" w:eastAsia="楷体_GB2312"/>
          <w:sz w:val="32"/>
          <w:szCs w:val="32"/>
        </w:rPr>
        <w:t>无极县财政局局长  任立波</w:t>
      </w:r>
    </w:p>
    <w:p>
      <w:pPr>
        <w:adjustRightInd w:val="0"/>
        <w:snapToGrid w:val="0"/>
        <w:spacing w:line="560" w:lineRule="exact"/>
        <w:jc w:val="center"/>
        <w:rPr>
          <w:rFonts w:ascii="楷体_GB2312" w:eastAsia="楷体_GB2312"/>
          <w:sz w:val="32"/>
          <w:szCs w:val="32"/>
        </w:rPr>
      </w:pPr>
      <w:r>
        <w:rPr>
          <w:rFonts w:hint="eastAsia" w:ascii="楷体_GB2312" w:eastAsia="楷体_GB2312"/>
          <w:sz w:val="32"/>
          <w:szCs w:val="32"/>
        </w:rPr>
        <w:t>(2019年7月24日)</w:t>
      </w:r>
    </w:p>
    <w:p>
      <w:pPr>
        <w:adjustRightInd w:val="0"/>
        <w:snapToGrid w:val="0"/>
        <w:spacing w:line="560" w:lineRule="exact"/>
        <w:rPr>
          <w:rFonts w:ascii="仿宋_GB2312" w:hAnsi="楷体" w:eastAsia="仿宋_GB2312" w:cs="Times New Roman"/>
          <w:b/>
          <w:bCs/>
          <w:sz w:val="32"/>
          <w:szCs w:val="32"/>
        </w:rPr>
      </w:pPr>
    </w:p>
    <w:p>
      <w:pPr>
        <w:adjustRightInd w:val="0"/>
        <w:snapToGrid w:val="0"/>
        <w:spacing w:line="560" w:lineRule="exact"/>
        <w:rPr>
          <w:rFonts w:ascii="仿宋_GB2312" w:hAnsi="仿宋" w:eastAsia="仿宋_GB2312" w:cs="Times New Roman"/>
          <w:kern w:val="0"/>
          <w:sz w:val="32"/>
          <w:szCs w:val="32"/>
        </w:rPr>
      </w:pPr>
      <w:r>
        <w:rPr>
          <w:rFonts w:hint="eastAsia" w:ascii="仿宋_GB2312" w:hAnsi="仿宋" w:eastAsia="仿宋_GB2312" w:cs="Times New Roman"/>
          <w:kern w:val="0"/>
          <w:sz w:val="32"/>
          <w:szCs w:val="32"/>
        </w:rPr>
        <w:t>各位代表：</w:t>
      </w:r>
    </w:p>
    <w:p>
      <w:pPr>
        <w:adjustRightInd w:val="0"/>
        <w:snapToGrid w:val="0"/>
        <w:spacing w:line="560" w:lineRule="exact"/>
        <w:ind w:firstLine="640" w:firstLineChars="200"/>
        <w:rPr>
          <w:rFonts w:ascii="仿宋_GB2312" w:hAnsi="仿宋" w:eastAsia="仿宋_GB2312" w:cs="Times New Roman"/>
          <w:kern w:val="32"/>
          <w:sz w:val="32"/>
          <w:szCs w:val="32"/>
        </w:rPr>
      </w:pPr>
      <w:r>
        <w:rPr>
          <w:rFonts w:hint="eastAsia" w:ascii="仿宋_GB2312" w:hAnsi="仿宋" w:eastAsia="仿宋_GB2312" w:cs="Times New Roman"/>
          <w:kern w:val="32"/>
          <w:sz w:val="32"/>
          <w:szCs w:val="32"/>
        </w:rPr>
        <w:t>受县政府委托，现将2018年财政决算情况报告如下，请予以审议。</w:t>
      </w:r>
    </w:p>
    <w:p>
      <w:pPr>
        <w:adjustRightInd w:val="0"/>
        <w:snapToGrid w:val="0"/>
        <w:spacing w:line="560" w:lineRule="exact"/>
        <w:ind w:firstLine="640" w:firstLineChars="200"/>
        <w:rPr>
          <w:rFonts w:ascii="黑体" w:hAnsi="黑体" w:eastAsia="黑体" w:cs="黑体"/>
          <w:bCs/>
          <w:kern w:val="32"/>
          <w:sz w:val="32"/>
          <w:szCs w:val="32"/>
        </w:rPr>
      </w:pPr>
      <w:r>
        <w:rPr>
          <w:rFonts w:hint="eastAsia" w:ascii="黑体" w:hAnsi="黑体" w:eastAsia="黑体" w:cs="黑体"/>
          <w:bCs/>
          <w:kern w:val="32"/>
          <w:sz w:val="32"/>
          <w:szCs w:val="32"/>
        </w:rPr>
        <w:t>一、2018年全县决算情况</w:t>
      </w:r>
    </w:p>
    <w:p>
      <w:pPr>
        <w:spacing w:line="520" w:lineRule="exact"/>
        <w:ind w:firstLine="643" w:firstLineChars="200"/>
        <w:rPr>
          <w:rFonts w:ascii="仿宋_GB2312" w:hAnsi="仿宋" w:eastAsia="仿宋_GB2312" w:cs="仿宋"/>
          <w:b/>
          <w:bCs/>
          <w:sz w:val="32"/>
          <w:szCs w:val="32"/>
        </w:rPr>
      </w:pPr>
      <w:r>
        <w:rPr>
          <w:rFonts w:hint="eastAsia" w:ascii="仿宋_GB2312" w:hAnsi="仿宋" w:eastAsia="仿宋_GB2312" w:cs="仿宋"/>
          <w:b/>
          <w:bCs/>
          <w:sz w:val="32"/>
          <w:szCs w:val="32"/>
        </w:rPr>
        <w:t>1、全县一般公共预算</w:t>
      </w:r>
    </w:p>
    <w:p>
      <w:pPr>
        <w:spacing w:line="52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2018年全县财政总收入完成113327万元，比上年增加12901万元，增长12.8%，其中一般公共预算收入完成68400万元，占年初预算的103.2%，比上年增加8130万元，增长13.5%。</w:t>
      </w:r>
    </w:p>
    <w:p>
      <w:pPr>
        <w:spacing w:line="52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全县一般公共预算支出285653万元，为调整预算的95.1%，比上年增支61411万元，增长27.4%。主要支出大类分别为：一般公共服务支出35894万元；公共安全8701万元；教育支出42342万元；社会保障和就业支出40145万元；医疗卫生与计划生育支出37186万元；节能环保50083万元；城乡社区支出16795万元；农林水支出23429万元；交通运输8926万元；资源勘探信息等支出4641万元，住房保障8283万元；债务利息支出1388万元。</w:t>
      </w:r>
    </w:p>
    <w:p>
      <w:pPr>
        <w:spacing w:line="52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全县一般公共预算收入68400万元，加上税收返还9794万元；一般性转移支付116557万元；专项转移支付41359万元；上年结转4243万元；调入资金37142万元；一般债券21071万元；调入预算稳定调节基金3770万元；上解上级支出-3327万元，全年财力为305663万元。</w:t>
      </w:r>
    </w:p>
    <w:p>
      <w:pPr>
        <w:spacing w:line="52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全县一般公共预算支出285653万元，加上一般债务还本支出2941万元；支出总计288594万元。</w:t>
      </w:r>
    </w:p>
    <w:p>
      <w:pPr>
        <w:spacing w:line="52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年终一般债券结余130万元；年终结余16939万元，其中：补充预算稳定调节基金9738</w:t>
      </w:r>
      <w:r>
        <w:rPr>
          <w:rFonts w:hint="eastAsia" w:ascii="仿宋_GB2312" w:hAnsi="仿宋" w:eastAsia="仿宋_GB2312" w:cs="仿宋"/>
          <w:sz w:val="32"/>
          <w:szCs w:val="32"/>
          <w:lang w:eastAsia="zh-CN"/>
        </w:rPr>
        <w:t>万元</w:t>
      </w:r>
      <w:r>
        <w:rPr>
          <w:rFonts w:hint="eastAsia" w:ascii="仿宋_GB2312" w:hAnsi="仿宋" w:eastAsia="仿宋_GB2312" w:cs="仿宋"/>
          <w:sz w:val="32"/>
          <w:szCs w:val="32"/>
        </w:rPr>
        <w:t>，结转下年支出7201万元。</w:t>
      </w:r>
    </w:p>
    <w:p>
      <w:pPr>
        <w:spacing w:line="520" w:lineRule="exact"/>
        <w:ind w:firstLine="643" w:firstLineChars="200"/>
        <w:rPr>
          <w:rFonts w:ascii="仿宋_GB2312" w:hAnsi="仿宋" w:eastAsia="仿宋_GB2312" w:cs="仿宋"/>
          <w:b/>
          <w:bCs/>
          <w:sz w:val="32"/>
          <w:szCs w:val="32"/>
        </w:rPr>
      </w:pPr>
      <w:r>
        <w:rPr>
          <w:rFonts w:hint="eastAsia" w:ascii="仿宋_GB2312" w:hAnsi="仿宋" w:eastAsia="仿宋_GB2312" w:cs="仿宋"/>
          <w:b/>
          <w:bCs/>
          <w:sz w:val="32"/>
          <w:szCs w:val="32"/>
        </w:rPr>
        <w:t>2、政府性基金预算</w:t>
      </w:r>
    </w:p>
    <w:p>
      <w:pPr>
        <w:spacing w:line="52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全年政府性基金收入完成63348万元，占年初预算的128.5%，比上年增加9482万元，增长17.6%，其中国有土地使用权出让收入54787万元，比上年增加6776万元，加上上级转移支付736万元；专项债券14000万元；上年结转241万元，减去调出资金33000万元，基金预算总收入为45325万元。政府性基金支出42934万元，完成预算的95.1%，同比减支9728万元，下降17.6%，其中国有土地出让收入及对应专项债务安排的支出38268万元。年末结转2391万元，全部为结转下年支出资金。</w:t>
      </w:r>
    </w:p>
    <w:p>
      <w:pPr>
        <w:spacing w:line="520" w:lineRule="exact"/>
        <w:ind w:firstLine="643" w:firstLineChars="200"/>
        <w:rPr>
          <w:rFonts w:ascii="仿宋_GB2312" w:hAnsi="仿宋" w:eastAsia="仿宋_GB2312" w:cs="仿宋"/>
          <w:b/>
          <w:bCs/>
          <w:sz w:val="32"/>
          <w:szCs w:val="32"/>
        </w:rPr>
      </w:pPr>
      <w:r>
        <w:rPr>
          <w:rFonts w:hint="eastAsia" w:ascii="仿宋_GB2312" w:hAnsi="仿宋" w:eastAsia="仿宋_GB2312" w:cs="仿宋"/>
          <w:b/>
          <w:bCs/>
          <w:sz w:val="32"/>
          <w:szCs w:val="32"/>
        </w:rPr>
        <w:t>3、社会保险基金预算</w:t>
      </w:r>
    </w:p>
    <w:p>
      <w:pPr>
        <w:spacing w:line="52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全年社会保险基金收入82093万元，完成预算的91.5%，比上年增长30.4%，其中保险费收入37915万元，财政补贴收入38322万元，利息收入656万元。社会保险基金支出84438万元，完成预算的104%，增长38.1%，滚存结余43476万元。</w:t>
      </w:r>
    </w:p>
    <w:p>
      <w:pPr>
        <w:spacing w:line="520" w:lineRule="exact"/>
        <w:ind w:firstLine="643" w:firstLineChars="200"/>
        <w:rPr>
          <w:rFonts w:ascii="仿宋_GB2312" w:hAnsi="仿宋" w:eastAsia="仿宋_GB2312" w:cs="仿宋"/>
          <w:b/>
          <w:bCs/>
          <w:sz w:val="32"/>
          <w:szCs w:val="32"/>
        </w:rPr>
      </w:pPr>
      <w:r>
        <w:rPr>
          <w:rFonts w:hint="eastAsia" w:ascii="仿宋_GB2312" w:hAnsi="仿宋" w:eastAsia="仿宋_GB2312" w:cs="仿宋"/>
          <w:b/>
          <w:bCs/>
          <w:sz w:val="32"/>
          <w:szCs w:val="32"/>
        </w:rPr>
        <w:t>4、国有资本经营预算</w:t>
      </w:r>
    </w:p>
    <w:p>
      <w:pPr>
        <w:spacing w:line="52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为加强我县污水处理厂的运营管理，将污水处理厂进行转让，当年取得产权转让收入4000万元，调出资金4000万元。</w:t>
      </w:r>
    </w:p>
    <w:p>
      <w:pPr>
        <w:adjustRightInd w:val="0"/>
        <w:snapToGrid w:val="0"/>
        <w:spacing w:line="560" w:lineRule="exact"/>
        <w:ind w:firstLine="640" w:firstLineChars="200"/>
        <w:rPr>
          <w:rFonts w:ascii="黑体" w:hAnsi="黑体" w:eastAsia="黑体" w:cs="Times New Roman"/>
          <w:kern w:val="32"/>
          <w:sz w:val="32"/>
          <w:szCs w:val="32"/>
        </w:rPr>
      </w:pPr>
      <w:r>
        <w:rPr>
          <w:rFonts w:hint="eastAsia" w:ascii="黑体" w:hAnsi="黑体" w:eastAsia="黑体" w:cs="Times New Roman"/>
          <w:kern w:val="32"/>
          <w:sz w:val="32"/>
          <w:szCs w:val="32"/>
        </w:rPr>
        <w:t>二、财政转移支付资金安排执行情况</w:t>
      </w:r>
    </w:p>
    <w:p>
      <w:pPr>
        <w:spacing w:line="560" w:lineRule="exact"/>
        <w:ind w:firstLine="643"/>
        <w:rPr>
          <w:rFonts w:ascii="仿宋_GB2312" w:eastAsia="仿宋_GB2312"/>
          <w:kern w:val="32"/>
          <w:sz w:val="32"/>
          <w:szCs w:val="32"/>
        </w:rPr>
      </w:pPr>
      <w:r>
        <w:rPr>
          <w:rFonts w:hint="eastAsia" w:ascii="仿宋_GB2312" w:eastAsia="仿宋_GB2312"/>
          <w:kern w:val="32"/>
          <w:sz w:val="32"/>
          <w:szCs w:val="32"/>
        </w:rPr>
        <w:t>1、省对我县上级补助收入总计167710万元，包括：</w:t>
      </w:r>
      <w:r>
        <w:rPr>
          <w:rFonts w:hint="eastAsia" w:ascii="仿宋_GB2312" w:hAnsi="宋体" w:eastAsia="仿宋_GB2312" w:cs="宋体"/>
          <w:kern w:val="32"/>
          <w:sz w:val="32"/>
          <w:szCs w:val="32"/>
        </w:rPr>
        <w:t>①</w:t>
      </w:r>
      <w:r>
        <w:rPr>
          <w:rFonts w:hint="eastAsia" w:ascii="仿宋_GB2312" w:eastAsia="仿宋_GB2312"/>
          <w:kern w:val="32"/>
          <w:sz w:val="32"/>
          <w:szCs w:val="32"/>
        </w:rPr>
        <w:t>税收返还9794万元，其中：所得税基数返还2100万元、成品油税费改革税收返还1398万元、增值税税收返还1888万元、增值税“五五分享”税收返还收入4408万元；</w:t>
      </w:r>
      <w:r>
        <w:rPr>
          <w:rFonts w:hint="eastAsia" w:ascii="仿宋_GB2312" w:hAnsi="宋体" w:eastAsia="仿宋_GB2312" w:cs="宋体"/>
          <w:kern w:val="32"/>
          <w:sz w:val="32"/>
          <w:szCs w:val="32"/>
        </w:rPr>
        <w:t>②</w:t>
      </w:r>
      <w:r>
        <w:rPr>
          <w:rFonts w:hint="eastAsia" w:ascii="仿宋_GB2312" w:eastAsia="仿宋_GB2312"/>
          <w:kern w:val="32"/>
          <w:sz w:val="32"/>
          <w:szCs w:val="32"/>
        </w:rPr>
        <w:t>一般性转移支付116557万元，其中：体制补助收入769万元、均衡性转移支付17771万元、县级基本财力保障机制奖补10119万元、结算补助收入704万元、成品油税费改革转移支付1346万元、基层公检法司转移支付1280万元、城乡义务教育转移支付5378万元、基本养老金转移支付10990万元、城乡居民医疗保险转移支付18361万元、农村综合改革转移支付2094万元、产粮（油）大县奖励资金2353万元、固定数额补助11728万元、革命老区转移支付700万元、民族地区转移支付6万元、贫困地区转移支付收入47万元、其他一般性转移支付32911万元；</w:t>
      </w:r>
      <w:r>
        <w:rPr>
          <w:rFonts w:hint="eastAsia" w:ascii="仿宋_GB2312" w:hAnsi="宋体" w:eastAsia="仿宋_GB2312" w:cs="宋体"/>
          <w:kern w:val="32"/>
          <w:sz w:val="32"/>
          <w:szCs w:val="32"/>
        </w:rPr>
        <w:t>③</w:t>
      </w:r>
      <w:r>
        <w:rPr>
          <w:rFonts w:hint="eastAsia" w:ascii="仿宋_GB2312" w:eastAsia="仿宋_GB2312"/>
          <w:kern w:val="32"/>
          <w:sz w:val="32"/>
          <w:szCs w:val="32"/>
        </w:rPr>
        <w:t>专项转移支付41359万元，包括：一般公共服务10万元、公共安全4万元、教育2244万元、科学技术870万元、文化体育与传媒513万元、社会保障和就业10061万元、医疗卫生与计划生育4349万元、节能环保11915万元、农林水9415万元、交通运输316万元、商业服务业等27万元、国土海洋气象等1042万元、住房保障593万元。</w:t>
      </w:r>
    </w:p>
    <w:p>
      <w:pPr>
        <w:spacing w:line="560" w:lineRule="exact"/>
        <w:ind w:firstLine="643"/>
        <w:rPr>
          <w:rFonts w:ascii="仿宋_GB2312" w:hAnsi="黑体" w:eastAsia="仿宋_GB2312" w:cs="宋体"/>
          <w:kern w:val="32"/>
          <w:sz w:val="32"/>
          <w:szCs w:val="32"/>
        </w:rPr>
      </w:pPr>
      <w:r>
        <w:rPr>
          <w:rFonts w:hint="eastAsia" w:ascii="仿宋_GB2312" w:eastAsia="仿宋_GB2312"/>
          <w:kern w:val="32"/>
          <w:sz w:val="32"/>
          <w:szCs w:val="32"/>
        </w:rPr>
        <w:t>2、省对我县政府性基金转移支付总计736万元，包括：文化体育与传媒3万元、社会保障和就业1万元、城乡社区18万元、其他714万元。</w:t>
      </w:r>
    </w:p>
    <w:p>
      <w:pPr>
        <w:spacing w:line="560" w:lineRule="exact"/>
        <w:ind w:firstLine="643"/>
        <w:rPr>
          <w:rFonts w:ascii="黑体" w:hAnsi="黑体" w:eastAsia="黑体" w:cs="宋体"/>
          <w:kern w:val="32"/>
          <w:sz w:val="32"/>
          <w:szCs w:val="32"/>
        </w:rPr>
      </w:pPr>
      <w:r>
        <w:rPr>
          <w:rFonts w:hint="eastAsia" w:ascii="黑体" w:hAnsi="黑体" w:eastAsia="黑体" w:cs="宋体"/>
          <w:kern w:val="32"/>
          <w:sz w:val="32"/>
          <w:szCs w:val="32"/>
        </w:rPr>
        <w:t>三、2017年政府债务情况</w:t>
      </w:r>
    </w:p>
    <w:p>
      <w:pPr>
        <w:spacing w:line="52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经省政府批准，财政厅核定我县2018年政府债务限额129082万元，其中一般债务91189万元，专项债务37893万元。</w:t>
      </w:r>
      <w:r>
        <w:rPr>
          <w:rFonts w:hint="eastAsia" w:ascii="仿宋_GB2312" w:hAnsi="仿宋" w:eastAsia="仿宋_GB2312" w:cs="仿宋"/>
          <w:sz w:val="32"/>
          <w:szCs w:val="32"/>
          <w:lang w:eastAsia="zh-CN"/>
        </w:rPr>
        <w:t>截至</w:t>
      </w:r>
      <w:r>
        <w:rPr>
          <w:rFonts w:hint="eastAsia" w:ascii="仿宋_GB2312" w:hAnsi="仿宋" w:eastAsia="仿宋_GB2312" w:cs="仿宋"/>
          <w:sz w:val="32"/>
          <w:szCs w:val="32"/>
        </w:rPr>
        <w:t>2018年底，全县政府债务余额76243万元，债务形式全部为政府债券，其中一般债务41343万元，专项债务34900万元。全县政府债务率为22.2%，处于绿色安全区，总体风险可控。</w:t>
      </w:r>
    </w:p>
    <w:p>
      <w:pPr>
        <w:adjustRightInd w:val="0"/>
        <w:spacing w:line="560" w:lineRule="exact"/>
        <w:ind w:firstLine="640" w:firstLineChars="200"/>
        <w:rPr>
          <w:rFonts w:ascii="仿宋_GB2312" w:eastAsia="仿宋_GB2312"/>
          <w:kern w:val="32"/>
          <w:sz w:val="32"/>
          <w:szCs w:val="32"/>
        </w:rPr>
      </w:pPr>
      <w:r>
        <w:rPr>
          <w:rFonts w:hint="eastAsia" w:ascii="黑体" w:eastAsia="黑体"/>
          <w:kern w:val="32"/>
          <w:sz w:val="32"/>
          <w:szCs w:val="32"/>
        </w:rPr>
        <w:t>四、其他需要说明的情况</w:t>
      </w:r>
      <w:r>
        <w:rPr>
          <w:rFonts w:hint="eastAsia" w:ascii="仿宋_GB2312" w:eastAsia="仿宋_GB2312"/>
          <w:kern w:val="32"/>
          <w:sz w:val="32"/>
          <w:szCs w:val="32"/>
        </w:rPr>
        <w:t xml:space="preserve"> </w:t>
      </w:r>
    </w:p>
    <w:p>
      <w:pPr>
        <w:spacing w:line="520" w:lineRule="exact"/>
        <w:ind w:firstLine="640" w:firstLineChars="200"/>
        <w:rPr>
          <w:rFonts w:ascii="仿宋_GB2312" w:hAnsi="仿宋" w:eastAsia="仿宋_GB2312" w:cs="Times New Roman"/>
          <w:kern w:val="32"/>
          <w:sz w:val="32"/>
          <w:szCs w:val="32"/>
        </w:rPr>
      </w:pPr>
      <w:r>
        <w:rPr>
          <w:rFonts w:hint="eastAsia" w:ascii="仿宋_GB2312" w:eastAsia="仿宋_GB2312"/>
          <w:kern w:val="32"/>
          <w:sz w:val="32"/>
          <w:szCs w:val="32"/>
        </w:rPr>
        <w:t>根据</w:t>
      </w:r>
      <w:r>
        <w:rPr>
          <w:rFonts w:hint="default" w:ascii="仿宋_GB2312" w:eastAsia="仿宋_GB2312"/>
          <w:kern w:val="32"/>
          <w:sz w:val="32"/>
          <w:szCs w:val="32"/>
          <w:lang w:val="en-US"/>
        </w:rPr>
        <w:t>《中华人民共和国预算法》</w:t>
      </w:r>
      <w:r>
        <w:rPr>
          <w:rFonts w:hint="eastAsia" w:ascii="仿宋_GB2312" w:eastAsia="仿宋_GB2312"/>
          <w:kern w:val="32"/>
          <w:sz w:val="32"/>
          <w:szCs w:val="32"/>
        </w:rPr>
        <w:t>和《河北省预算审查监督条例》的规定，另就以下几项内容予以说明：一是关于上年结转资金使用。一般公共预算 2017年结转 2018 年使用的4243万元，政府性基金 2017年结转 2018年使用的241万元，已全部使用完毕。二是关于预备费使用。2018年县级安排预备费2000万元，</w:t>
      </w:r>
      <w:r>
        <w:rPr>
          <w:rFonts w:hint="eastAsia" w:ascii="仿宋_GB2312" w:hAnsi="仿宋" w:eastAsia="仿宋_GB2312" w:cs="Times New Roman"/>
          <w:kern w:val="32"/>
          <w:sz w:val="32"/>
          <w:szCs w:val="32"/>
        </w:rPr>
        <w:t>经政府批准，全部用于征地拆迁赔偿、治理重污染天气、维稳上访以及应急专项等预算执行中难以预见的应急支出。</w:t>
      </w:r>
      <w:r>
        <w:rPr>
          <w:rFonts w:hint="eastAsia" w:ascii="仿宋_GB2312" w:eastAsia="仿宋_GB2312"/>
          <w:kern w:val="32"/>
          <w:sz w:val="32"/>
          <w:szCs w:val="32"/>
        </w:rPr>
        <w:t>三是关于资金结余情况。</w:t>
      </w:r>
      <w:r>
        <w:rPr>
          <w:rFonts w:hint="eastAsia" w:ascii="仿宋_GB2312" w:hAnsi="仿宋" w:eastAsia="仿宋_GB2312" w:cs="Times New Roman"/>
          <w:kern w:val="32"/>
          <w:sz w:val="32"/>
          <w:szCs w:val="32"/>
        </w:rPr>
        <w:t>县人代会十六届四次会议通过的预算报告中，一般公共预算年终结余资金为14629万元，其中</w:t>
      </w:r>
      <w:r>
        <w:rPr>
          <w:rFonts w:hint="eastAsia" w:ascii="仿宋_GB2312" w:hAnsi="仿宋" w:eastAsia="仿宋_GB2312" w:cs="仿宋"/>
          <w:sz w:val="32"/>
          <w:szCs w:val="32"/>
        </w:rPr>
        <w:t>补充预算稳定调节基金6629</w:t>
      </w:r>
      <w:r>
        <w:rPr>
          <w:rFonts w:hint="eastAsia" w:ascii="仿宋_GB2312" w:hAnsi="仿宋" w:eastAsia="仿宋_GB2312" w:cs="仿宋"/>
          <w:sz w:val="32"/>
          <w:szCs w:val="32"/>
          <w:lang w:eastAsia="zh-CN"/>
        </w:rPr>
        <w:t>万元</w:t>
      </w:r>
      <w:r>
        <w:rPr>
          <w:rFonts w:hint="eastAsia" w:ascii="仿宋_GB2312" w:hAnsi="仿宋" w:eastAsia="仿宋_GB2312" w:cs="仿宋"/>
          <w:sz w:val="32"/>
          <w:szCs w:val="32"/>
        </w:rPr>
        <w:t>，结转下年支出8000万元。</w:t>
      </w:r>
      <w:r>
        <w:rPr>
          <w:rFonts w:hint="eastAsia" w:ascii="仿宋_GB2312" w:hAnsi="仿宋" w:eastAsia="仿宋_GB2312" w:cs="Times New Roman"/>
          <w:kern w:val="32"/>
          <w:sz w:val="32"/>
          <w:szCs w:val="32"/>
        </w:rPr>
        <w:t>省预算管理局批复的决算结算单中年终结余资金调整为16939万元，其中</w:t>
      </w:r>
      <w:r>
        <w:rPr>
          <w:rFonts w:hint="eastAsia" w:ascii="仿宋_GB2312" w:hAnsi="仿宋" w:eastAsia="仿宋_GB2312" w:cs="仿宋"/>
          <w:sz w:val="32"/>
          <w:szCs w:val="32"/>
        </w:rPr>
        <w:t>补充预算稳定调节基金9738</w:t>
      </w:r>
      <w:r>
        <w:rPr>
          <w:rFonts w:hint="eastAsia" w:ascii="仿宋_GB2312" w:hAnsi="仿宋" w:eastAsia="仿宋_GB2312" w:cs="仿宋"/>
          <w:sz w:val="32"/>
          <w:szCs w:val="32"/>
          <w:lang w:eastAsia="zh-CN"/>
        </w:rPr>
        <w:t>万元</w:t>
      </w:r>
      <w:r>
        <w:rPr>
          <w:rFonts w:hint="eastAsia" w:ascii="仿宋_GB2312" w:hAnsi="仿宋" w:eastAsia="仿宋_GB2312" w:cs="仿宋"/>
          <w:sz w:val="32"/>
          <w:szCs w:val="32"/>
        </w:rPr>
        <w:t>，结转下年支出7201万元。</w:t>
      </w:r>
      <w:r>
        <w:rPr>
          <w:rFonts w:hint="eastAsia" w:ascii="仿宋_GB2312" w:eastAsia="仿宋_GB2312"/>
          <w:kern w:val="32"/>
          <w:sz w:val="32"/>
          <w:szCs w:val="32"/>
        </w:rPr>
        <w:t xml:space="preserve">四是关于超收收入。2018年一般公共预算超收2100万元，按规定全部补充预算稳定调节基金。政府性基金超收14068万元，当年支出减少7323万元，调入一般公共预算资金由14000万元调整为33000万元，结转下年使用2391万元。五是关于预算周转金。20178年底预算周转金与上年底持平，仍为468万元。六是关于预算稳定调节基金。2017 年决算后预算稳定调节基金3770万元，2018 年决算调入一般预算3770万元，2018年补充预算稳定调节基金9738万元。七是关于“三公”经费。2017年“三公”经费一般公共预算支出合计246.6万元，比预算少81.4万元。八是关于权责发生制列支情况。按照 </w:t>
      </w:r>
      <w:r>
        <w:rPr>
          <w:rFonts w:hint="default" w:ascii="仿宋_GB2312" w:eastAsia="仿宋_GB2312"/>
          <w:kern w:val="32"/>
          <w:sz w:val="32"/>
          <w:szCs w:val="32"/>
          <w:lang w:val="en-US"/>
        </w:rPr>
        <w:t>《中华人民共和国预算法》</w:t>
      </w:r>
      <w:r>
        <w:rPr>
          <w:rFonts w:hint="eastAsia" w:ascii="仿宋_GB2312" w:eastAsia="仿宋_GB2312"/>
          <w:kern w:val="32"/>
          <w:sz w:val="32"/>
          <w:szCs w:val="32"/>
        </w:rPr>
        <w:t>和省政府有关规定，2018年一般公共预算和政府性基金预算使用权责发生制列支61276万元，全部为国库集中支付结余。</w:t>
      </w:r>
    </w:p>
    <w:p>
      <w:pPr>
        <w:adjustRightInd w:val="0"/>
        <w:spacing w:line="560" w:lineRule="exact"/>
        <w:ind w:firstLine="640" w:firstLineChars="200"/>
        <w:rPr>
          <w:rFonts w:ascii="黑体" w:hAnsi="黑体" w:eastAsia="黑体" w:cs="宋体"/>
          <w:kern w:val="32"/>
          <w:sz w:val="32"/>
          <w:szCs w:val="32"/>
        </w:rPr>
      </w:pPr>
      <w:r>
        <w:rPr>
          <w:rFonts w:hint="eastAsia" w:ascii="黑体" w:hAnsi="黑体" w:eastAsia="黑体" w:cs="宋体"/>
          <w:kern w:val="32"/>
          <w:sz w:val="32"/>
          <w:szCs w:val="32"/>
        </w:rPr>
        <w:t>五、2018年预算执行效果和落实县人大决议情况</w:t>
      </w:r>
    </w:p>
    <w:p>
      <w:pPr>
        <w:spacing w:line="52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过去的一年，县政府及财政部门认真落实县十六届人大三次会议有关决议和县人大常委会要求，围绕“讲政治、求绩效、防风险、促提升”的财政工作总基调，各项工作取得新进展。</w:t>
      </w:r>
    </w:p>
    <w:p>
      <w:pPr>
        <w:spacing w:line="520" w:lineRule="exact"/>
        <w:ind w:firstLine="643" w:firstLineChars="200"/>
        <w:rPr>
          <w:rFonts w:ascii="仿宋_GB2312" w:hAnsi="仿宋" w:eastAsia="仿宋_GB2312" w:cs="仿宋"/>
          <w:sz w:val="32"/>
          <w:szCs w:val="32"/>
        </w:rPr>
      </w:pPr>
      <w:r>
        <w:rPr>
          <w:rFonts w:hint="eastAsia" w:ascii="仿宋_GB2312" w:hAnsi="仿宋" w:eastAsia="仿宋_GB2312" w:cs="仿宋"/>
          <w:b/>
          <w:sz w:val="32"/>
          <w:szCs w:val="32"/>
        </w:rPr>
        <w:t>---助推发展亮点纷呈。</w:t>
      </w:r>
      <w:r>
        <w:rPr>
          <w:rFonts w:hint="eastAsia" w:ascii="仿宋_GB2312" w:hAnsi="仿宋" w:eastAsia="仿宋_GB2312" w:cs="仿宋"/>
          <w:sz w:val="32"/>
          <w:szCs w:val="32"/>
        </w:rPr>
        <w:t>一是全面落实减税清费政策，主动公开减税降费清单，落实增值税简并降低税率等一系列减税政策，全年减收税款1.17亿元，其中改善民生0.3亿元，促进小微企业发展0.4亿元；全面清理行政事业性收费，全年行政事业性收费较上年减少367万元，有效降低了企业制度性成本。二是全力支持园区建设，促进皮革、装饰材料等传统产业转型升级。一年来，园区投入6200万元，有效提升了园区功能，为全县经济发展充实了动能。三是加大城乡基础设施建设力度，对花园路、无极路、千山路三条主干道进行了提升改造，完成了中昌路东延、千山路西延以及正无路至史村、西牛至马庄等农村路网改造重大公共基础设施建设项目，客运站、文化综合展馆、综合服务楼、木刀沟滨河公园等项目正在顺利建设中。四是支持招商引资工作，筹措资金支持上海国际皮革展等多项招商引资活动。</w:t>
      </w:r>
    </w:p>
    <w:p>
      <w:pPr>
        <w:spacing w:line="520" w:lineRule="exact"/>
        <w:ind w:firstLine="643" w:firstLineChars="200"/>
        <w:rPr>
          <w:rFonts w:ascii="仿宋_GB2312" w:hAnsi="仿宋" w:eastAsia="仿宋_GB2312" w:cs="仿宋"/>
          <w:sz w:val="32"/>
          <w:szCs w:val="32"/>
        </w:rPr>
      </w:pPr>
      <w:r>
        <w:rPr>
          <w:rFonts w:hint="eastAsia" w:ascii="仿宋_GB2312" w:hAnsi="仿宋" w:eastAsia="仿宋_GB2312" w:cs="仿宋"/>
          <w:b/>
          <w:sz w:val="32"/>
          <w:szCs w:val="32"/>
        </w:rPr>
        <w:t>----资金筹措成效显著。</w:t>
      </w:r>
      <w:r>
        <w:rPr>
          <w:rFonts w:hint="eastAsia" w:ascii="仿宋_GB2312" w:hAnsi="仿宋" w:eastAsia="仿宋_GB2312" w:cs="仿宋"/>
          <w:sz w:val="32"/>
          <w:szCs w:val="32"/>
        </w:rPr>
        <w:t>一是扎实开展“双问计”活动，积极争取上级资金，全年上级共下达我县一般公共预算转移支付资金158400万元，比上年增加31838万元，增长28.5%，其中财力性转移支付资金24920万元，比上年增加3448万元，在全市名列前茅。争取政府债券资金3.2亿元，比上年增加1.3亿元。二是积极引导社会资金投入，规范推进PPP运作，筹措资金9.4亿元推进污水处理一体化和中医院整体搬迁两项工程。</w:t>
      </w:r>
    </w:p>
    <w:p>
      <w:pPr>
        <w:spacing w:line="520" w:lineRule="exact"/>
        <w:ind w:firstLine="643" w:firstLineChars="200"/>
        <w:rPr>
          <w:rFonts w:ascii="仿宋_GB2312" w:hAnsi="仿宋" w:eastAsia="仿宋_GB2312" w:cs="仿宋"/>
          <w:sz w:val="32"/>
          <w:szCs w:val="32"/>
        </w:rPr>
      </w:pPr>
      <w:r>
        <w:rPr>
          <w:rFonts w:hint="eastAsia" w:ascii="仿宋_GB2312" w:hAnsi="仿宋" w:eastAsia="仿宋_GB2312" w:cs="仿宋"/>
          <w:b/>
          <w:sz w:val="32"/>
          <w:szCs w:val="32"/>
        </w:rPr>
        <w:t>---民生福祉保障有力。</w:t>
      </w:r>
      <w:r>
        <w:rPr>
          <w:rFonts w:hint="eastAsia" w:ascii="仿宋_GB2312" w:hAnsi="仿宋" w:eastAsia="仿宋_GB2312" w:cs="仿宋"/>
          <w:sz w:val="32"/>
          <w:szCs w:val="32"/>
        </w:rPr>
        <w:t>全县民生支出234329万元，占当年一般公共预算支出的80.1%，比上年增长27.9%。一是全力支持</w:t>
      </w:r>
      <w:r>
        <w:rPr>
          <w:rFonts w:hint="eastAsia" w:ascii="仿宋_GB2312" w:hAnsi="仿宋" w:eastAsia="仿宋_GB2312" w:cs="仿宋"/>
          <w:sz w:val="32"/>
          <w:szCs w:val="32"/>
          <w:lang w:eastAsia="zh-CN"/>
        </w:rPr>
        <w:t>脱贫攻坚</w:t>
      </w:r>
      <w:r>
        <w:rPr>
          <w:rFonts w:hint="eastAsia" w:ascii="仿宋_GB2312" w:hAnsi="仿宋" w:eastAsia="仿宋_GB2312" w:cs="仿宋"/>
          <w:sz w:val="32"/>
          <w:szCs w:val="32"/>
        </w:rPr>
        <w:t>，扶贫资金达到3115万元，比上年增加2732万元，增长7.1倍，全县5254名贫困人口实现稳定脱贫。二是稳步提高社会保障水平，城乡低保、养老、医疗、基本公共卫生服务等提标政策全部兑现，有效保障军队退役人员政策落实，全年共拨付各种补贴资金73695万元。三是着力提高公教人员工资福利待遇，精神文明奖励由年人均6000元提高到8000元。取暖补贴由年人均2000元提高到政策标准，人均增加一倍多。新出台物业补贴，努力减轻居住成本。四是积极促进社会事业发展，统一城乡义务教育公用经费标准，统筹资金6800万元，为144所中小学校改善了办学条件。落实国家贫困生资助政策，全年发放各种补贴964万元，惠及学生7700名。五是巩固公立医院改革政府投入绩效补偿机制，所有公立医院取消药品加成，加大财政补偿力度，努力减轻患者负担。</w:t>
      </w:r>
    </w:p>
    <w:p>
      <w:pPr>
        <w:spacing w:line="520" w:lineRule="exact"/>
        <w:ind w:firstLine="643" w:firstLineChars="200"/>
        <w:rPr>
          <w:rFonts w:ascii="仿宋_GB2312" w:hAnsi="仿宋" w:eastAsia="仿宋_GB2312" w:cs="仿宋"/>
          <w:sz w:val="32"/>
          <w:szCs w:val="32"/>
        </w:rPr>
      </w:pPr>
      <w:r>
        <w:rPr>
          <w:rFonts w:hint="eastAsia" w:ascii="仿宋_GB2312" w:hAnsi="仿宋" w:eastAsia="仿宋_GB2312" w:cs="仿宋"/>
          <w:b/>
          <w:sz w:val="32"/>
          <w:szCs w:val="32"/>
        </w:rPr>
        <w:t>---生态治理持续加力。</w:t>
      </w:r>
      <w:r>
        <w:rPr>
          <w:rFonts w:hint="eastAsia" w:ascii="仿宋_GB2312" w:hAnsi="仿宋" w:eastAsia="仿宋_GB2312" w:cs="仿宋"/>
          <w:sz w:val="32"/>
          <w:szCs w:val="32"/>
        </w:rPr>
        <w:t>一是推进大气污染治理，全年大气污染治理投入37647万元，比上年增加35586万元，加快推进“双代”工程，新增气代煤居民4.4万户，电代煤1.4万户，有效保障了群众取暖过冬和基本生活需求。二是圆满完成地下水超采治理，进一步推进用水管水机制改革，加快重点工程项目实施，累计形成压采能力478.58万立方米。三是积极推进生态环境综合治理，加快推进滹沱河湿地建设和老磁河综合整治，加大植树绿化工作，全年新增绿地14000亩。</w:t>
      </w:r>
    </w:p>
    <w:p>
      <w:pPr>
        <w:spacing w:line="520" w:lineRule="exact"/>
        <w:ind w:firstLine="643" w:firstLineChars="200"/>
        <w:rPr>
          <w:rFonts w:ascii="仿宋_GB2312" w:hAnsi="仿宋" w:eastAsia="仿宋_GB2312" w:cs="仿宋"/>
          <w:sz w:val="32"/>
          <w:szCs w:val="32"/>
        </w:rPr>
      </w:pPr>
      <w:r>
        <w:rPr>
          <w:rFonts w:hint="eastAsia" w:ascii="仿宋_GB2312" w:hAnsi="仿宋" w:eastAsia="仿宋_GB2312" w:cs="仿宋"/>
          <w:b/>
          <w:sz w:val="32"/>
          <w:szCs w:val="32"/>
        </w:rPr>
        <w:t>---财税改革纵深推进。</w:t>
      </w:r>
      <w:r>
        <w:rPr>
          <w:rFonts w:hint="eastAsia" w:ascii="仿宋_GB2312" w:hAnsi="仿宋" w:eastAsia="仿宋_GB2312" w:cs="仿宋"/>
          <w:sz w:val="32"/>
          <w:szCs w:val="32"/>
        </w:rPr>
        <w:t>一是深化预算改革，大力推进绩效预算管理改革，积极对标先进，优化职责活动和绩效目标指标体系，实现了所有项目支出编制绩效预算的目标。二是加大预决算公开力度，将乡镇财政纳入公开范围，使预决算公开内容更加丰富，格式更加规范，时间更加及时，并顺利通过了省厅验收。三是进一步完善内部管控机制，改善资金拨付程序，资金流动更加高效便捷，各项内部流程更加科学规范。四是推进财政评审改革，由直接评审转向复核评审，提高了审核的力度。五是改进乡级资金拨付办法，加快了乡级资金的拨付进度，努力保障乡镇政府履职的基本资金需求。六是继续强化财政监督工作，先后开展了扶贫资金、预决算公开、私设“小金库”、违规发放津补贴等专项监督检查，有效规范了收支行为，维护了财经秩序。</w:t>
      </w:r>
    </w:p>
    <w:p>
      <w:pPr>
        <w:spacing w:line="520" w:lineRule="exact"/>
        <w:ind w:firstLine="643" w:firstLineChars="200"/>
        <w:rPr>
          <w:rFonts w:ascii="仿宋_GB2312" w:hAnsi="仿宋" w:eastAsia="仿宋_GB2312" w:cs="仿宋"/>
          <w:sz w:val="32"/>
          <w:szCs w:val="32"/>
        </w:rPr>
      </w:pPr>
      <w:r>
        <w:rPr>
          <w:rFonts w:hint="eastAsia" w:ascii="仿宋_GB2312" w:hAnsi="仿宋" w:eastAsia="仿宋_GB2312" w:cs="仿宋"/>
          <w:b/>
          <w:sz w:val="32"/>
          <w:szCs w:val="32"/>
        </w:rPr>
        <w:t>----风险防控稳妥有效。</w:t>
      </w:r>
      <w:r>
        <w:rPr>
          <w:rFonts w:hint="eastAsia" w:ascii="仿宋_GB2312" w:hAnsi="仿宋" w:eastAsia="仿宋_GB2312" w:cs="仿宋"/>
          <w:sz w:val="32"/>
          <w:szCs w:val="32"/>
        </w:rPr>
        <w:t>一是完善政府债务管控机制，为切实防范和化解财政金融风险，维护经济安全和社会稳定，牢牢守住不发生区域性风险的底线，成立了政府债务管理领导组织，制定了《无极县政府性债务风险应急处置预案》。二是扎实推进分类处置存量债务，将全县非债券债务全部予以置换。三是严格执行政府债务限额管理，规范融资行为，努力控制增量，积极消化存量，全县政府债务风险可控。四是积极配合开展政府隐性债务专项审计工作，按照实事求是的原则，厘清全县隐性债务规模、资金来源和用途等信息，并按上级要求制定了偿债计划。</w:t>
      </w:r>
    </w:p>
    <w:p>
      <w:pPr>
        <w:spacing w:line="520" w:lineRule="exact"/>
        <w:ind w:firstLine="800" w:firstLineChars="250"/>
        <w:rPr>
          <w:rFonts w:ascii="仿宋_GB2312" w:hAnsi="仿宋" w:eastAsia="仿宋_GB2312" w:cs="仿宋"/>
          <w:sz w:val="32"/>
          <w:szCs w:val="32"/>
        </w:rPr>
      </w:pPr>
      <w:r>
        <w:rPr>
          <w:rFonts w:hint="eastAsia" w:ascii="仿宋_GB2312" w:hAnsi="仿宋" w:eastAsia="仿宋_GB2312" w:cs="仿宋"/>
          <w:sz w:val="32"/>
          <w:szCs w:val="32"/>
        </w:rPr>
        <w:t>从决算结果看，2018年预算执行情况总体较好，但也存在一些亟待解决的问题：一是收入增长基础不牢固，缺乏推动财政增收的大项目。二是有的专项资金由于前期准备不充分，导致支出较慢，进度不均衡。三是由于财力基础薄弱，年初预算打得很紧，预算执行中出现许多刚性增支，预算平衡的难度加大。四是历史遗留的暂付款数额较大，资金调度异常困难，一定程度上影响了预算正常执行。五是消化政府隐性债务，加剧了财政运行风险。六是违反财经纪律的现象时有发生，部门预算管理主体责任意识还需增强。</w:t>
      </w:r>
    </w:p>
    <w:p>
      <w:pPr>
        <w:spacing w:line="520" w:lineRule="exact"/>
        <w:ind w:firstLine="800" w:firstLineChars="250"/>
        <w:rPr>
          <w:rFonts w:ascii="仿宋_GB2312" w:hAnsi="仿宋" w:eastAsia="仿宋_GB2312" w:cs="仿宋"/>
          <w:sz w:val="32"/>
          <w:szCs w:val="32"/>
        </w:rPr>
      </w:pPr>
      <w:r>
        <w:rPr>
          <w:rFonts w:hint="eastAsia" w:ascii="仿宋_GB2312" w:hAnsi="仿宋" w:eastAsia="仿宋_GB2312" w:cs="仿宋"/>
          <w:sz w:val="32"/>
          <w:szCs w:val="32"/>
        </w:rPr>
        <w:t>针对这些问题和不足，县政府高度重视，要求各有关部门坚持问题导向，采取有力措施，努力加以解决。一是依法加强收入征管，增强组织收入工作的前瞻性，同时积极应对减税降费等因素影响，开源节流，确保财政收支平衡。二是建立健全预算绩效管理，加快建成全方位、全过程、全覆盖的预算绩效体系，健全绩效激励约束机制，提高各级各部门的绩效意识。三是改进预算编制方式，完善基本支出和项目支出标准体系建设，扩大绩效目标执行监控和评价范围，强化评价结果公开应用。四是落实人大预算联网监控机制，发挥监控威慑作用，通过建立倒逼机制，不断提升财政管理的科学化精细化水平。</w:t>
      </w:r>
    </w:p>
    <w:p>
      <w:pPr>
        <w:spacing w:line="520" w:lineRule="exact"/>
        <w:ind w:firstLine="800" w:firstLineChars="250"/>
        <w:rPr>
          <w:rFonts w:ascii="仿宋_GB2312" w:hAnsi="仿宋" w:eastAsia="仿宋_GB2312" w:cs="仿宋"/>
          <w:sz w:val="32"/>
          <w:szCs w:val="32"/>
        </w:rPr>
      </w:pPr>
      <w:r>
        <w:rPr>
          <w:rFonts w:hint="eastAsia" w:ascii="仿宋_GB2312" w:hAnsi="仿宋" w:eastAsia="仿宋_GB2312" w:cs="仿宋"/>
          <w:sz w:val="32"/>
          <w:szCs w:val="32"/>
        </w:rPr>
        <w:t>以上报告，请予审议。</w:t>
      </w:r>
    </w:p>
    <w:p>
      <w:pPr>
        <w:adjustRightInd w:val="0"/>
        <w:snapToGrid w:val="0"/>
        <w:spacing w:line="600" w:lineRule="exact"/>
        <w:ind w:firstLine="320" w:firstLineChars="100"/>
        <w:rPr>
          <w:rFonts w:ascii="楷体_GB2312" w:hAnsi="楷体_GB2312" w:eastAsia="楷体_GB2312" w:cs="楷体_GB2312"/>
          <w:sz w:val="32"/>
          <w:szCs w:val="32"/>
        </w:rPr>
      </w:pPr>
      <w:r>
        <w:rPr>
          <w:rFonts w:hint="eastAsia" w:ascii="楷体_GB2312" w:hAnsi="楷体_GB2312" w:eastAsia="楷体_GB2312" w:cs="楷体_GB2312"/>
          <w:sz w:val="32"/>
          <w:szCs w:val="32"/>
        </w:rPr>
        <w:t>附表：1、2017年度无极县一般公共预算收入决算表</w:t>
      </w:r>
    </w:p>
    <w:p>
      <w:pPr>
        <w:adjustRightInd w:val="0"/>
        <w:snapToGrid w:val="0"/>
        <w:spacing w:line="600" w:lineRule="exact"/>
        <w:ind w:firstLine="1280" w:firstLineChars="400"/>
        <w:rPr>
          <w:rFonts w:ascii="楷体_GB2312" w:hAnsi="楷体_GB2312" w:eastAsia="楷体_GB2312" w:cs="楷体_GB2312"/>
          <w:sz w:val="32"/>
          <w:szCs w:val="32"/>
        </w:rPr>
      </w:pPr>
      <w:r>
        <w:rPr>
          <w:rFonts w:hint="eastAsia" w:ascii="楷体_GB2312" w:hAnsi="楷体_GB2312" w:eastAsia="楷体_GB2312" w:cs="楷体_GB2312"/>
          <w:sz w:val="32"/>
          <w:szCs w:val="32"/>
        </w:rPr>
        <w:t>2、2017年度无极县一般公共预算支出决算表</w:t>
      </w:r>
    </w:p>
    <w:p>
      <w:pPr>
        <w:adjustRightInd w:val="0"/>
        <w:snapToGrid w:val="0"/>
        <w:spacing w:line="600" w:lineRule="exact"/>
        <w:ind w:firstLine="1280" w:firstLineChars="400"/>
        <w:rPr>
          <w:rFonts w:ascii="楷体_GB2312" w:hAnsi="楷体_GB2312" w:eastAsia="楷体_GB2312" w:cs="楷体_GB2312"/>
          <w:sz w:val="32"/>
          <w:szCs w:val="32"/>
        </w:rPr>
      </w:pPr>
      <w:r>
        <w:rPr>
          <w:rFonts w:hint="eastAsia" w:ascii="楷体_GB2312" w:hAnsi="楷体_GB2312" w:eastAsia="楷体_GB2312" w:cs="楷体_GB2312"/>
          <w:sz w:val="32"/>
          <w:szCs w:val="32"/>
        </w:rPr>
        <w:t>3、2017年度无极县一般公共预算收支平衡表</w:t>
      </w:r>
    </w:p>
    <w:p>
      <w:pPr>
        <w:adjustRightInd w:val="0"/>
        <w:snapToGrid w:val="0"/>
        <w:spacing w:line="600" w:lineRule="exact"/>
        <w:ind w:firstLine="1280" w:firstLineChars="400"/>
        <w:rPr>
          <w:rFonts w:ascii="楷体_GB2312" w:hAnsi="楷体_GB2312" w:eastAsia="楷体_GB2312" w:cs="楷体_GB2312"/>
          <w:sz w:val="32"/>
          <w:szCs w:val="32"/>
        </w:rPr>
      </w:pPr>
      <w:r>
        <w:rPr>
          <w:rFonts w:hint="eastAsia" w:ascii="楷体_GB2312" w:hAnsi="楷体_GB2312" w:eastAsia="楷体_GB2312" w:cs="楷体_GB2312"/>
          <w:sz w:val="32"/>
          <w:szCs w:val="32"/>
        </w:rPr>
        <w:t>4、2017年无极县一般公共预算支出预算变动及结余、结转情况表</w:t>
      </w:r>
    </w:p>
    <w:p>
      <w:pPr>
        <w:adjustRightInd w:val="0"/>
        <w:snapToGrid w:val="0"/>
        <w:spacing w:line="600" w:lineRule="exact"/>
        <w:ind w:firstLine="1280" w:firstLineChars="400"/>
        <w:rPr>
          <w:rFonts w:ascii="楷体_GB2312" w:hAnsi="楷体_GB2312" w:eastAsia="楷体_GB2312" w:cs="楷体_GB2312"/>
          <w:sz w:val="32"/>
          <w:szCs w:val="32"/>
        </w:rPr>
      </w:pPr>
      <w:r>
        <w:rPr>
          <w:rFonts w:hint="eastAsia" w:ascii="楷体_GB2312" w:hAnsi="楷体_GB2312" w:eastAsia="楷体_GB2312" w:cs="楷体_GB2312"/>
          <w:sz w:val="32"/>
          <w:szCs w:val="32"/>
        </w:rPr>
        <w:t>5、2017年无极县政府性基金收支决算总表</w:t>
      </w:r>
    </w:p>
    <w:p>
      <w:pPr>
        <w:adjustRightInd w:val="0"/>
        <w:snapToGrid w:val="0"/>
        <w:spacing w:line="600" w:lineRule="exact"/>
        <w:ind w:firstLine="1280" w:firstLineChars="400"/>
        <w:rPr>
          <w:rFonts w:ascii="楷体_GB2312" w:hAnsi="楷体_GB2312" w:eastAsia="楷体_GB2312" w:cs="楷体_GB2312"/>
          <w:sz w:val="32"/>
          <w:szCs w:val="32"/>
        </w:rPr>
      </w:pPr>
      <w:r>
        <w:rPr>
          <w:rFonts w:hint="eastAsia" w:ascii="楷体_GB2312" w:hAnsi="楷体_GB2312" w:eastAsia="楷体_GB2312" w:cs="楷体_GB2312"/>
          <w:sz w:val="32"/>
          <w:szCs w:val="32"/>
        </w:rPr>
        <w:t>6、2017年无极县社会保险基金收支情况表</w:t>
      </w:r>
    </w:p>
    <w:tbl>
      <w:tblPr>
        <w:tblStyle w:val="6"/>
        <w:tblW w:w="8520" w:type="dxa"/>
        <w:tblInd w:w="93" w:type="dxa"/>
        <w:tblLayout w:type="autofit"/>
        <w:tblCellMar>
          <w:top w:w="0" w:type="dxa"/>
          <w:left w:w="108" w:type="dxa"/>
          <w:bottom w:w="0" w:type="dxa"/>
          <w:right w:w="108" w:type="dxa"/>
        </w:tblCellMar>
      </w:tblPr>
      <w:tblGrid>
        <w:gridCol w:w="2992"/>
        <w:gridCol w:w="1748"/>
        <w:gridCol w:w="1654"/>
        <w:gridCol w:w="186"/>
        <w:gridCol w:w="1940"/>
      </w:tblGrid>
      <w:tr>
        <w:tblPrEx>
          <w:tblCellMar>
            <w:top w:w="0" w:type="dxa"/>
            <w:left w:w="108" w:type="dxa"/>
            <w:bottom w:w="0" w:type="dxa"/>
            <w:right w:w="108" w:type="dxa"/>
          </w:tblCellMar>
        </w:tblPrEx>
        <w:trPr>
          <w:trHeight w:val="285" w:hRule="atLeast"/>
        </w:trPr>
        <w:tc>
          <w:tcPr>
            <w:tcW w:w="4740" w:type="dxa"/>
            <w:gridSpan w:val="2"/>
            <w:tcBorders>
              <w:top w:val="nil"/>
              <w:left w:val="nil"/>
              <w:bottom w:val="nil"/>
              <w:right w:val="nil"/>
            </w:tcBorders>
            <w:shd w:val="clear" w:color="auto" w:fill="auto"/>
            <w:noWrap/>
            <w:vAlign w:val="bottom"/>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附表一</w:t>
            </w:r>
          </w:p>
          <w:p>
            <w:pPr>
              <w:widowControl/>
              <w:jc w:val="left"/>
              <w:rPr>
                <w:rFonts w:ascii="仿宋_GB2312" w:hAnsi="宋体" w:eastAsia="仿宋_GB2312" w:cs="宋体"/>
                <w:kern w:val="0"/>
                <w:sz w:val="24"/>
                <w:szCs w:val="24"/>
              </w:rPr>
            </w:pPr>
          </w:p>
        </w:tc>
        <w:tc>
          <w:tcPr>
            <w:tcW w:w="1840" w:type="dxa"/>
            <w:gridSpan w:val="2"/>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c>
          <w:tcPr>
            <w:tcW w:w="1940" w:type="dxa"/>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r>
      <w:tr>
        <w:tblPrEx>
          <w:tblCellMar>
            <w:top w:w="0" w:type="dxa"/>
            <w:left w:w="108" w:type="dxa"/>
            <w:bottom w:w="0" w:type="dxa"/>
            <w:right w:w="108" w:type="dxa"/>
          </w:tblCellMar>
        </w:tblPrEx>
        <w:trPr>
          <w:trHeight w:val="450" w:hRule="atLeast"/>
        </w:trPr>
        <w:tc>
          <w:tcPr>
            <w:tcW w:w="8520" w:type="dxa"/>
            <w:gridSpan w:val="5"/>
            <w:tcBorders>
              <w:top w:val="nil"/>
              <w:left w:val="nil"/>
              <w:bottom w:val="nil"/>
              <w:right w:val="nil"/>
            </w:tcBorders>
            <w:shd w:val="clear" w:color="auto" w:fill="auto"/>
            <w:noWrap/>
            <w:vAlign w:val="center"/>
          </w:tcPr>
          <w:p>
            <w:pPr>
              <w:widowControl/>
              <w:jc w:val="center"/>
              <w:rPr>
                <w:rFonts w:ascii="宋体" w:hAnsi="宋体" w:eastAsia="宋体" w:cs="宋体"/>
                <w:kern w:val="0"/>
                <w:sz w:val="36"/>
                <w:szCs w:val="36"/>
              </w:rPr>
            </w:pPr>
            <w:bookmarkStart w:id="0" w:name="OLE_LINK2"/>
            <w:bookmarkStart w:id="1" w:name="OLE_LINK1"/>
            <w:r>
              <w:rPr>
                <w:rFonts w:hint="eastAsia" w:ascii="宋体" w:hAnsi="宋体" w:eastAsia="宋体" w:cs="宋体"/>
                <w:kern w:val="0"/>
                <w:sz w:val="36"/>
                <w:szCs w:val="36"/>
              </w:rPr>
              <w:t>2017年度无极县一般公共预算收入决算表</w:t>
            </w:r>
          </w:p>
        </w:tc>
      </w:tr>
      <w:tr>
        <w:tblPrEx>
          <w:tblCellMar>
            <w:top w:w="0" w:type="dxa"/>
            <w:left w:w="108" w:type="dxa"/>
            <w:bottom w:w="0" w:type="dxa"/>
            <w:right w:w="108" w:type="dxa"/>
          </w:tblCellMar>
        </w:tblPrEx>
        <w:trPr>
          <w:trHeight w:val="465" w:hRule="atLeast"/>
        </w:trPr>
        <w:tc>
          <w:tcPr>
            <w:tcW w:w="2992" w:type="dxa"/>
            <w:tcBorders>
              <w:top w:val="nil"/>
              <w:left w:val="nil"/>
              <w:bottom w:val="single" w:color="auto" w:sz="4" w:space="0"/>
              <w:right w:val="nil"/>
            </w:tcBorders>
            <w:shd w:val="clear" w:color="auto" w:fill="auto"/>
            <w:noWrap/>
            <w:vAlign w:val="bottom"/>
          </w:tcPr>
          <w:p>
            <w:pPr>
              <w:widowControl/>
              <w:jc w:val="left"/>
              <w:rPr>
                <w:rFonts w:ascii="宋体" w:hAnsi="宋体" w:eastAsia="宋体" w:cs="宋体"/>
                <w:kern w:val="0"/>
                <w:sz w:val="24"/>
                <w:szCs w:val="24"/>
              </w:rPr>
            </w:pPr>
            <w:r>
              <w:rPr>
                <w:rFonts w:hint="eastAsia" w:ascii="宋体" w:hAnsi="宋体" w:eastAsia="宋体" w:cs="宋体"/>
                <w:kern w:val="0"/>
                <w:sz w:val="24"/>
                <w:szCs w:val="24"/>
              </w:rPr>
              <w:t>填报单位：无极县财政局</w:t>
            </w:r>
          </w:p>
        </w:tc>
        <w:tc>
          <w:tcPr>
            <w:tcW w:w="1748" w:type="dxa"/>
            <w:tcBorders>
              <w:top w:val="nil"/>
              <w:left w:val="nil"/>
              <w:bottom w:val="single" w:color="auto" w:sz="4" w:space="0"/>
              <w:right w:val="nil"/>
            </w:tcBorders>
            <w:shd w:val="clear" w:color="auto" w:fill="auto"/>
            <w:noWrap/>
            <w:vAlign w:val="bottom"/>
          </w:tcPr>
          <w:p>
            <w:pPr>
              <w:widowControl/>
              <w:jc w:val="left"/>
              <w:rPr>
                <w:rFonts w:ascii="宋体" w:hAnsi="宋体" w:eastAsia="宋体" w:cs="宋体"/>
                <w:kern w:val="0"/>
                <w:sz w:val="24"/>
                <w:szCs w:val="24"/>
              </w:rPr>
            </w:pPr>
          </w:p>
        </w:tc>
        <w:tc>
          <w:tcPr>
            <w:tcW w:w="1654" w:type="dxa"/>
            <w:tcBorders>
              <w:top w:val="nil"/>
              <w:left w:val="nil"/>
              <w:bottom w:val="single" w:color="auto" w:sz="4" w:space="0"/>
              <w:right w:val="nil"/>
            </w:tcBorders>
            <w:shd w:val="clear" w:color="auto" w:fill="auto"/>
            <w:noWrap/>
            <w:vAlign w:val="bottom"/>
          </w:tcPr>
          <w:p>
            <w:pPr>
              <w:widowControl/>
              <w:jc w:val="left"/>
              <w:rPr>
                <w:rFonts w:ascii="宋体" w:hAnsi="宋体" w:eastAsia="宋体" w:cs="宋体"/>
                <w:kern w:val="0"/>
                <w:sz w:val="24"/>
                <w:szCs w:val="24"/>
              </w:rPr>
            </w:pPr>
          </w:p>
        </w:tc>
        <w:tc>
          <w:tcPr>
            <w:tcW w:w="2126" w:type="dxa"/>
            <w:gridSpan w:val="2"/>
            <w:tcBorders>
              <w:top w:val="nil"/>
              <w:left w:val="nil"/>
              <w:bottom w:val="single" w:color="auto" w:sz="4" w:space="0"/>
              <w:right w:val="nil"/>
            </w:tcBorders>
            <w:shd w:val="clear" w:color="auto" w:fill="auto"/>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单位:万元</w:t>
            </w:r>
          </w:p>
        </w:tc>
      </w:tr>
      <w:tr>
        <w:tblPrEx>
          <w:tblCellMar>
            <w:top w:w="0" w:type="dxa"/>
            <w:left w:w="108" w:type="dxa"/>
            <w:bottom w:w="0" w:type="dxa"/>
            <w:right w:w="108" w:type="dxa"/>
          </w:tblCellMar>
        </w:tblPrEx>
        <w:trPr>
          <w:trHeight w:val="397" w:hRule="exact"/>
        </w:trPr>
        <w:tc>
          <w:tcPr>
            <w:tcW w:w="2992" w:type="dxa"/>
            <w:tcBorders>
              <w:top w:val="single" w:color="auto" w:sz="4" w:space="0"/>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eastAsia="宋体" w:cs="宋体"/>
                <w:bCs/>
                <w:kern w:val="0"/>
                <w:sz w:val="22"/>
              </w:rPr>
            </w:pPr>
            <w:r>
              <w:rPr>
                <w:rFonts w:hint="eastAsia" w:ascii="宋体" w:hAnsi="宋体" w:eastAsia="宋体" w:cs="宋体"/>
                <w:bCs/>
                <w:kern w:val="0"/>
                <w:sz w:val="22"/>
              </w:rPr>
              <w:t>预算科目</w:t>
            </w:r>
          </w:p>
        </w:tc>
        <w:tc>
          <w:tcPr>
            <w:tcW w:w="1748"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bCs/>
                <w:kern w:val="0"/>
                <w:sz w:val="22"/>
              </w:rPr>
            </w:pPr>
            <w:r>
              <w:rPr>
                <w:rFonts w:hint="eastAsia" w:ascii="宋体" w:hAnsi="宋体" w:eastAsia="宋体" w:cs="宋体"/>
                <w:bCs/>
                <w:kern w:val="0"/>
                <w:sz w:val="22"/>
              </w:rPr>
              <w:t>预算数</w:t>
            </w:r>
          </w:p>
        </w:tc>
        <w:tc>
          <w:tcPr>
            <w:tcW w:w="1654"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bCs/>
                <w:kern w:val="0"/>
                <w:sz w:val="22"/>
              </w:rPr>
            </w:pPr>
            <w:r>
              <w:rPr>
                <w:rFonts w:hint="eastAsia" w:ascii="宋体" w:hAnsi="宋体" w:eastAsia="宋体" w:cs="宋体"/>
                <w:bCs/>
                <w:kern w:val="0"/>
                <w:sz w:val="22"/>
              </w:rPr>
              <w:t>决算数</w:t>
            </w:r>
          </w:p>
        </w:tc>
        <w:tc>
          <w:tcPr>
            <w:tcW w:w="2126"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bCs/>
                <w:kern w:val="0"/>
                <w:sz w:val="22"/>
              </w:rPr>
            </w:pPr>
            <w:r>
              <w:rPr>
                <w:rFonts w:hint="eastAsia" w:ascii="宋体" w:hAnsi="宋体" w:eastAsia="宋体" w:cs="宋体"/>
                <w:bCs/>
                <w:kern w:val="0"/>
                <w:sz w:val="22"/>
              </w:rPr>
              <w:t>完成预算%</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一、税收收入</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42,300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41,362</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97.8</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增值税</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16,940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14,945</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88.2</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营业税</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2,700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2,775</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102.8</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企业所得税</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460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452</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98.3</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企业所得税退税</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128</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128.0</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个人所得税</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1,400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1,558</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111.3</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资源税</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400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352</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88.0</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城市维护建设税</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500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690</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138.0</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房产税</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1,600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1,724</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107.8</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印花税</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1,400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910</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65.0</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城镇土地使用税</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3,000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2,627</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87.6</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土地增值税</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6,000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12,296</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204.9</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车船税</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7,800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2,905</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37.2</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耕地占用税</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#DIV/0!</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契税</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#DIV/0!</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烟叶税</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14,200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18,908</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133.2</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其他税收收入</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1,900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4,197</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220.9</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二、非税收入</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3,800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3,852</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101.4</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专项收入</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7,500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10,159</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135.5</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行政事业性收费收入</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#DIV/0!</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罚没收入</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1,000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579</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57.9</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国有资本经营收入</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121</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#DIV/0!</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国有资源(资产)有偿使用收入</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42,300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41,362</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97.8</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　　其他收入</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16,940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14,945</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88.2</w:t>
            </w:r>
          </w:p>
        </w:tc>
      </w:tr>
      <w:tr>
        <w:tblPrEx>
          <w:tblCellMar>
            <w:top w:w="0" w:type="dxa"/>
            <w:left w:w="108" w:type="dxa"/>
            <w:bottom w:w="0" w:type="dxa"/>
            <w:right w:w="108" w:type="dxa"/>
          </w:tblCellMar>
        </w:tblPrEx>
        <w:trPr>
          <w:trHeight w:val="397" w:hRule="exact"/>
        </w:trPr>
        <w:tc>
          <w:tcPr>
            <w:tcW w:w="2992"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bCs/>
                <w:kern w:val="0"/>
                <w:sz w:val="22"/>
              </w:rPr>
            </w:pPr>
            <w:r>
              <w:rPr>
                <w:rFonts w:hint="eastAsia" w:ascii="宋体" w:hAnsi="宋体" w:eastAsia="宋体" w:cs="宋体"/>
                <w:bCs/>
                <w:kern w:val="0"/>
                <w:sz w:val="22"/>
              </w:rPr>
              <w:t>本 年 收 入 合 计</w:t>
            </w:r>
          </w:p>
        </w:tc>
        <w:tc>
          <w:tcPr>
            <w:tcW w:w="1748"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56,500</w:t>
            </w:r>
          </w:p>
        </w:tc>
        <w:tc>
          <w:tcPr>
            <w:tcW w:w="1654" w:type="dxa"/>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60,270</w:t>
            </w:r>
          </w:p>
        </w:tc>
        <w:tc>
          <w:tcPr>
            <w:tcW w:w="2126" w:type="dxa"/>
            <w:gridSpan w:val="2"/>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106.7</w:t>
            </w:r>
          </w:p>
        </w:tc>
      </w:tr>
    </w:tbl>
    <w:p>
      <w:pPr>
        <w:adjustRightInd w:val="0"/>
        <w:snapToGrid w:val="0"/>
        <w:spacing w:line="600" w:lineRule="exact"/>
        <w:jc w:val="left"/>
        <w:rPr>
          <w:rFonts w:ascii="仿宋_GB2312" w:hAnsi="仿宋" w:eastAsia="仿宋_GB2312" w:cs="Times New Roman"/>
          <w:sz w:val="32"/>
          <w:szCs w:val="32"/>
        </w:rPr>
      </w:pPr>
    </w:p>
    <w:p>
      <w:pPr>
        <w:adjustRightInd w:val="0"/>
        <w:snapToGrid w:val="0"/>
        <w:spacing w:line="600" w:lineRule="exact"/>
        <w:jc w:val="left"/>
        <w:rPr>
          <w:rFonts w:ascii="仿宋_GB2312" w:hAnsi="仿宋" w:eastAsia="仿宋_GB2312" w:cs="Times New Roman"/>
          <w:sz w:val="32"/>
          <w:szCs w:val="32"/>
        </w:rPr>
      </w:pPr>
    </w:p>
    <w:tbl>
      <w:tblPr>
        <w:tblStyle w:val="6"/>
        <w:tblW w:w="9317" w:type="dxa"/>
        <w:tblInd w:w="5" w:type="dxa"/>
        <w:tblLayout w:type="autofit"/>
        <w:tblCellMar>
          <w:top w:w="0" w:type="dxa"/>
          <w:left w:w="108" w:type="dxa"/>
          <w:bottom w:w="0" w:type="dxa"/>
          <w:right w:w="108" w:type="dxa"/>
        </w:tblCellMar>
      </w:tblPr>
      <w:tblGrid>
        <w:gridCol w:w="4920"/>
        <w:gridCol w:w="1480"/>
        <w:gridCol w:w="1480"/>
        <w:gridCol w:w="1437"/>
      </w:tblGrid>
      <w:tr>
        <w:tblPrEx>
          <w:tblCellMar>
            <w:top w:w="0" w:type="dxa"/>
            <w:left w:w="108" w:type="dxa"/>
            <w:bottom w:w="0" w:type="dxa"/>
            <w:right w:w="108" w:type="dxa"/>
          </w:tblCellMar>
        </w:tblPrEx>
        <w:trPr>
          <w:trHeight w:val="285" w:hRule="atLeast"/>
        </w:trPr>
        <w:tc>
          <w:tcPr>
            <w:tcW w:w="4920" w:type="dxa"/>
            <w:tcBorders>
              <w:top w:val="nil"/>
              <w:left w:val="nil"/>
              <w:bottom w:val="nil"/>
              <w:right w:val="nil"/>
            </w:tcBorders>
            <w:shd w:val="clear" w:color="000000" w:fill="FFFFFF"/>
            <w:noWrap/>
            <w:vAlign w:val="bottom"/>
          </w:tcPr>
          <w:p>
            <w:pPr>
              <w:widowControl/>
              <w:jc w:val="left"/>
              <w:rPr>
                <w:rFonts w:ascii="仿宋_GB2312" w:hAnsi="宋体" w:eastAsia="仿宋_GB2312" w:cs="宋体"/>
                <w:kern w:val="0"/>
                <w:sz w:val="24"/>
                <w:szCs w:val="24"/>
              </w:rPr>
            </w:pPr>
          </w:p>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附表二</w:t>
            </w:r>
          </w:p>
        </w:tc>
        <w:tc>
          <w:tcPr>
            <w:tcW w:w="1480" w:type="dxa"/>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c>
          <w:tcPr>
            <w:tcW w:w="1480" w:type="dxa"/>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c>
          <w:tcPr>
            <w:tcW w:w="1437" w:type="dxa"/>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r>
      <w:tr>
        <w:tblPrEx>
          <w:tblCellMar>
            <w:top w:w="0" w:type="dxa"/>
            <w:left w:w="108" w:type="dxa"/>
            <w:bottom w:w="0" w:type="dxa"/>
            <w:right w:w="108" w:type="dxa"/>
          </w:tblCellMar>
        </w:tblPrEx>
        <w:trPr>
          <w:trHeight w:val="450" w:hRule="atLeast"/>
        </w:trPr>
        <w:tc>
          <w:tcPr>
            <w:tcW w:w="9317" w:type="dxa"/>
            <w:gridSpan w:val="4"/>
            <w:tcBorders>
              <w:top w:val="nil"/>
              <w:left w:val="nil"/>
              <w:bottom w:val="nil"/>
              <w:right w:val="nil"/>
            </w:tcBorders>
            <w:shd w:val="clear" w:color="auto" w:fill="auto"/>
            <w:noWrap/>
            <w:vAlign w:val="center"/>
          </w:tcPr>
          <w:p>
            <w:pPr>
              <w:widowControl/>
              <w:jc w:val="center"/>
              <w:rPr>
                <w:rFonts w:ascii="宋体" w:hAnsi="宋体" w:eastAsia="宋体" w:cs="宋体"/>
                <w:kern w:val="0"/>
                <w:sz w:val="36"/>
                <w:szCs w:val="36"/>
              </w:rPr>
            </w:pPr>
            <w:r>
              <w:rPr>
                <w:rFonts w:hint="eastAsia" w:ascii="宋体" w:hAnsi="宋体" w:eastAsia="宋体" w:cs="宋体"/>
                <w:kern w:val="0"/>
                <w:sz w:val="36"/>
                <w:szCs w:val="36"/>
              </w:rPr>
              <w:t>2017年度无极县一般公共预算支出决算表</w:t>
            </w:r>
          </w:p>
        </w:tc>
      </w:tr>
    </w:tbl>
    <w:p>
      <w:pPr>
        <w:adjustRightInd w:val="0"/>
        <w:snapToGrid w:val="0"/>
        <w:spacing w:line="600" w:lineRule="exact"/>
        <w:jc w:val="left"/>
        <w:rPr>
          <w:rFonts w:cs="Times New Roman" w:asciiTheme="minorEastAsia" w:hAnsiTheme="minorEastAsia"/>
          <w:sz w:val="24"/>
          <w:szCs w:val="24"/>
        </w:rPr>
      </w:pPr>
      <w:r>
        <w:rPr>
          <w:rFonts w:hint="eastAsia" w:cs="Times New Roman" w:asciiTheme="minorEastAsia" w:hAnsiTheme="minorEastAsia"/>
          <w:sz w:val="24"/>
          <w:szCs w:val="24"/>
        </w:rPr>
        <w:t>填报单位：无极县财政局                                       单位：万元</w:t>
      </w:r>
    </w:p>
    <w:tbl>
      <w:tblPr>
        <w:tblStyle w:val="6"/>
        <w:tblW w:w="8726" w:type="dxa"/>
        <w:tblInd w:w="93" w:type="dxa"/>
        <w:tblLayout w:type="autofit"/>
        <w:tblCellMar>
          <w:top w:w="0" w:type="dxa"/>
          <w:left w:w="108" w:type="dxa"/>
          <w:bottom w:w="0" w:type="dxa"/>
          <w:right w:w="108" w:type="dxa"/>
        </w:tblCellMar>
      </w:tblPr>
      <w:tblGrid>
        <w:gridCol w:w="3620"/>
        <w:gridCol w:w="1254"/>
        <w:gridCol w:w="1276"/>
        <w:gridCol w:w="1276"/>
        <w:gridCol w:w="1300"/>
      </w:tblGrid>
      <w:tr>
        <w:tblPrEx>
          <w:tblCellMar>
            <w:top w:w="0" w:type="dxa"/>
            <w:left w:w="108" w:type="dxa"/>
            <w:bottom w:w="0" w:type="dxa"/>
            <w:right w:w="108" w:type="dxa"/>
          </w:tblCellMar>
        </w:tblPrEx>
        <w:trPr>
          <w:trHeight w:val="375" w:hRule="atLeast"/>
        </w:trPr>
        <w:tc>
          <w:tcPr>
            <w:tcW w:w="362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cs="宋体" w:asciiTheme="minorEastAsia" w:hAnsiTheme="minorEastAsia"/>
                <w:kern w:val="0"/>
                <w:sz w:val="22"/>
              </w:rPr>
            </w:pPr>
            <w:r>
              <w:rPr>
                <w:rFonts w:hint="eastAsia" w:cs="宋体" w:asciiTheme="minorEastAsia" w:hAnsiTheme="minorEastAsia"/>
                <w:kern w:val="0"/>
                <w:sz w:val="22"/>
              </w:rPr>
              <w:t>预算科目</w:t>
            </w:r>
          </w:p>
        </w:tc>
        <w:tc>
          <w:tcPr>
            <w:tcW w:w="1254"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rFonts w:cs="宋体" w:asciiTheme="minorEastAsia" w:hAnsiTheme="minorEastAsia"/>
                <w:kern w:val="0"/>
                <w:sz w:val="22"/>
              </w:rPr>
            </w:pPr>
            <w:r>
              <w:rPr>
                <w:rFonts w:hint="eastAsia" w:cs="宋体" w:asciiTheme="minorEastAsia" w:hAnsiTheme="minorEastAsia"/>
                <w:kern w:val="0"/>
                <w:sz w:val="22"/>
              </w:rPr>
              <w:t>预算数</w:t>
            </w:r>
          </w:p>
        </w:tc>
        <w:tc>
          <w:tcPr>
            <w:tcW w:w="1276"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rFonts w:cs="宋体" w:asciiTheme="minorEastAsia" w:hAnsiTheme="minorEastAsia"/>
                <w:kern w:val="0"/>
                <w:sz w:val="22"/>
              </w:rPr>
            </w:pPr>
            <w:r>
              <w:rPr>
                <w:rFonts w:hint="eastAsia" w:cs="宋体" w:asciiTheme="minorEastAsia" w:hAnsiTheme="minorEastAsia"/>
                <w:kern w:val="0"/>
                <w:sz w:val="22"/>
              </w:rPr>
              <w:t>调整预算数</w:t>
            </w:r>
          </w:p>
        </w:tc>
        <w:tc>
          <w:tcPr>
            <w:tcW w:w="1276"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rFonts w:cs="宋体" w:asciiTheme="minorEastAsia" w:hAnsiTheme="minorEastAsia"/>
                <w:kern w:val="0"/>
                <w:sz w:val="22"/>
                <w:u w:val="single"/>
              </w:rPr>
            </w:pPr>
            <w:r>
              <w:rPr>
                <w:rFonts w:hint="eastAsia" w:cs="宋体" w:asciiTheme="minorEastAsia" w:hAnsiTheme="minorEastAsia"/>
                <w:kern w:val="0"/>
                <w:sz w:val="22"/>
              </w:rPr>
              <w:t>决算数</w:t>
            </w:r>
          </w:p>
        </w:tc>
        <w:tc>
          <w:tcPr>
            <w:tcW w:w="1300"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rFonts w:cs="宋体" w:asciiTheme="minorEastAsia" w:hAnsiTheme="minorEastAsia"/>
                <w:kern w:val="0"/>
                <w:sz w:val="22"/>
              </w:rPr>
            </w:pPr>
            <w:r>
              <w:rPr>
                <w:rFonts w:hint="eastAsia" w:cs="宋体" w:asciiTheme="minorEastAsia" w:hAnsiTheme="minorEastAsia"/>
                <w:kern w:val="0"/>
                <w:sz w:val="22"/>
              </w:rPr>
              <w:t>完成调整预算数%</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一、一般公共服务支出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19,319</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28,574</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28,574</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100.0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二、外交支出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300" w:type="dxa"/>
            <w:tcBorders>
              <w:top w:val="nil"/>
              <w:left w:val="nil"/>
              <w:bottom w:val="single" w:color="auto" w:sz="4" w:space="0"/>
              <w:right w:val="single" w:color="auto" w:sz="4" w:space="0"/>
            </w:tcBorders>
            <w:shd w:val="clear" w:color="000000" w:fill="FFFFFF"/>
            <w:noWrap/>
            <w:vAlign w:val="bottom"/>
          </w:tcPr>
          <w:p>
            <w:pPr>
              <w:jc w:val="center"/>
              <w:rPr>
                <w:rFonts w:cs="宋体" w:asciiTheme="minorEastAsia" w:hAnsiTheme="minorEastAsia"/>
                <w:szCs w:val="21"/>
              </w:rPr>
            </w:pPr>
            <w:r>
              <w:rPr>
                <w:rFonts w:hint="eastAsia" w:asciiTheme="minorEastAsia" w:hAnsiTheme="minorEastAsia"/>
                <w:szCs w:val="21"/>
              </w:rPr>
              <w:t>#DIV/0!</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三、国防支出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300" w:type="dxa"/>
            <w:tcBorders>
              <w:top w:val="nil"/>
              <w:left w:val="nil"/>
              <w:bottom w:val="single" w:color="auto" w:sz="4" w:space="0"/>
              <w:right w:val="single" w:color="auto" w:sz="4" w:space="0"/>
            </w:tcBorders>
            <w:shd w:val="clear" w:color="000000" w:fill="FFFFFF"/>
            <w:noWrap/>
            <w:vAlign w:val="bottom"/>
          </w:tcPr>
          <w:p>
            <w:pPr>
              <w:jc w:val="center"/>
              <w:rPr>
                <w:rFonts w:cs="宋体" w:asciiTheme="minorEastAsia" w:hAnsiTheme="minorEastAsia"/>
                <w:szCs w:val="21"/>
              </w:rPr>
            </w:pPr>
            <w:r>
              <w:rPr>
                <w:rFonts w:hint="eastAsia" w:asciiTheme="minorEastAsia" w:hAnsiTheme="minorEastAsia"/>
                <w:szCs w:val="21"/>
              </w:rPr>
              <w:t>#DIV/0!</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四、公共安全支出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9,460</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10,489</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10,453</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99.7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五、教育支出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43,355</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48,642</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48,623</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100.0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六、科学技术支出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1,168</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1,287</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1,287</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100.0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七、文化体育与传媒支出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1,225</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1,979</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1,898</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95.9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八、社会保障和就业支出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22,797</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37,657</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37,357</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99.2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九、医疗卫生与计划生育支出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26,658</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37,242</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37,224</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100.0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十、节能环保支出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2,306</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11,252</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10,279</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91.4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十一、城乡社区支出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3,757</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6,768</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6,768</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100.0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十二、农林水支出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16,632</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18,208</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16,329</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89.7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十三、交通运输支出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4,364</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5,867</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5,483</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93.5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十四、资源勘探信息等支出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653</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2,161</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2,161</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100.0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十五、商业服务业等支出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515</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949</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919</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96.8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十六、金融支出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300" w:type="dxa"/>
            <w:tcBorders>
              <w:top w:val="nil"/>
              <w:left w:val="nil"/>
              <w:bottom w:val="single" w:color="auto" w:sz="4" w:space="0"/>
              <w:right w:val="single" w:color="auto" w:sz="4" w:space="0"/>
            </w:tcBorders>
            <w:shd w:val="clear" w:color="000000" w:fill="FFFFFF"/>
            <w:noWrap/>
            <w:vAlign w:val="bottom"/>
          </w:tcPr>
          <w:p>
            <w:pPr>
              <w:jc w:val="center"/>
              <w:rPr>
                <w:rFonts w:cs="宋体" w:asciiTheme="minorEastAsia" w:hAnsiTheme="minorEastAsia"/>
                <w:szCs w:val="21"/>
              </w:rPr>
            </w:pPr>
            <w:r>
              <w:rPr>
                <w:rFonts w:hint="eastAsia" w:asciiTheme="minorEastAsia" w:hAnsiTheme="minorEastAsia"/>
                <w:szCs w:val="21"/>
              </w:rPr>
              <w:t>#DIV/0!</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十七、援助其他地区支出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300" w:type="dxa"/>
            <w:tcBorders>
              <w:top w:val="nil"/>
              <w:left w:val="nil"/>
              <w:bottom w:val="single" w:color="auto" w:sz="4" w:space="0"/>
              <w:right w:val="single" w:color="auto" w:sz="4" w:space="0"/>
            </w:tcBorders>
            <w:shd w:val="clear" w:color="000000" w:fill="FFFFFF"/>
            <w:noWrap/>
            <w:vAlign w:val="bottom"/>
          </w:tcPr>
          <w:p>
            <w:pPr>
              <w:jc w:val="center"/>
              <w:rPr>
                <w:rFonts w:cs="宋体" w:asciiTheme="minorEastAsia" w:hAnsiTheme="minorEastAsia"/>
                <w:szCs w:val="21"/>
              </w:rPr>
            </w:pPr>
            <w:r>
              <w:rPr>
                <w:rFonts w:hint="eastAsia" w:asciiTheme="minorEastAsia" w:hAnsiTheme="minorEastAsia"/>
                <w:szCs w:val="21"/>
              </w:rPr>
              <w:t>#DIV/0!</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十八、国土海洋气象等支出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6,944</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7,191</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7,191</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100.0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十九、住房保障支出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4,763</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4,849</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4,844</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99.9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二十、粮油物资储备支出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1,117</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1,473</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1,019</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69.2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二十一、预备费</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300" w:type="dxa"/>
            <w:tcBorders>
              <w:top w:val="nil"/>
              <w:left w:val="nil"/>
              <w:bottom w:val="single" w:color="auto" w:sz="4" w:space="0"/>
              <w:right w:val="single" w:color="auto" w:sz="4" w:space="0"/>
            </w:tcBorders>
            <w:shd w:val="clear" w:color="000000" w:fill="FFFFFF"/>
            <w:noWrap/>
            <w:vAlign w:val="bottom"/>
          </w:tcPr>
          <w:p>
            <w:pPr>
              <w:jc w:val="center"/>
              <w:rPr>
                <w:rFonts w:cs="宋体" w:asciiTheme="minorEastAsia" w:hAnsiTheme="minorEastAsia"/>
                <w:szCs w:val="21"/>
              </w:rPr>
            </w:pPr>
            <w:r>
              <w:rPr>
                <w:rFonts w:hint="eastAsia" w:asciiTheme="minorEastAsia" w:hAnsiTheme="minorEastAsia"/>
                <w:szCs w:val="21"/>
              </w:rPr>
              <w:t>#DIV/0!</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二十二、其他支出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4,500</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794</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692</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87.2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二十三、债务付息支出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3,000</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3,115</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3,115</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100.0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cs="宋体" w:asciiTheme="minorEastAsia" w:hAnsiTheme="minorEastAsia"/>
                <w:kern w:val="0"/>
                <w:sz w:val="22"/>
              </w:rPr>
            </w:pPr>
            <w:r>
              <w:rPr>
                <w:rFonts w:hint="eastAsia" w:cs="宋体" w:asciiTheme="minorEastAsia" w:hAnsiTheme="minorEastAsia"/>
                <w:kern w:val="0"/>
                <w:sz w:val="22"/>
              </w:rPr>
              <w:t>二十四、债务发行费用支出</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60</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26</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26</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100.0 </w:t>
            </w:r>
          </w:p>
        </w:tc>
      </w:tr>
      <w:tr>
        <w:tblPrEx>
          <w:tblCellMar>
            <w:top w:w="0" w:type="dxa"/>
            <w:left w:w="108" w:type="dxa"/>
            <w:bottom w:w="0" w:type="dxa"/>
            <w:right w:w="108" w:type="dxa"/>
          </w:tblCellMar>
        </w:tblPrEx>
        <w:trPr>
          <w:trHeight w:val="342" w:hRule="atLeast"/>
        </w:trPr>
        <w:tc>
          <w:tcPr>
            <w:tcW w:w="3620" w:type="dxa"/>
            <w:tcBorders>
              <w:top w:val="nil"/>
              <w:left w:val="single" w:color="auto" w:sz="4" w:space="0"/>
              <w:bottom w:val="single" w:color="auto" w:sz="4" w:space="0"/>
              <w:right w:val="single" w:color="auto" w:sz="4" w:space="0"/>
            </w:tcBorders>
            <w:shd w:val="clear" w:color="000000" w:fill="FFFFFF"/>
            <w:noWrap/>
            <w:vAlign w:val="center"/>
          </w:tcPr>
          <w:p>
            <w:pPr>
              <w:widowControl/>
              <w:jc w:val="center"/>
              <w:rPr>
                <w:rFonts w:cs="宋体" w:asciiTheme="minorEastAsia" w:hAnsiTheme="minorEastAsia"/>
                <w:kern w:val="0"/>
                <w:sz w:val="22"/>
              </w:rPr>
            </w:pPr>
            <w:r>
              <w:rPr>
                <w:rFonts w:hint="eastAsia" w:cs="宋体" w:asciiTheme="minorEastAsia" w:hAnsiTheme="minorEastAsia"/>
                <w:kern w:val="0"/>
                <w:sz w:val="22"/>
              </w:rPr>
              <w:t>本 年 支 出 合 计</w:t>
            </w:r>
          </w:p>
        </w:tc>
        <w:tc>
          <w:tcPr>
            <w:tcW w:w="1254"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172,593</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228,523</w:t>
            </w:r>
          </w:p>
        </w:tc>
        <w:tc>
          <w:tcPr>
            <w:tcW w:w="1276"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224,242</w:t>
            </w:r>
          </w:p>
        </w:tc>
        <w:tc>
          <w:tcPr>
            <w:tcW w:w="1300" w:type="dxa"/>
            <w:tcBorders>
              <w:top w:val="nil"/>
              <w:left w:val="nil"/>
              <w:bottom w:val="single" w:color="auto" w:sz="4" w:space="0"/>
              <w:right w:val="single" w:color="auto" w:sz="4" w:space="0"/>
            </w:tcBorders>
            <w:shd w:val="clear" w:color="000000" w:fill="FFFFFF"/>
            <w:noWrap/>
            <w:vAlign w:val="bottom"/>
          </w:tcPr>
          <w:p>
            <w:pPr>
              <w:jc w:val="right"/>
              <w:rPr>
                <w:rFonts w:cs="宋体" w:asciiTheme="minorEastAsia" w:hAnsiTheme="minorEastAsia"/>
                <w:szCs w:val="21"/>
              </w:rPr>
            </w:pPr>
            <w:r>
              <w:rPr>
                <w:rFonts w:hint="eastAsia" w:asciiTheme="minorEastAsia" w:hAnsiTheme="minorEastAsia"/>
                <w:szCs w:val="21"/>
              </w:rPr>
              <w:t xml:space="preserve">98.1 </w:t>
            </w:r>
          </w:p>
        </w:tc>
      </w:tr>
    </w:tbl>
    <w:p>
      <w:pPr>
        <w:adjustRightInd w:val="0"/>
        <w:snapToGrid w:val="0"/>
        <w:spacing w:line="600" w:lineRule="exact"/>
        <w:jc w:val="left"/>
        <w:rPr>
          <w:rFonts w:ascii="仿宋_GB2312" w:hAnsi="仿宋" w:eastAsia="仿宋_GB2312" w:cs="Times New Roman"/>
          <w:sz w:val="32"/>
          <w:szCs w:val="32"/>
        </w:rPr>
      </w:pPr>
    </w:p>
    <w:bookmarkEnd w:id="0"/>
    <w:bookmarkEnd w:id="1"/>
    <w:tbl>
      <w:tblPr>
        <w:tblStyle w:val="6"/>
        <w:tblW w:w="11516" w:type="dxa"/>
        <w:tblInd w:w="5" w:type="dxa"/>
        <w:tblLayout w:type="autofit"/>
        <w:tblCellMar>
          <w:top w:w="0" w:type="dxa"/>
          <w:left w:w="108" w:type="dxa"/>
          <w:bottom w:w="0" w:type="dxa"/>
          <w:right w:w="108" w:type="dxa"/>
        </w:tblCellMar>
      </w:tblPr>
      <w:tblGrid>
        <w:gridCol w:w="88"/>
        <w:gridCol w:w="3400"/>
        <w:gridCol w:w="1180"/>
        <w:gridCol w:w="252"/>
        <w:gridCol w:w="1480"/>
        <w:gridCol w:w="20"/>
        <w:gridCol w:w="1448"/>
        <w:gridCol w:w="12"/>
        <w:gridCol w:w="1188"/>
        <w:gridCol w:w="141"/>
        <w:gridCol w:w="108"/>
        <w:gridCol w:w="1963"/>
        <w:gridCol w:w="236"/>
      </w:tblGrid>
      <w:tr>
        <w:tblPrEx>
          <w:tblCellMar>
            <w:top w:w="0" w:type="dxa"/>
            <w:left w:w="108" w:type="dxa"/>
            <w:bottom w:w="0" w:type="dxa"/>
            <w:right w:w="108" w:type="dxa"/>
          </w:tblCellMar>
        </w:tblPrEx>
        <w:trPr>
          <w:gridBefore w:val="1"/>
          <w:gridAfter w:val="2"/>
          <w:wBefore w:w="88" w:type="dxa"/>
          <w:wAfter w:w="2199" w:type="dxa"/>
          <w:trHeight w:val="285" w:hRule="atLeast"/>
        </w:trPr>
        <w:tc>
          <w:tcPr>
            <w:tcW w:w="4832" w:type="dxa"/>
            <w:gridSpan w:val="3"/>
            <w:tcBorders>
              <w:top w:val="nil"/>
              <w:left w:val="nil"/>
              <w:bottom w:val="nil"/>
              <w:right w:val="nil"/>
            </w:tcBorders>
            <w:shd w:val="clear" w:color="000000" w:fill="FFFFFF"/>
            <w:noWrap/>
            <w:vAlign w:val="bottom"/>
          </w:tcPr>
          <w:p>
            <w:pPr>
              <w:widowControl/>
              <w:jc w:val="left"/>
              <w:rPr>
                <w:rFonts w:ascii="仿宋_GB2312" w:hAnsi="宋体" w:eastAsia="仿宋_GB2312" w:cs="宋体"/>
                <w:kern w:val="0"/>
                <w:sz w:val="24"/>
                <w:szCs w:val="24"/>
              </w:rPr>
            </w:pPr>
          </w:p>
        </w:tc>
        <w:tc>
          <w:tcPr>
            <w:tcW w:w="1480" w:type="dxa"/>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c>
          <w:tcPr>
            <w:tcW w:w="1480" w:type="dxa"/>
            <w:gridSpan w:val="3"/>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c>
          <w:tcPr>
            <w:tcW w:w="1437" w:type="dxa"/>
            <w:gridSpan w:val="3"/>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r>
      <w:tr>
        <w:tblPrEx>
          <w:tblCellMar>
            <w:top w:w="0" w:type="dxa"/>
            <w:left w:w="108" w:type="dxa"/>
            <w:bottom w:w="0" w:type="dxa"/>
            <w:right w:w="108" w:type="dxa"/>
          </w:tblCellMar>
        </w:tblPrEx>
        <w:trPr>
          <w:gridBefore w:val="1"/>
          <w:gridAfter w:val="2"/>
          <w:wBefore w:w="88" w:type="dxa"/>
          <w:wAfter w:w="2199" w:type="dxa"/>
          <w:trHeight w:val="450" w:hRule="atLeast"/>
        </w:trPr>
        <w:tc>
          <w:tcPr>
            <w:tcW w:w="9229" w:type="dxa"/>
            <w:gridSpan w:val="10"/>
            <w:tcBorders>
              <w:top w:val="nil"/>
              <w:left w:val="nil"/>
              <w:bottom w:val="nil"/>
              <w:right w:val="nil"/>
            </w:tcBorders>
            <w:shd w:val="clear" w:color="auto" w:fill="auto"/>
            <w:noWrap/>
            <w:vAlign w:val="center"/>
          </w:tcPr>
          <w:p>
            <w:pPr>
              <w:widowControl/>
              <w:jc w:val="center"/>
              <w:rPr>
                <w:rFonts w:ascii="宋体" w:hAnsi="宋体" w:eastAsia="宋体" w:cs="宋体"/>
                <w:kern w:val="0"/>
                <w:sz w:val="36"/>
                <w:szCs w:val="36"/>
              </w:rPr>
            </w:pPr>
          </w:p>
        </w:tc>
      </w:tr>
      <w:tr>
        <w:tblPrEx>
          <w:tblCellMar>
            <w:top w:w="0" w:type="dxa"/>
            <w:left w:w="108" w:type="dxa"/>
            <w:bottom w:w="0" w:type="dxa"/>
            <w:right w:w="108" w:type="dxa"/>
          </w:tblCellMar>
        </w:tblPrEx>
        <w:trPr>
          <w:trHeight w:val="285" w:hRule="atLeast"/>
        </w:trPr>
        <w:tc>
          <w:tcPr>
            <w:tcW w:w="4920" w:type="dxa"/>
            <w:gridSpan w:val="4"/>
            <w:tcBorders>
              <w:top w:val="nil"/>
              <w:left w:val="nil"/>
              <w:bottom w:val="nil"/>
              <w:right w:val="nil"/>
            </w:tcBorders>
            <w:shd w:val="clear" w:color="auto" w:fill="auto"/>
            <w:noWrap/>
            <w:vAlign w:val="bottom"/>
          </w:tcPr>
          <w:p>
            <w:pPr>
              <w:widowControl/>
              <w:jc w:val="left"/>
              <w:rPr>
                <w:rFonts w:ascii="仿宋_GB2312" w:hAnsi="宋体" w:eastAsia="仿宋_GB2312" w:cs="宋体"/>
                <w:kern w:val="0"/>
                <w:sz w:val="24"/>
                <w:szCs w:val="24"/>
              </w:rPr>
            </w:pPr>
          </w:p>
          <w:p>
            <w:pPr>
              <w:widowControl/>
              <w:jc w:val="left"/>
              <w:rPr>
                <w:rFonts w:ascii="仿宋_GB2312" w:hAnsi="宋体" w:eastAsia="仿宋_GB2312" w:cs="宋体"/>
                <w:kern w:val="0"/>
                <w:sz w:val="24"/>
                <w:szCs w:val="24"/>
              </w:rPr>
            </w:pPr>
          </w:p>
          <w:p>
            <w:pPr>
              <w:widowControl/>
              <w:jc w:val="left"/>
              <w:rPr>
                <w:rFonts w:ascii="仿宋_GB2312" w:hAnsi="宋体" w:eastAsia="仿宋_GB2312" w:cs="宋体"/>
                <w:kern w:val="0"/>
                <w:sz w:val="24"/>
                <w:szCs w:val="24"/>
              </w:rPr>
            </w:pPr>
          </w:p>
          <w:p>
            <w:pPr>
              <w:widowControl/>
              <w:jc w:val="left"/>
              <w:rPr>
                <w:rFonts w:ascii="仿宋_GB2312" w:hAnsi="宋体" w:eastAsia="仿宋_GB2312" w:cs="宋体"/>
                <w:kern w:val="0"/>
                <w:sz w:val="24"/>
                <w:szCs w:val="24"/>
              </w:rPr>
            </w:pPr>
          </w:p>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附表三</w:t>
            </w:r>
          </w:p>
        </w:tc>
        <w:tc>
          <w:tcPr>
            <w:tcW w:w="1500" w:type="dxa"/>
            <w:gridSpan w:val="2"/>
            <w:tcBorders>
              <w:top w:val="nil"/>
              <w:left w:val="nil"/>
              <w:bottom w:val="nil"/>
              <w:right w:val="nil"/>
            </w:tcBorders>
            <w:shd w:val="clear" w:color="auto" w:fill="auto"/>
            <w:noWrap/>
            <w:vAlign w:val="bottom"/>
          </w:tcPr>
          <w:p>
            <w:pPr>
              <w:widowControl/>
              <w:jc w:val="left"/>
              <w:rPr>
                <w:rFonts w:ascii="仿宋_GB2312" w:hAnsi="宋体" w:eastAsia="仿宋_GB2312" w:cs="宋体"/>
                <w:kern w:val="0"/>
                <w:sz w:val="24"/>
                <w:szCs w:val="24"/>
              </w:rPr>
            </w:pPr>
          </w:p>
        </w:tc>
        <w:tc>
          <w:tcPr>
            <w:tcW w:w="4860" w:type="dxa"/>
            <w:gridSpan w:val="6"/>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c>
          <w:tcPr>
            <w:tcW w:w="236" w:type="dxa"/>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r>
      <w:tr>
        <w:tblPrEx>
          <w:tblCellMar>
            <w:top w:w="0" w:type="dxa"/>
            <w:left w:w="108" w:type="dxa"/>
            <w:bottom w:w="0" w:type="dxa"/>
            <w:right w:w="108" w:type="dxa"/>
          </w:tblCellMar>
        </w:tblPrEx>
        <w:trPr>
          <w:gridAfter w:val="3"/>
          <w:wAfter w:w="2307" w:type="dxa"/>
          <w:trHeight w:val="480" w:hRule="atLeast"/>
        </w:trPr>
        <w:tc>
          <w:tcPr>
            <w:tcW w:w="9209" w:type="dxa"/>
            <w:gridSpan w:val="10"/>
            <w:tcBorders>
              <w:top w:val="nil"/>
              <w:left w:val="nil"/>
              <w:bottom w:val="nil"/>
              <w:right w:val="nil"/>
            </w:tcBorders>
            <w:shd w:val="clear" w:color="auto" w:fill="auto"/>
            <w:noWrap/>
            <w:vAlign w:val="center"/>
          </w:tcPr>
          <w:p>
            <w:pPr>
              <w:widowControl/>
              <w:jc w:val="center"/>
              <w:rPr>
                <w:rFonts w:ascii="宋体" w:hAnsi="宋体" w:eastAsia="宋体" w:cs="宋体"/>
                <w:b/>
                <w:bCs/>
                <w:kern w:val="0"/>
                <w:sz w:val="36"/>
                <w:szCs w:val="36"/>
              </w:rPr>
            </w:pPr>
            <w:r>
              <w:rPr>
                <w:rFonts w:hint="eastAsia" w:ascii="宋体" w:hAnsi="宋体" w:eastAsia="宋体" w:cs="宋体"/>
                <w:b/>
                <w:bCs/>
                <w:kern w:val="0"/>
                <w:sz w:val="36"/>
                <w:szCs w:val="36"/>
              </w:rPr>
              <w:t>2017年度无极县一般公共预算收支平衡表</w:t>
            </w:r>
          </w:p>
          <w:p>
            <w:pPr>
              <w:widowControl/>
              <w:jc w:val="left"/>
              <w:rPr>
                <w:rFonts w:cs="宋体" w:asciiTheme="minorEastAsia" w:hAnsiTheme="minorEastAsia"/>
                <w:bCs/>
                <w:kern w:val="0"/>
                <w:sz w:val="24"/>
                <w:szCs w:val="24"/>
              </w:rPr>
            </w:pPr>
            <w:r>
              <w:rPr>
                <w:rFonts w:hint="eastAsia" w:cs="宋体" w:asciiTheme="minorEastAsia" w:hAnsiTheme="minorEastAsia"/>
                <w:bCs/>
                <w:kern w:val="0"/>
                <w:sz w:val="24"/>
                <w:szCs w:val="24"/>
              </w:rPr>
              <w:t>填报单位;无极县财政局                                          单位：万元</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b/>
                <w:bCs/>
                <w:kern w:val="0"/>
                <w:sz w:val="20"/>
                <w:szCs w:val="20"/>
              </w:rPr>
            </w:pPr>
            <w:r>
              <w:rPr>
                <w:rFonts w:hint="eastAsia" w:ascii="宋体" w:hAnsi="宋体" w:eastAsia="宋体" w:cs="宋体"/>
                <w:b/>
                <w:bCs/>
                <w:kern w:val="0"/>
                <w:sz w:val="20"/>
                <w:szCs w:val="20"/>
              </w:rPr>
              <w:t>预算科目</w:t>
            </w:r>
          </w:p>
        </w:tc>
        <w:tc>
          <w:tcPr>
            <w:tcW w:w="1180"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rFonts w:ascii="宋体" w:hAnsi="宋体" w:eastAsia="宋体" w:cs="宋体"/>
                <w:b/>
                <w:bCs/>
                <w:kern w:val="0"/>
                <w:sz w:val="20"/>
                <w:szCs w:val="20"/>
              </w:rPr>
            </w:pPr>
            <w:r>
              <w:rPr>
                <w:rFonts w:hint="eastAsia" w:ascii="宋体" w:hAnsi="宋体" w:eastAsia="宋体" w:cs="宋体"/>
                <w:b/>
                <w:bCs/>
                <w:kern w:val="0"/>
                <w:sz w:val="20"/>
                <w:szCs w:val="20"/>
              </w:rPr>
              <w:t>决 算 数</w:t>
            </w:r>
          </w:p>
        </w:tc>
        <w:tc>
          <w:tcPr>
            <w:tcW w:w="3200" w:type="dxa"/>
            <w:gridSpan w:val="4"/>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宋体" w:hAnsi="宋体" w:eastAsia="宋体" w:cs="宋体"/>
                <w:b/>
                <w:bCs/>
                <w:kern w:val="0"/>
                <w:sz w:val="20"/>
                <w:szCs w:val="20"/>
              </w:rPr>
            </w:pPr>
            <w:r>
              <w:rPr>
                <w:rFonts w:hint="eastAsia" w:ascii="宋体" w:hAnsi="宋体" w:eastAsia="宋体" w:cs="宋体"/>
                <w:b/>
                <w:bCs/>
                <w:kern w:val="0"/>
                <w:sz w:val="20"/>
                <w:szCs w:val="20"/>
              </w:rPr>
              <w:t>预算科目</w:t>
            </w:r>
          </w:p>
        </w:tc>
        <w:tc>
          <w:tcPr>
            <w:tcW w:w="1200" w:type="dxa"/>
            <w:gridSpan w:val="2"/>
            <w:tcBorders>
              <w:top w:val="single" w:color="auto" w:sz="4" w:space="0"/>
              <w:left w:val="nil"/>
              <w:bottom w:val="single" w:color="auto" w:sz="4" w:space="0"/>
              <w:right w:val="single" w:color="auto" w:sz="4" w:space="0"/>
            </w:tcBorders>
            <w:shd w:val="clear" w:color="000000" w:fill="FFFFFF"/>
            <w:noWrap/>
            <w:vAlign w:val="center"/>
          </w:tcPr>
          <w:p>
            <w:pPr>
              <w:widowControl/>
              <w:jc w:val="center"/>
              <w:rPr>
                <w:rFonts w:ascii="宋体" w:hAnsi="宋体" w:eastAsia="宋体" w:cs="宋体"/>
                <w:b/>
                <w:bCs/>
                <w:kern w:val="0"/>
                <w:sz w:val="20"/>
                <w:szCs w:val="20"/>
              </w:rPr>
            </w:pPr>
            <w:r>
              <w:rPr>
                <w:rFonts w:hint="eastAsia" w:ascii="宋体" w:hAnsi="宋体" w:eastAsia="宋体" w:cs="宋体"/>
                <w:b/>
                <w:bCs/>
                <w:kern w:val="0"/>
                <w:sz w:val="20"/>
                <w:szCs w:val="20"/>
              </w:rPr>
              <w:t>决 算 数</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一般公共预算收入</w:t>
            </w:r>
          </w:p>
        </w:tc>
        <w:tc>
          <w:tcPr>
            <w:tcW w:w="118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60,270</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一般公共预算支出</w:t>
            </w:r>
          </w:p>
        </w:tc>
        <w:tc>
          <w:tcPr>
            <w:tcW w:w="1200"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kern w:val="0"/>
                <w:szCs w:val="21"/>
              </w:rPr>
            </w:pPr>
            <w:r>
              <w:rPr>
                <w:rFonts w:hint="eastAsia" w:asciiTheme="minorEastAsia" w:hAnsiTheme="minorEastAsia"/>
                <w:szCs w:val="21"/>
              </w:rPr>
              <w:t>224,242</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上级补助收入</w:t>
            </w:r>
          </w:p>
        </w:tc>
        <w:tc>
          <w:tcPr>
            <w:tcW w:w="118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111,622</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补助下级支出</w:t>
            </w:r>
          </w:p>
        </w:tc>
        <w:tc>
          <w:tcPr>
            <w:tcW w:w="1200" w:type="dxa"/>
            <w:gridSpan w:val="2"/>
            <w:tcBorders>
              <w:top w:val="nil"/>
              <w:left w:val="nil"/>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 xml:space="preserve">  返还性收入</w:t>
            </w:r>
          </w:p>
        </w:tc>
        <w:tc>
          <w:tcPr>
            <w:tcW w:w="118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9,794</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 xml:space="preserve">  返还性支出</w:t>
            </w:r>
          </w:p>
        </w:tc>
        <w:tc>
          <w:tcPr>
            <w:tcW w:w="1200" w:type="dxa"/>
            <w:gridSpan w:val="2"/>
            <w:tcBorders>
              <w:top w:val="nil"/>
              <w:left w:val="nil"/>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增值税和消费税税收返还收入</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2,100</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增值税和消费税税收返还支出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所得税基数返还收入</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1,398</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所得税基数返还支出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480"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成品油价格和税费改革税收返还收入</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1,888</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成品油价格和税费改革税收返还支出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其他税收返还收入</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4,408</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其他税收返还支出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 xml:space="preserve">  一般性转移支付收入</w:t>
            </w:r>
          </w:p>
        </w:tc>
        <w:tc>
          <w:tcPr>
            <w:tcW w:w="118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77,262</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 xml:space="preserve">  一般性转移支付支出</w:t>
            </w:r>
          </w:p>
        </w:tc>
        <w:tc>
          <w:tcPr>
            <w:tcW w:w="1200" w:type="dxa"/>
            <w:gridSpan w:val="2"/>
            <w:tcBorders>
              <w:top w:val="nil"/>
              <w:left w:val="nil"/>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体制补助收入</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769</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体制补助支出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均衡性转移支付收入</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23,356</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均衡性转移支付支出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480"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县级基本财力保障机制奖补资金收入</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8,735</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县级基本财力保障机制奖补资金支出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结算补助收入</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504</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结算补助支出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成品油价格和税费改革转移支付补助收入</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850</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成品油价格和税费改革转移支付补助支出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41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基层公检法司转移支付收入</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956</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基层公检法司转移支付支出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义务教育等转移支付收入</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3,601</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义务教育等转移支付支出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480"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基本养老保险和低保等转移支付收入</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6,532</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基本养老保险和低保等转移支付支出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新型农村合作医疗等转移支付收入</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11,833</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新型农村合作医疗等转移支付支出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农村综合改革转移支付收入</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1,843</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农村综合改革转移支付支出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93"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产粮(油)大县奖励资金收入</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2,157</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产粮(油)大县奖励资金支出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固定数额补助收入</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11,728</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固定数额补助支出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革命老区转移支付收入</w:t>
            </w:r>
          </w:p>
        </w:tc>
        <w:tc>
          <w:tcPr>
            <w:tcW w:w="1180" w:type="dxa"/>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700</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革命老区转移支付支出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民族地区转移支付收入</w:t>
            </w:r>
          </w:p>
        </w:tc>
        <w:tc>
          <w:tcPr>
            <w:tcW w:w="1180" w:type="dxa"/>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55</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民族地区转移支付支出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其他一般性转移支付收入</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3,643</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其他一般性转移支付支出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 xml:space="preserve">  专项转移支付收入</w:t>
            </w:r>
          </w:p>
        </w:tc>
        <w:tc>
          <w:tcPr>
            <w:tcW w:w="1180" w:type="dxa"/>
            <w:tcBorders>
              <w:top w:val="nil"/>
              <w:left w:val="nil"/>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24,825</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 xml:space="preserve">  专项转移支付支出</w:t>
            </w:r>
          </w:p>
        </w:tc>
        <w:tc>
          <w:tcPr>
            <w:tcW w:w="1200" w:type="dxa"/>
            <w:gridSpan w:val="2"/>
            <w:tcBorders>
              <w:top w:val="nil"/>
              <w:left w:val="nil"/>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一般公共服务</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10</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一般公共服务</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公共安全</w:t>
            </w:r>
          </w:p>
        </w:tc>
        <w:tc>
          <w:tcPr>
            <w:tcW w:w="1180" w:type="dxa"/>
            <w:tcBorders>
              <w:top w:val="single" w:color="auto" w:sz="4" w:space="0"/>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34</w:t>
            </w:r>
          </w:p>
        </w:tc>
        <w:tc>
          <w:tcPr>
            <w:tcW w:w="3200" w:type="dxa"/>
            <w:gridSpan w:val="4"/>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公共安全</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single" w:color="auto" w:sz="4" w:space="0"/>
              <w:left w:val="single" w:color="auto" w:sz="4" w:space="0"/>
              <w:bottom w:val="single" w:color="auto" w:sz="4" w:space="0"/>
              <w:right w:val="nil"/>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教育</w:t>
            </w:r>
          </w:p>
        </w:tc>
        <w:tc>
          <w:tcPr>
            <w:tcW w:w="1180" w:type="dxa"/>
            <w:tcBorders>
              <w:top w:val="single" w:color="auto" w:sz="4" w:space="0"/>
              <w:left w:val="single" w:color="auto" w:sz="4" w:space="0"/>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2,208</w:t>
            </w:r>
          </w:p>
        </w:tc>
        <w:tc>
          <w:tcPr>
            <w:tcW w:w="3200" w:type="dxa"/>
            <w:gridSpan w:val="4"/>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教育</w:t>
            </w:r>
          </w:p>
        </w:tc>
        <w:tc>
          <w:tcPr>
            <w:tcW w:w="1200" w:type="dxa"/>
            <w:gridSpan w:val="2"/>
            <w:tcBorders>
              <w:top w:val="single" w:color="auto" w:sz="4" w:space="0"/>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科学技术</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950</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科学技术</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文化体育与传媒</w:t>
            </w:r>
          </w:p>
        </w:tc>
        <w:tc>
          <w:tcPr>
            <w:tcW w:w="1180" w:type="dxa"/>
            <w:tcBorders>
              <w:top w:val="single" w:color="auto" w:sz="4" w:space="0"/>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191</w:t>
            </w:r>
          </w:p>
        </w:tc>
        <w:tc>
          <w:tcPr>
            <w:tcW w:w="3200" w:type="dxa"/>
            <w:gridSpan w:val="4"/>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文化体育与传媒</w:t>
            </w:r>
          </w:p>
        </w:tc>
        <w:tc>
          <w:tcPr>
            <w:tcW w:w="1200" w:type="dxa"/>
            <w:gridSpan w:val="2"/>
            <w:tcBorders>
              <w:top w:val="single" w:color="auto" w:sz="4" w:space="0"/>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社会保障和就业</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6,632</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社会保障和就业</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医疗卫生与计划生育</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3,204</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医疗卫生与计划生育</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节能环保</w:t>
            </w:r>
          </w:p>
        </w:tc>
        <w:tc>
          <w:tcPr>
            <w:tcW w:w="1180" w:type="dxa"/>
            <w:tcBorders>
              <w:top w:val="single" w:color="auto" w:sz="4" w:space="0"/>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1,996</w:t>
            </w:r>
          </w:p>
        </w:tc>
        <w:tc>
          <w:tcPr>
            <w:tcW w:w="3200" w:type="dxa"/>
            <w:gridSpan w:val="4"/>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节能环保</w:t>
            </w:r>
          </w:p>
        </w:tc>
        <w:tc>
          <w:tcPr>
            <w:tcW w:w="1200" w:type="dxa"/>
            <w:gridSpan w:val="2"/>
            <w:tcBorders>
              <w:top w:val="single" w:color="auto" w:sz="4" w:space="0"/>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城乡社区</w:t>
            </w:r>
          </w:p>
        </w:tc>
        <w:tc>
          <w:tcPr>
            <w:tcW w:w="1180" w:type="dxa"/>
            <w:tcBorders>
              <w:top w:val="single" w:color="auto" w:sz="4" w:space="0"/>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300</w:t>
            </w:r>
          </w:p>
        </w:tc>
        <w:tc>
          <w:tcPr>
            <w:tcW w:w="3200" w:type="dxa"/>
            <w:gridSpan w:val="4"/>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城乡社区</w:t>
            </w:r>
          </w:p>
        </w:tc>
        <w:tc>
          <w:tcPr>
            <w:tcW w:w="1200" w:type="dxa"/>
            <w:gridSpan w:val="2"/>
            <w:tcBorders>
              <w:top w:val="single" w:color="auto" w:sz="4" w:space="0"/>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农林水</w:t>
            </w:r>
          </w:p>
        </w:tc>
        <w:tc>
          <w:tcPr>
            <w:tcW w:w="1180" w:type="dxa"/>
            <w:tcBorders>
              <w:top w:val="single" w:color="auto" w:sz="4" w:space="0"/>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7,518</w:t>
            </w:r>
          </w:p>
        </w:tc>
        <w:tc>
          <w:tcPr>
            <w:tcW w:w="3200" w:type="dxa"/>
            <w:gridSpan w:val="4"/>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农林水</w:t>
            </w:r>
          </w:p>
        </w:tc>
        <w:tc>
          <w:tcPr>
            <w:tcW w:w="1200" w:type="dxa"/>
            <w:gridSpan w:val="2"/>
            <w:tcBorders>
              <w:top w:val="single" w:color="auto" w:sz="4" w:space="0"/>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交通运输</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944</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交通运输</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资源勘探信息等</w:t>
            </w:r>
          </w:p>
        </w:tc>
        <w:tc>
          <w:tcPr>
            <w:tcW w:w="1180" w:type="dxa"/>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资源勘探信息等</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国土海洋气象等</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195</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商业服务业等</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住房保障</w:t>
            </w:r>
          </w:p>
        </w:tc>
        <w:tc>
          <w:tcPr>
            <w:tcW w:w="1180" w:type="dxa"/>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szCs w:val="21"/>
              </w:rPr>
            </w:pPr>
            <w:r>
              <w:rPr>
                <w:rFonts w:hint="eastAsia" w:asciiTheme="minorEastAsia" w:hAnsiTheme="minorEastAsia"/>
                <w:szCs w:val="21"/>
              </w:rPr>
              <w:t>384</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住房保障</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下级上解收入</w:t>
            </w:r>
          </w:p>
        </w:tc>
        <w:tc>
          <w:tcPr>
            <w:tcW w:w="1180" w:type="dxa"/>
            <w:tcBorders>
              <w:top w:val="nil"/>
              <w:left w:val="nil"/>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上解上级支出</w:t>
            </w:r>
          </w:p>
        </w:tc>
        <w:tc>
          <w:tcPr>
            <w:tcW w:w="1200"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kern w:val="0"/>
                <w:szCs w:val="21"/>
              </w:rPr>
            </w:pPr>
            <w:r>
              <w:rPr>
                <w:rFonts w:hint="eastAsia" w:asciiTheme="minorEastAsia" w:hAnsiTheme="minorEastAsia"/>
                <w:szCs w:val="21"/>
              </w:rPr>
              <w:t>-2,917</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体制上解收入</w:t>
            </w:r>
          </w:p>
        </w:tc>
        <w:tc>
          <w:tcPr>
            <w:tcW w:w="1180" w:type="dxa"/>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体制上解支出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出口退税专项上解收入</w:t>
            </w:r>
          </w:p>
        </w:tc>
        <w:tc>
          <w:tcPr>
            <w:tcW w:w="1180" w:type="dxa"/>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出口退税专项上解支出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专项上解收入</w:t>
            </w:r>
          </w:p>
        </w:tc>
        <w:tc>
          <w:tcPr>
            <w:tcW w:w="1180" w:type="dxa"/>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专项上解支出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jc w:val="right"/>
              <w:rPr>
                <w:rFonts w:cs="宋体" w:asciiTheme="minorEastAsia" w:hAnsiTheme="minorEastAsia"/>
                <w:kern w:val="0"/>
                <w:szCs w:val="21"/>
              </w:rPr>
            </w:pPr>
            <w:r>
              <w:rPr>
                <w:rFonts w:hint="eastAsia" w:asciiTheme="minorEastAsia" w:hAnsiTheme="minorEastAsia"/>
                <w:szCs w:val="21"/>
              </w:rPr>
              <w:t>-2,917</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上年结余</w:t>
            </w:r>
          </w:p>
        </w:tc>
        <w:tc>
          <w:tcPr>
            <w:tcW w:w="1180" w:type="dxa"/>
            <w:tcBorders>
              <w:top w:val="nil"/>
              <w:left w:val="nil"/>
              <w:bottom w:val="nil"/>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6,884</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w:t>
            </w:r>
          </w:p>
        </w:tc>
        <w:tc>
          <w:tcPr>
            <w:tcW w:w="1200" w:type="dxa"/>
            <w:gridSpan w:val="2"/>
            <w:tcBorders>
              <w:top w:val="nil"/>
              <w:left w:val="nil"/>
              <w:bottom w:val="nil"/>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nil"/>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 xml:space="preserve">调入资金   </w:t>
            </w:r>
          </w:p>
        </w:tc>
        <w:tc>
          <w:tcPr>
            <w:tcW w:w="118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jc w:val="right"/>
              <w:rPr>
                <w:rFonts w:cs="宋体" w:asciiTheme="minorEastAsia" w:hAnsiTheme="minorEastAsia"/>
                <w:kern w:val="0"/>
                <w:szCs w:val="21"/>
              </w:rPr>
            </w:pPr>
            <w:r>
              <w:rPr>
                <w:rFonts w:hint="eastAsia" w:asciiTheme="minorEastAsia" w:hAnsiTheme="minorEastAsia"/>
                <w:szCs w:val="21"/>
              </w:rPr>
              <w:t>35,041</w:t>
            </w:r>
          </w:p>
        </w:tc>
        <w:tc>
          <w:tcPr>
            <w:tcW w:w="3200" w:type="dxa"/>
            <w:gridSpan w:val="4"/>
            <w:tcBorders>
              <w:top w:val="nil"/>
              <w:left w:val="nil"/>
              <w:bottom w:val="single" w:color="auto" w:sz="4" w:space="0"/>
              <w:right w:val="nil"/>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调出资金</w:t>
            </w:r>
          </w:p>
        </w:tc>
        <w:tc>
          <w:tcPr>
            <w:tcW w:w="1200" w:type="dxa"/>
            <w:gridSpan w:val="2"/>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政府性基金调入</w:t>
            </w:r>
          </w:p>
        </w:tc>
        <w:tc>
          <w:tcPr>
            <w:tcW w:w="118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16,889</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p>
        </w:tc>
        <w:tc>
          <w:tcPr>
            <w:tcW w:w="1200" w:type="dxa"/>
            <w:gridSpan w:val="2"/>
            <w:tcBorders>
              <w:top w:val="nil"/>
              <w:left w:val="nil"/>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其他调入</w:t>
            </w:r>
          </w:p>
        </w:tc>
        <w:tc>
          <w:tcPr>
            <w:tcW w:w="118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18,152</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w:t>
            </w:r>
          </w:p>
        </w:tc>
        <w:tc>
          <w:tcPr>
            <w:tcW w:w="1200" w:type="dxa"/>
            <w:gridSpan w:val="2"/>
            <w:tcBorders>
              <w:top w:val="nil"/>
              <w:left w:val="nil"/>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债务收入</w:t>
            </w:r>
          </w:p>
        </w:tc>
        <w:tc>
          <w:tcPr>
            <w:tcW w:w="1180" w:type="dxa"/>
            <w:tcBorders>
              <w:top w:val="nil"/>
              <w:left w:val="nil"/>
              <w:bottom w:val="nil"/>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债务还本支出</w:t>
            </w:r>
          </w:p>
        </w:tc>
        <w:tc>
          <w:tcPr>
            <w:tcW w:w="1200"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kern w:val="0"/>
                <w:szCs w:val="21"/>
              </w:rPr>
            </w:pPr>
            <w:r>
              <w:rPr>
                <w:rFonts w:hint="eastAsia" w:asciiTheme="minorEastAsia" w:hAnsiTheme="minorEastAsia"/>
                <w:szCs w:val="21"/>
              </w:rPr>
              <w:t>2,047</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nil"/>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 xml:space="preserve">  地方政府债务收入</w:t>
            </w:r>
          </w:p>
        </w:tc>
        <w:tc>
          <w:tcPr>
            <w:tcW w:w="118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 xml:space="preserve">  地方政府一般债务还本支出</w:t>
            </w:r>
          </w:p>
        </w:tc>
        <w:tc>
          <w:tcPr>
            <w:tcW w:w="1200"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kern w:val="0"/>
                <w:szCs w:val="21"/>
              </w:rPr>
            </w:pPr>
            <w:r>
              <w:rPr>
                <w:rFonts w:hint="eastAsia" w:asciiTheme="minorEastAsia" w:hAnsiTheme="minorEastAsia"/>
                <w:szCs w:val="21"/>
              </w:rPr>
              <w:t>2,047</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 xml:space="preserve">    一般债务收入</w:t>
            </w:r>
          </w:p>
        </w:tc>
        <w:tc>
          <w:tcPr>
            <w:tcW w:w="1180" w:type="dxa"/>
            <w:tcBorders>
              <w:top w:val="nil"/>
              <w:left w:val="nil"/>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地方政府一般债券还本支出</w:t>
            </w:r>
          </w:p>
        </w:tc>
        <w:tc>
          <w:tcPr>
            <w:tcW w:w="1200"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kern w:val="0"/>
                <w:szCs w:val="21"/>
              </w:rPr>
            </w:pPr>
            <w:r>
              <w:rPr>
                <w:rFonts w:hint="eastAsia" w:asciiTheme="minorEastAsia" w:hAnsiTheme="minorEastAsia"/>
                <w:szCs w:val="21"/>
              </w:rPr>
              <w:t>2,047</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债务转贷收入</w:t>
            </w:r>
          </w:p>
        </w:tc>
        <w:tc>
          <w:tcPr>
            <w:tcW w:w="118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6,047</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债务转贷支出</w:t>
            </w:r>
          </w:p>
        </w:tc>
        <w:tc>
          <w:tcPr>
            <w:tcW w:w="1200" w:type="dxa"/>
            <w:gridSpan w:val="2"/>
            <w:tcBorders>
              <w:top w:val="nil"/>
              <w:left w:val="nil"/>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地方政府一般债务转贷收入</w:t>
            </w:r>
          </w:p>
        </w:tc>
        <w:tc>
          <w:tcPr>
            <w:tcW w:w="1180" w:type="dxa"/>
            <w:tcBorders>
              <w:top w:val="nil"/>
              <w:left w:val="nil"/>
              <w:bottom w:val="nil"/>
              <w:right w:val="single" w:color="auto" w:sz="4" w:space="0"/>
            </w:tcBorders>
            <w:shd w:val="clear" w:color="000000" w:fill="FFFFFF"/>
            <w:noWrap/>
            <w:vAlign w:val="center"/>
          </w:tcPr>
          <w:p>
            <w:pPr>
              <w:jc w:val="right"/>
              <w:rPr>
                <w:rFonts w:cs="宋体" w:asciiTheme="minorEastAsia" w:hAnsiTheme="minorEastAsia"/>
                <w:kern w:val="0"/>
                <w:szCs w:val="21"/>
              </w:rPr>
            </w:pPr>
            <w:r>
              <w:rPr>
                <w:rFonts w:hint="eastAsia" w:asciiTheme="minorEastAsia" w:hAnsiTheme="minorEastAsia"/>
                <w:szCs w:val="21"/>
              </w:rPr>
              <w:t>6,047</w:t>
            </w:r>
          </w:p>
        </w:tc>
        <w:tc>
          <w:tcPr>
            <w:tcW w:w="3200" w:type="dxa"/>
            <w:gridSpan w:val="4"/>
            <w:tcBorders>
              <w:top w:val="nil"/>
              <w:left w:val="nil"/>
              <w:bottom w:val="single" w:color="auto" w:sz="4" w:space="0"/>
              <w:right w:val="nil"/>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地方政府一般债券转贷支出</w:t>
            </w:r>
          </w:p>
        </w:tc>
        <w:tc>
          <w:tcPr>
            <w:tcW w:w="1200" w:type="dxa"/>
            <w:gridSpan w:val="2"/>
            <w:tcBorders>
              <w:top w:val="nil"/>
              <w:left w:val="single" w:color="auto" w:sz="4" w:space="0"/>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480" w:hRule="atLeast"/>
        </w:trPr>
        <w:tc>
          <w:tcPr>
            <w:tcW w:w="3400" w:type="dxa"/>
            <w:tcBorders>
              <w:top w:val="nil"/>
              <w:left w:val="single" w:color="auto" w:sz="4" w:space="0"/>
              <w:bottom w:val="single" w:color="auto" w:sz="4" w:space="0"/>
              <w:right w:val="nil"/>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地方政府一般债券转贷收入</w:t>
            </w:r>
          </w:p>
        </w:tc>
        <w:tc>
          <w:tcPr>
            <w:tcW w:w="1180" w:type="dxa"/>
            <w:tcBorders>
              <w:top w:val="single" w:color="auto" w:sz="4" w:space="0"/>
              <w:left w:val="single" w:color="auto" w:sz="4" w:space="0"/>
              <w:bottom w:val="single" w:color="auto" w:sz="4" w:space="0"/>
              <w:right w:val="single" w:color="auto" w:sz="4" w:space="0"/>
            </w:tcBorders>
            <w:shd w:val="pct50" w:color="FFFFFF" w:fill="FFFFFF"/>
            <w:noWrap/>
            <w:vAlign w:val="center"/>
          </w:tcPr>
          <w:p>
            <w:pPr>
              <w:jc w:val="right"/>
              <w:rPr>
                <w:rFonts w:cs="宋体" w:asciiTheme="minorEastAsia" w:hAnsiTheme="minorEastAsia"/>
                <w:kern w:val="0"/>
                <w:szCs w:val="21"/>
              </w:rPr>
            </w:pPr>
            <w:r>
              <w:rPr>
                <w:rFonts w:hint="eastAsia" w:asciiTheme="minorEastAsia" w:hAnsiTheme="minorEastAsia"/>
                <w:szCs w:val="21"/>
              </w:rPr>
              <w:t>6,047</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地方政府向外国政府借款转贷支出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地方政府向外国政府借款转贷收入</w:t>
            </w:r>
          </w:p>
        </w:tc>
        <w:tc>
          <w:tcPr>
            <w:tcW w:w="1180" w:type="dxa"/>
            <w:tcBorders>
              <w:top w:val="single" w:color="auto" w:sz="4" w:space="0"/>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200" w:type="dxa"/>
            <w:gridSpan w:val="4"/>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地方政府向国际组织借款转贷支出</w:t>
            </w:r>
          </w:p>
        </w:tc>
        <w:tc>
          <w:tcPr>
            <w:tcW w:w="1200" w:type="dxa"/>
            <w:gridSpan w:val="2"/>
            <w:tcBorders>
              <w:top w:val="single" w:color="auto" w:sz="4" w:space="0"/>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地方政府向国际组织借款转贷收入</w:t>
            </w:r>
          </w:p>
        </w:tc>
        <w:tc>
          <w:tcPr>
            <w:tcW w:w="1180" w:type="dxa"/>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地方政府其他一般债务转贷支出</w:t>
            </w:r>
          </w:p>
        </w:tc>
        <w:tc>
          <w:tcPr>
            <w:tcW w:w="1200" w:type="dxa"/>
            <w:gridSpan w:val="2"/>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地方政府其他一般债务转贷收入</w:t>
            </w:r>
          </w:p>
        </w:tc>
        <w:tc>
          <w:tcPr>
            <w:tcW w:w="1180" w:type="dxa"/>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w:t>
            </w:r>
          </w:p>
        </w:tc>
        <w:tc>
          <w:tcPr>
            <w:tcW w:w="1200" w:type="dxa"/>
            <w:gridSpan w:val="2"/>
            <w:tcBorders>
              <w:top w:val="nil"/>
              <w:left w:val="nil"/>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b/>
                <w:bCs/>
                <w:kern w:val="0"/>
                <w:szCs w:val="21"/>
              </w:rPr>
            </w:pPr>
            <w:r>
              <w:rPr>
                <w:rFonts w:hint="eastAsia" w:cs="宋体" w:asciiTheme="minorEastAsia" w:hAnsiTheme="minorEastAsia"/>
                <w:b/>
                <w:bCs/>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国债转贷收入</w:t>
            </w:r>
          </w:p>
        </w:tc>
        <w:tc>
          <w:tcPr>
            <w:tcW w:w="1180" w:type="dxa"/>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增设预算周转金</w:t>
            </w:r>
          </w:p>
        </w:tc>
        <w:tc>
          <w:tcPr>
            <w:tcW w:w="1200" w:type="dxa"/>
            <w:gridSpan w:val="2"/>
            <w:tcBorders>
              <w:top w:val="nil"/>
              <w:left w:val="nil"/>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国债转贷资金上年结余</w:t>
            </w:r>
          </w:p>
        </w:tc>
        <w:tc>
          <w:tcPr>
            <w:tcW w:w="1180" w:type="dxa"/>
            <w:tcBorders>
              <w:top w:val="nil"/>
              <w:left w:val="nil"/>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拨付国债转贷资金数</w:t>
            </w:r>
          </w:p>
        </w:tc>
        <w:tc>
          <w:tcPr>
            <w:tcW w:w="1200" w:type="dxa"/>
            <w:gridSpan w:val="2"/>
            <w:tcBorders>
              <w:top w:val="nil"/>
              <w:left w:val="nil"/>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国债转贷转补助数</w:t>
            </w:r>
          </w:p>
        </w:tc>
        <w:tc>
          <w:tcPr>
            <w:tcW w:w="1180" w:type="dxa"/>
            <w:tcBorders>
              <w:top w:val="nil"/>
              <w:left w:val="nil"/>
              <w:bottom w:val="single" w:color="auto" w:sz="4" w:space="0"/>
              <w:right w:val="single" w:color="auto" w:sz="4" w:space="0"/>
            </w:tcBorders>
            <w:shd w:val="pct50" w:color="FFFFFF"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国债转贷资金结余</w:t>
            </w:r>
          </w:p>
        </w:tc>
        <w:tc>
          <w:tcPr>
            <w:tcW w:w="1200" w:type="dxa"/>
            <w:gridSpan w:val="2"/>
            <w:tcBorders>
              <w:top w:val="nil"/>
              <w:left w:val="nil"/>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调入预算稳定调节基金</w:t>
            </w:r>
          </w:p>
        </w:tc>
        <w:tc>
          <w:tcPr>
            <w:tcW w:w="118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kern w:val="0"/>
                <w:szCs w:val="21"/>
              </w:rPr>
            </w:pPr>
            <w:r>
              <w:rPr>
                <w:rFonts w:hint="eastAsia" w:asciiTheme="minorEastAsia" w:hAnsiTheme="minorEastAsia"/>
                <w:szCs w:val="21"/>
              </w:rPr>
              <w:t>11,521</w:t>
            </w:r>
          </w:p>
        </w:tc>
        <w:tc>
          <w:tcPr>
            <w:tcW w:w="3200" w:type="dxa"/>
            <w:gridSpan w:val="4"/>
            <w:tcBorders>
              <w:top w:val="nil"/>
              <w:left w:val="nil"/>
              <w:bottom w:val="single" w:color="auto" w:sz="4" w:space="0"/>
              <w:right w:val="nil"/>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安排预算稳定调节基金</w:t>
            </w:r>
          </w:p>
        </w:tc>
        <w:tc>
          <w:tcPr>
            <w:tcW w:w="1200" w:type="dxa"/>
            <w:gridSpan w:val="2"/>
            <w:tcBorders>
              <w:top w:val="nil"/>
              <w:left w:val="single" w:color="auto" w:sz="4" w:space="0"/>
              <w:bottom w:val="nil"/>
              <w:right w:val="single" w:color="auto" w:sz="4" w:space="0"/>
            </w:tcBorders>
            <w:shd w:val="clear" w:color="000000" w:fill="FFFFFF"/>
            <w:noWrap/>
            <w:vAlign w:val="center"/>
          </w:tcPr>
          <w:p>
            <w:pPr>
              <w:jc w:val="right"/>
              <w:rPr>
                <w:rFonts w:cs="宋体" w:asciiTheme="minorEastAsia" w:hAnsiTheme="minorEastAsia"/>
                <w:kern w:val="0"/>
                <w:szCs w:val="21"/>
              </w:rPr>
            </w:pPr>
            <w:r>
              <w:rPr>
                <w:rFonts w:hint="eastAsia" w:asciiTheme="minorEastAsia" w:hAnsiTheme="minorEastAsia"/>
                <w:szCs w:val="21"/>
              </w:rPr>
              <w:t>3,770</w:t>
            </w:r>
          </w:p>
        </w:tc>
      </w:tr>
      <w:tr>
        <w:tblPrEx>
          <w:tblCellMar>
            <w:top w:w="0" w:type="dxa"/>
            <w:left w:w="108" w:type="dxa"/>
            <w:bottom w:w="0" w:type="dxa"/>
            <w:right w:w="108" w:type="dxa"/>
          </w:tblCellMar>
        </w:tblPrEx>
        <w:trPr>
          <w:gridBefore w:val="1"/>
          <w:gridAfter w:val="4"/>
          <w:wBefore w:w="88" w:type="dxa"/>
          <w:wAfter w:w="2448" w:type="dxa"/>
          <w:trHeight w:val="480" w:hRule="atLeast"/>
        </w:trPr>
        <w:tc>
          <w:tcPr>
            <w:tcW w:w="3400" w:type="dxa"/>
            <w:tcBorders>
              <w:top w:val="nil"/>
              <w:left w:val="single" w:color="auto" w:sz="4" w:space="0"/>
              <w:bottom w:val="single" w:color="auto" w:sz="4" w:space="0"/>
              <w:right w:val="nil"/>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　</w:t>
            </w:r>
          </w:p>
        </w:tc>
        <w:tc>
          <w:tcPr>
            <w:tcW w:w="1180" w:type="dxa"/>
            <w:tcBorders>
              <w:top w:val="nil"/>
              <w:left w:val="single" w:color="auto" w:sz="4" w:space="0"/>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待偿债置换一般债券结余</w:t>
            </w:r>
          </w:p>
        </w:tc>
        <w:tc>
          <w:tcPr>
            <w:tcW w:w="1200" w:type="dxa"/>
            <w:gridSpan w:val="2"/>
            <w:tcBorders>
              <w:top w:val="nil"/>
              <w:left w:val="nil"/>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480" w:hRule="atLeast"/>
        </w:trPr>
        <w:tc>
          <w:tcPr>
            <w:tcW w:w="3400" w:type="dxa"/>
            <w:tcBorders>
              <w:top w:val="nil"/>
              <w:left w:val="single" w:color="auto" w:sz="4" w:space="0"/>
              <w:bottom w:val="single" w:color="auto" w:sz="4" w:space="0"/>
              <w:right w:val="nil"/>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　</w:t>
            </w:r>
          </w:p>
        </w:tc>
        <w:tc>
          <w:tcPr>
            <w:tcW w:w="1180" w:type="dxa"/>
            <w:tcBorders>
              <w:top w:val="nil"/>
              <w:left w:val="single" w:color="auto" w:sz="4" w:space="0"/>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年终结余</w:t>
            </w:r>
          </w:p>
        </w:tc>
        <w:tc>
          <w:tcPr>
            <w:tcW w:w="1200"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4,243</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nil"/>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　</w:t>
            </w:r>
          </w:p>
        </w:tc>
        <w:tc>
          <w:tcPr>
            <w:tcW w:w="1180" w:type="dxa"/>
            <w:tcBorders>
              <w:top w:val="nil"/>
              <w:left w:val="single" w:color="auto" w:sz="4" w:space="0"/>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减:结转下年的支出</w:t>
            </w:r>
          </w:p>
        </w:tc>
        <w:tc>
          <w:tcPr>
            <w:tcW w:w="1200"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4,243</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nil"/>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　</w:t>
            </w:r>
          </w:p>
        </w:tc>
        <w:tc>
          <w:tcPr>
            <w:tcW w:w="1180" w:type="dxa"/>
            <w:tcBorders>
              <w:top w:val="nil"/>
              <w:left w:val="single" w:color="auto" w:sz="4" w:space="0"/>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200" w:type="dxa"/>
            <w:gridSpan w:val="4"/>
            <w:tcBorders>
              <w:top w:val="nil"/>
              <w:left w:val="nil"/>
              <w:bottom w:val="single" w:color="auto" w:sz="4" w:space="0"/>
              <w:right w:val="single" w:color="auto" w:sz="4" w:space="0"/>
            </w:tcBorders>
            <w:shd w:val="clear" w:color="000000" w:fill="FFFFFF"/>
            <w:vAlign w:val="center"/>
          </w:tcPr>
          <w:p>
            <w:pPr>
              <w:widowControl/>
              <w:jc w:val="left"/>
              <w:rPr>
                <w:rFonts w:ascii="宋体" w:hAnsi="宋体" w:eastAsia="宋体" w:cs="宋体"/>
                <w:b/>
                <w:bCs/>
                <w:kern w:val="0"/>
                <w:sz w:val="20"/>
                <w:szCs w:val="20"/>
              </w:rPr>
            </w:pPr>
            <w:r>
              <w:rPr>
                <w:rFonts w:hint="eastAsia" w:ascii="宋体" w:hAnsi="宋体" w:eastAsia="宋体" w:cs="宋体"/>
                <w:b/>
                <w:bCs/>
                <w:kern w:val="0"/>
                <w:sz w:val="20"/>
                <w:szCs w:val="20"/>
              </w:rPr>
              <w:t>净结余</w:t>
            </w:r>
          </w:p>
        </w:tc>
        <w:tc>
          <w:tcPr>
            <w:tcW w:w="1200" w:type="dxa"/>
            <w:gridSpan w:val="2"/>
            <w:tcBorders>
              <w:top w:val="nil"/>
              <w:left w:val="nil"/>
              <w:bottom w:val="nil"/>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Before w:val="1"/>
          <w:gridAfter w:val="4"/>
          <w:wBefore w:w="88" w:type="dxa"/>
          <w:wAfter w:w="2448" w:type="dxa"/>
          <w:trHeight w:val="285" w:hRule="atLeast"/>
        </w:trPr>
        <w:tc>
          <w:tcPr>
            <w:tcW w:w="3400" w:type="dxa"/>
            <w:tcBorders>
              <w:top w:val="nil"/>
              <w:left w:val="single" w:color="auto" w:sz="4" w:space="0"/>
              <w:bottom w:val="single" w:color="auto" w:sz="4" w:space="0"/>
              <w:right w:val="nil"/>
            </w:tcBorders>
            <w:shd w:val="clear" w:color="000000" w:fill="FFFFFF"/>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收  入  总  计</w:t>
            </w:r>
          </w:p>
        </w:tc>
        <w:tc>
          <w:tcPr>
            <w:tcW w:w="1180" w:type="dxa"/>
            <w:tcBorders>
              <w:top w:val="nil"/>
              <w:left w:val="single" w:color="auto" w:sz="4" w:space="0"/>
              <w:bottom w:val="single" w:color="auto" w:sz="4" w:space="0"/>
              <w:right w:val="single" w:color="auto" w:sz="4" w:space="0"/>
            </w:tcBorders>
            <w:shd w:val="clear" w:color="000000" w:fill="FFFFFF"/>
            <w:noWrap/>
            <w:vAlign w:val="center"/>
          </w:tcPr>
          <w:p>
            <w:pPr>
              <w:jc w:val="right"/>
              <w:rPr>
                <w:rFonts w:cs="宋体" w:asciiTheme="minorEastAsia" w:hAnsiTheme="minorEastAsia"/>
                <w:kern w:val="0"/>
                <w:szCs w:val="21"/>
              </w:rPr>
            </w:pPr>
            <w:r>
              <w:rPr>
                <w:rFonts w:hint="eastAsia" w:asciiTheme="minorEastAsia" w:hAnsiTheme="minorEastAsia"/>
                <w:szCs w:val="21"/>
              </w:rPr>
              <w:t>231,385</w:t>
            </w:r>
          </w:p>
        </w:tc>
        <w:tc>
          <w:tcPr>
            <w:tcW w:w="3200" w:type="dxa"/>
            <w:gridSpan w:val="4"/>
            <w:tcBorders>
              <w:top w:val="nil"/>
              <w:left w:val="nil"/>
              <w:bottom w:val="single" w:color="auto" w:sz="4" w:space="0"/>
              <w:right w:val="nil"/>
            </w:tcBorders>
            <w:shd w:val="clear" w:color="000000" w:fill="FFFFFF"/>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支  出  总  计</w:t>
            </w:r>
          </w:p>
        </w:tc>
        <w:tc>
          <w:tcPr>
            <w:tcW w:w="1200" w:type="dxa"/>
            <w:gridSpan w:val="2"/>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right"/>
              <w:rPr>
                <w:rFonts w:cs="宋体" w:asciiTheme="minorEastAsia" w:hAnsiTheme="minorEastAsia"/>
                <w:kern w:val="0"/>
                <w:szCs w:val="21"/>
              </w:rPr>
            </w:pPr>
            <w:r>
              <w:rPr>
                <w:rFonts w:hint="eastAsia" w:asciiTheme="minorEastAsia" w:hAnsiTheme="minorEastAsia"/>
                <w:szCs w:val="21"/>
              </w:rPr>
              <w:t>231,385</w:t>
            </w:r>
          </w:p>
        </w:tc>
      </w:tr>
    </w:tbl>
    <w:p>
      <w:pPr>
        <w:adjustRightInd w:val="0"/>
        <w:snapToGrid w:val="0"/>
        <w:spacing w:line="600" w:lineRule="exact"/>
        <w:jc w:val="left"/>
        <w:rPr>
          <w:rFonts w:ascii="仿宋_GB2312" w:hAnsi="仿宋" w:eastAsia="仿宋_GB2312" w:cs="Times New Roman"/>
          <w:sz w:val="32"/>
          <w:szCs w:val="32"/>
        </w:rPr>
        <w:sectPr>
          <w:footerReference r:id="rId3" w:type="default"/>
          <w:footerReference r:id="rId4" w:type="even"/>
          <w:pgSz w:w="11906" w:h="16838"/>
          <w:pgMar w:top="1440" w:right="1474" w:bottom="1361" w:left="1797" w:header="851" w:footer="992" w:gutter="0"/>
          <w:cols w:space="425" w:num="1"/>
          <w:docGrid w:type="lines" w:linePitch="312" w:charSpace="0"/>
        </w:sectPr>
      </w:pPr>
    </w:p>
    <w:tbl>
      <w:tblPr>
        <w:tblStyle w:val="6"/>
        <w:tblW w:w="19112" w:type="dxa"/>
        <w:tblInd w:w="93" w:type="dxa"/>
        <w:tblLayout w:type="autofit"/>
        <w:tblCellMar>
          <w:top w:w="0" w:type="dxa"/>
          <w:left w:w="108" w:type="dxa"/>
          <w:bottom w:w="0" w:type="dxa"/>
          <w:right w:w="108" w:type="dxa"/>
        </w:tblCellMar>
      </w:tblPr>
      <w:tblGrid>
        <w:gridCol w:w="2806"/>
        <w:gridCol w:w="328"/>
        <w:gridCol w:w="313"/>
        <w:gridCol w:w="45"/>
        <w:gridCol w:w="326"/>
        <w:gridCol w:w="523"/>
        <w:gridCol w:w="34"/>
        <w:gridCol w:w="75"/>
        <w:gridCol w:w="214"/>
        <w:gridCol w:w="818"/>
        <w:gridCol w:w="179"/>
        <w:gridCol w:w="45"/>
        <w:gridCol w:w="149"/>
        <w:gridCol w:w="718"/>
        <w:gridCol w:w="510"/>
        <w:gridCol w:w="160"/>
        <w:gridCol w:w="259"/>
        <w:gridCol w:w="651"/>
        <w:gridCol w:w="298"/>
        <w:gridCol w:w="69"/>
        <w:gridCol w:w="860"/>
        <w:gridCol w:w="236"/>
        <w:gridCol w:w="51"/>
        <w:gridCol w:w="454"/>
        <w:gridCol w:w="313"/>
        <w:gridCol w:w="171"/>
        <w:gridCol w:w="515"/>
        <w:gridCol w:w="198"/>
        <w:gridCol w:w="392"/>
        <w:gridCol w:w="435"/>
        <w:gridCol w:w="132"/>
        <w:gridCol w:w="696"/>
        <w:gridCol w:w="155"/>
        <w:gridCol w:w="141"/>
        <w:gridCol w:w="515"/>
        <w:gridCol w:w="336"/>
        <w:gridCol w:w="1119"/>
        <w:gridCol w:w="837"/>
        <w:gridCol w:w="1020"/>
        <w:gridCol w:w="1000"/>
        <w:gridCol w:w="780"/>
        <w:gridCol w:w="236"/>
      </w:tblGrid>
      <w:tr>
        <w:tblPrEx>
          <w:tblCellMar>
            <w:top w:w="0" w:type="dxa"/>
            <w:left w:w="108" w:type="dxa"/>
            <w:bottom w:w="0" w:type="dxa"/>
            <w:right w:w="108" w:type="dxa"/>
          </w:tblCellMar>
        </w:tblPrEx>
        <w:trPr>
          <w:trHeight w:val="285" w:hRule="atLeast"/>
        </w:trPr>
        <w:tc>
          <w:tcPr>
            <w:tcW w:w="16076" w:type="dxa"/>
            <w:gridSpan w:val="38"/>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r>
              <w:rPr>
                <w:rFonts w:hint="eastAsia" w:ascii="仿宋_GB2312" w:hAnsi="宋体" w:eastAsia="仿宋_GB2312" w:cs="宋体"/>
                <w:kern w:val="0"/>
                <w:sz w:val="24"/>
                <w:szCs w:val="24"/>
              </w:rPr>
              <w:t>附表四</w:t>
            </w:r>
          </w:p>
        </w:tc>
        <w:tc>
          <w:tcPr>
            <w:tcW w:w="1020" w:type="dxa"/>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c>
          <w:tcPr>
            <w:tcW w:w="1000" w:type="dxa"/>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c>
          <w:tcPr>
            <w:tcW w:w="780" w:type="dxa"/>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c>
          <w:tcPr>
            <w:tcW w:w="236" w:type="dxa"/>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r>
      <w:tr>
        <w:tblPrEx>
          <w:tblCellMar>
            <w:top w:w="0" w:type="dxa"/>
            <w:left w:w="108" w:type="dxa"/>
            <w:bottom w:w="0" w:type="dxa"/>
            <w:right w:w="108" w:type="dxa"/>
          </w:tblCellMar>
        </w:tblPrEx>
        <w:trPr>
          <w:gridAfter w:val="7"/>
          <w:wAfter w:w="5328" w:type="dxa"/>
          <w:trHeight w:val="450" w:hRule="atLeast"/>
        </w:trPr>
        <w:tc>
          <w:tcPr>
            <w:tcW w:w="13784" w:type="dxa"/>
            <w:gridSpan w:val="35"/>
            <w:tcBorders>
              <w:top w:val="nil"/>
              <w:left w:val="nil"/>
              <w:bottom w:val="nil"/>
              <w:right w:val="nil"/>
            </w:tcBorders>
            <w:shd w:val="clear" w:color="000000" w:fill="FFFFFF"/>
            <w:noWrap/>
            <w:vAlign w:val="center"/>
          </w:tcPr>
          <w:p>
            <w:pPr>
              <w:jc w:val="center"/>
              <w:rPr>
                <w:rFonts w:ascii="宋体" w:hAnsi="宋体" w:eastAsia="宋体" w:cs="宋体"/>
                <w:b/>
                <w:bCs/>
                <w:color w:val="000000"/>
                <w:sz w:val="36"/>
                <w:szCs w:val="36"/>
              </w:rPr>
            </w:pPr>
            <w:r>
              <w:rPr>
                <w:rFonts w:hint="eastAsia"/>
                <w:b/>
                <w:bCs/>
                <w:color w:val="000000"/>
                <w:sz w:val="36"/>
                <w:szCs w:val="36"/>
              </w:rPr>
              <w:t>2017年度无极县一般公共预算支出预算变动及结余、结转情况表</w:t>
            </w:r>
          </w:p>
        </w:tc>
      </w:tr>
      <w:tr>
        <w:tblPrEx>
          <w:tblCellMar>
            <w:top w:w="0" w:type="dxa"/>
            <w:left w:w="108" w:type="dxa"/>
            <w:bottom w:w="0" w:type="dxa"/>
            <w:right w:w="108" w:type="dxa"/>
          </w:tblCellMar>
        </w:tblPrEx>
        <w:trPr>
          <w:gridAfter w:val="7"/>
          <w:wAfter w:w="5328" w:type="dxa"/>
          <w:trHeight w:val="270" w:hRule="atLeast"/>
        </w:trPr>
        <w:tc>
          <w:tcPr>
            <w:tcW w:w="13784" w:type="dxa"/>
            <w:gridSpan w:val="35"/>
            <w:tcBorders>
              <w:top w:val="nil"/>
              <w:left w:val="nil"/>
              <w:bottom w:val="nil"/>
              <w:right w:val="nil"/>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填报单位：无极县财政局                                                                                                        单位:万元</w:t>
            </w:r>
          </w:p>
        </w:tc>
      </w:tr>
      <w:tr>
        <w:tblPrEx>
          <w:tblCellMar>
            <w:top w:w="0" w:type="dxa"/>
            <w:left w:w="108" w:type="dxa"/>
            <w:bottom w:w="0" w:type="dxa"/>
            <w:right w:w="108" w:type="dxa"/>
          </w:tblCellMar>
        </w:tblPrEx>
        <w:trPr>
          <w:gridAfter w:val="7"/>
          <w:wAfter w:w="5328" w:type="dxa"/>
          <w:trHeight w:val="240" w:hRule="atLeast"/>
        </w:trPr>
        <w:tc>
          <w:tcPr>
            <w:tcW w:w="2806" w:type="dxa"/>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jc w:val="center"/>
              <w:rPr>
                <w:rFonts w:ascii="宋体" w:hAnsi="宋体" w:eastAsia="宋体" w:cs="宋体"/>
                <w:color w:val="000000"/>
                <w:sz w:val="20"/>
                <w:szCs w:val="20"/>
              </w:rPr>
            </w:pPr>
            <w:r>
              <w:rPr>
                <w:rFonts w:hint="eastAsia"/>
                <w:color w:val="000000"/>
                <w:sz w:val="20"/>
                <w:szCs w:val="20"/>
              </w:rPr>
              <w:t>预算科目</w:t>
            </w:r>
          </w:p>
        </w:tc>
        <w:tc>
          <w:tcPr>
            <w:tcW w:w="1012" w:type="dxa"/>
            <w:gridSpan w:val="4"/>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ascii="宋体" w:hAnsi="宋体" w:eastAsia="宋体" w:cs="宋体"/>
                <w:color w:val="000000"/>
                <w:sz w:val="20"/>
                <w:szCs w:val="20"/>
              </w:rPr>
            </w:pPr>
            <w:r>
              <w:rPr>
                <w:rFonts w:hint="eastAsia"/>
                <w:color w:val="000000"/>
                <w:sz w:val="20"/>
                <w:szCs w:val="20"/>
              </w:rPr>
              <w:t>预算数</w:t>
            </w:r>
          </w:p>
        </w:tc>
        <w:tc>
          <w:tcPr>
            <w:tcW w:w="6303" w:type="dxa"/>
            <w:gridSpan w:val="19"/>
            <w:tcBorders>
              <w:top w:val="single" w:color="auto" w:sz="4" w:space="0"/>
              <w:left w:val="nil"/>
              <w:bottom w:val="single" w:color="auto" w:sz="4" w:space="0"/>
              <w:right w:val="single" w:color="auto" w:sz="4" w:space="0"/>
            </w:tcBorders>
            <w:shd w:val="clear" w:color="000000" w:fill="FFFFFF"/>
            <w:noWrap/>
            <w:vAlign w:val="center"/>
          </w:tcPr>
          <w:p>
            <w:pPr>
              <w:jc w:val="center"/>
              <w:rPr>
                <w:rFonts w:ascii="宋体" w:hAnsi="宋体" w:eastAsia="宋体" w:cs="宋体"/>
                <w:color w:val="000000"/>
                <w:sz w:val="20"/>
                <w:szCs w:val="20"/>
              </w:rPr>
            </w:pPr>
            <w:r>
              <w:rPr>
                <w:rFonts w:hint="eastAsia"/>
                <w:color w:val="000000"/>
                <w:sz w:val="20"/>
                <w:szCs w:val="20"/>
              </w:rPr>
              <w:t>变    动    项    目</w:t>
            </w:r>
          </w:p>
        </w:tc>
        <w:tc>
          <w:tcPr>
            <w:tcW w:w="999" w:type="dxa"/>
            <w:gridSpan w:val="3"/>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ascii="宋体" w:hAnsi="宋体" w:eastAsia="宋体" w:cs="宋体"/>
                <w:color w:val="000000"/>
                <w:sz w:val="20"/>
                <w:szCs w:val="20"/>
              </w:rPr>
            </w:pPr>
            <w:r>
              <w:rPr>
                <w:rFonts w:hint="eastAsia"/>
                <w:color w:val="000000"/>
                <w:sz w:val="20"/>
                <w:szCs w:val="20"/>
              </w:rPr>
              <w:t>调整预算数</w:t>
            </w:r>
          </w:p>
        </w:tc>
        <w:tc>
          <w:tcPr>
            <w:tcW w:w="1025" w:type="dxa"/>
            <w:gridSpan w:val="3"/>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ascii="宋体" w:hAnsi="宋体" w:eastAsia="宋体" w:cs="宋体"/>
                <w:color w:val="000000"/>
                <w:sz w:val="20"/>
                <w:szCs w:val="20"/>
              </w:rPr>
            </w:pPr>
            <w:r>
              <w:rPr>
                <w:rFonts w:hint="eastAsia"/>
                <w:color w:val="000000"/>
                <w:sz w:val="20"/>
                <w:szCs w:val="20"/>
              </w:rPr>
              <w:t>决算数</w:t>
            </w:r>
          </w:p>
        </w:tc>
        <w:tc>
          <w:tcPr>
            <w:tcW w:w="828" w:type="dxa"/>
            <w:gridSpan w:val="2"/>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ascii="宋体" w:hAnsi="宋体" w:eastAsia="宋体" w:cs="宋体"/>
                <w:color w:val="000000"/>
                <w:sz w:val="20"/>
                <w:szCs w:val="20"/>
              </w:rPr>
            </w:pPr>
            <w:r>
              <w:rPr>
                <w:rFonts w:hint="eastAsia"/>
                <w:color w:val="000000"/>
                <w:sz w:val="20"/>
                <w:szCs w:val="20"/>
              </w:rPr>
              <w:t>预算结余</w:t>
            </w:r>
          </w:p>
        </w:tc>
        <w:tc>
          <w:tcPr>
            <w:tcW w:w="811" w:type="dxa"/>
            <w:gridSpan w:val="3"/>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ascii="宋体" w:hAnsi="宋体" w:eastAsia="宋体" w:cs="宋体"/>
                <w:color w:val="000000"/>
                <w:sz w:val="20"/>
                <w:szCs w:val="20"/>
              </w:rPr>
            </w:pPr>
            <w:r>
              <w:rPr>
                <w:rFonts w:hint="eastAsia"/>
                <w:color w:val="000000"/>
                <w:sz w:val="20"/>
                <w:szCs w:val="20"/>
              </w:rPr>
              <w:t>结转下年使用数</w:t>
            </w:r>
          </w:p>
        </w:tc>
      </w:tr>
      <w:tr>
        <w:tblPrEx>
          <w:tblCellMar>
            <w:top w:w="0" w:type="dxa"/>
            <w:left w:w="108" w:type="dxa"/>
            <w:bottom w:w="0" w:type="dxa"/>
            <w:right w:w="108" w:type="dxa"/>
          </w:tblCellMar>
        </w:tblPrEx>
        <w:trPr>
          <w:gridAfter w:val="7"/>
          <w:wAfter w:w="5328" w:type="dxa"/>
          <w:trHeight w:val="240" w:hRule="atLeast"/>
        </w:trPr>
        <w:tc>
          <w:tcPr>
            <w:tcW w:w="2806" w:type="dxa"/>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20"/>
                <w:szCs w:val="20"/>
              </w:rPr>
            </w:pPr>
          </w:p>
        </w:tc>
        <w:tc>
          <w:tcPr>
            <w:tcW w:w="1012" w:type="dxa"/>
            <w:gridSpan w:val="4"/>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20"/>
                <w:szCs w:val="20"/>
              </w:rPr>
            </w:pPr>
          </w:p>
        </w:tc>
        <w:tc>
          <w:tcPr>
            <w:tcW w:w="846" w:type="dxa"/>
            <w:gridSpan w:val="4"/>
            <w:tcBorders>
              <w:top w:val="nil"/>
              <w:left w:val="nil"/>
              <w:bottom w:val="single" w:color="auto" w:sz="4" w:space="0"/>
              <w:right w:val="single" w:color="auto" w:sz="4" w:space="0"/>
            </w:tcBorders>
            <w:shd w:val="clear" w:color="000000" w:fill="FFFFFF"/>
            <w:noWrap/>
            <w:vAlign w:val="center"/>
          </w:tcPr>
          <w:p>
            <w:pPr>
              <w:jc w:val="center"/>
              <w:rPr>
                <w:rFonts w:ascii="宋体" w:hAnsi="宋体" w:eastAsia="宋体" w:cs="宋体"/>
                <w:color w:val="000000"/>
                <w:sz w:val="20"/>
                <w:szCs w:val="20"/>
              </w:rPr>
            </w:pPr>
            <w:r>
              <w:rPr>
                <w:rFonts w:hint="eastAsia"/>
                <w:color w:val="000000"/>
                <w:sz w:val="20"/>
                <w:szCs w:val="20"/>
              </w:rPr>
              <w:t>小计</w:t>
            </w:r>
          </w:p>
        </w:tc>
        <w:tc>
          <w:tcPr>
            <w:tcW w:w="997" w:type="dxa"/>
            <w:gridSpan w:val="2"/>
            <w:tcBorders>
              <w:top w:val="nil"/>
              <w:left w:val="nil"/>
              <w:bottom w:val="single" w:color="auto" w:sz="4" w:space="0"/>
              <w:right w:val="single" w:color="auto" w:sz="4" w:space="0"/>
            </w:tcBorders>
            <w:shd w:val="clear" w:color="000000" w:fill="FFFFFF"/>
            <w:vAlign w:val="center"/>
          </w:tcPr>
          <w:p>
            <w:pPr>
              <w:jc w:val="center"/>
              <w:rPr>
                <w:rFonts w:ascii="宋体" w:hAnsi="宋体" w:eastAsia="宋体" w:cs="宋体"/>
                <w:color w:val="000000"/>
                <w:sz w:val="20"/>
                <w:szCs w:val="20"/>
              </w:rPr>
            </w:pPr>
            <w:r>
              <w:rPr>
                <w:rFonts w:hint="eastAsia"/>
                <w:color w:val="000000"/>
                <w:sz w:val="20"/>
                <w:szCs w:val="20"/>
              </w:rPr>
              <w:t>一般性转移支付</w:t>
            </w:r>
          </w:p>
        </w:tc>
        <w:tc>
          <w:tcPr>
            <w:tcW w:w="912" w:type="dxa"/>
            <w:gridSpan w:val="3"/>
            <w:tcBorders>
              <w:top w:val="nil"/>
              <w:left w:val="nil"/>
              <w:bottom w:val="single" w:color="auto" w:sz="4" w:space="0"/>
              <w:right w:val="single" w:color="auto" w:sz="4" w:space="0"/>
            </w:tcBorders>
            <w:shd w:val="clear" w:color="000000" w:fill="FFFFFF"/>
            <w:vAlign w:val="center"/>
          </w:tcPr>
          <w:p>
            <w:pPr>
              <w:jc w:val="center"/>
              <w:rPr>
                <w:rFonts w:ascii="宋体" w:hAnsi="宋体" w:eastAsia="宋体" w:cs="宋体"/>
                <w:color w:val="000000"/>
                <w:sz w:val="20"/>
                <w:szCs w:val="20"/>
              </w:rPr>
            </w:pPr>
            <w:r>
              <w:rPr>
                <w:rFonts w:hint="eastAsia"/>
                <w:color w:val="000000"/>
                <w:sz w:val="20"/>
                <w:szCs w:val="20"/>
              </w:rPr>
              <w:t>专项转移支付</w:t>
            </w:r>
          </w:p>
        </w:tc>
        <w:tc>
          <w:tcPr>
            <w:tcW w:w="929" w:type="dxa"/>
            <w:gridSpan w:val="3"/>
            <w:tcBorders>
              <w:top w:val="nil"/>
              <w:left w:val="nil"/>
              <w:bottom w:val="single" w:color="auto" w:sz="4" w:space="0"/>
              <w:right w:val="single" w:color="auto" w:sz="4" w:space="0"/>
            </w:tcBorders>
            <w:shd w:val="clear" w:color="000000" w:fill="FFFFFF"/>
            <w:vAlign w:val="center"/>
          </w:tcPr>
          <w:p>
            <w:pPr>
              <w:jc w:val="center"/>
              <w:rPr>
                <w:rFonts w:ascii="宋体" w:hAnsi="宋体" w:eastAsia="宋体" w:cs="宋体"/>
                <w:color w:val="000000"/>
                <w:sz w:val="20"/>
                <w:szCs w:val="20"/>
              </w:rPr>
            </w:pPr>
            <w:r>
              <w:rPr>
                <w:rFonts w:hint="eastAsia"/>
                <w:color w:val="000000"/>
                <w:sz w:val="20"/>
                <w:szCs w:val="20"/>
              </w:rPr>
              <w:t>上年结转使用数</w:t>
            </w:r>
          </w:p>
        </w:tc>
        <w:tc>
          <w:tcPr>
            <w:tcW w:w="1018" w:type="dxa"/>
            <w:gridSpan w:val="3"/>
            <w:tcBorders>
              <w:top w:val="nil"/>
              <w:left w:val="nil"/>
              <w:bottom w:val="single" w:color="auto" w:sz="4" w:space="0"/>
              <w:right w:val="single" w:color="auto" w:sz="4" w:space="0"/>
            </w:tcBorders>
            <w:shd w:val="clear" w:color="000000" w:fill="FFFFFF"/>
            <w:vAlign w:val="center"/>
          </w:tcPr>
          <w:p>
            <w:pPr>
              <w:jc w:val="center"/>
              <w:rPr>
                <w:rFonts w:ascii="宋体" w:hAnsi="宋体" w:eastAsia="宋体" w:cs="宋体"/>
                <w:color w:val="000000"/>
                <w:sz w:val="20"/>
                <w:szCs w:val="20"/>
              </w:rPr>
            </w:pPr>
            <w:r>
              <w:rPr>
                <w:rFonts w:hint="eastAsia"/>
                <w:color w:val="000000"/>
                <w:sz w:val="20"/>
                <w:szCs w:val="20"/>
              </w:rPr>
              <w:t>科目调剂</w:t>
            </w:r>
          </w:p>
        </w:tc>
        <w:tc>
          <w:tcPr>
            <w:tcW w:w="860" w:type="dxa"/>
            <w:tcBorders>
              <w:top w:val="nil"/>
              <w:left w:val="nil"/>
              <w:bottom w:val="single" w:color="auto" w:sz="4" w:space="0"/>
              <w:right w:val="single" w:color="auto" w:sz="4" w:space="0"/>
            </w:tcBorders>
            <w:shd w:val="clear" w:color="000000" w:fill="FFFFFF"/>
            <w:vAlign w:val="center"/>
          </w:tcPr>
          <w:p>
            <w:pPr>
              <w:jc w:val="center"/>
              <w:rPr>
                <w:rFonts w:ascii="宋体" w:hAnsi="宋体" w:eastAsia="宋体" w:cs="宋体"/>
                <w:color w:val="000000"/>
                <w:sz w:val="20"/>
                <w:szCs w:val="20"/>
              </w:rPr>
            </w:pPr>
            <w:r>
              <w:rPr>
                <w:rFonts w:hint="eastAsia"/>
                <w:color w:val="000000"/>
                <w:sz w:val="20"/>
                <w:szCs w:val="20"/>
              </w:rPr>
              <w:t>调入资金</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center"/>
              <w:rPr>
                <w:rFonts w:ascii="宋体" w:hAnsi="宋体" w:eastAsia="宋体" w:cs="宋体"/>
                <w:color w:val="000000"/>
                <w:sz w:val="20"/>
                <w:szCs w:val="20"/>
              </w:rPr>
            </w:pPr>
            <w:r>
              <w:rPr>
                <w:rFonts w:hint="eastAsia"/>
                <w:color w:val="000000"/>
                <w:sz w:val="20"/>
                <w:szCs w:val="20"/>
              </w:rPr>
              <w:t>其他</w:t>
            </w:r>
          </w:p>
        </w:tc>
        <w:tc>
          <w:tcPr>
            <w:tcW w:w="999" w:type="dxa"/>
            <w:gridSpan w:val="3"/>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20"/>
                <w:szCs w:val="20"/>
              </w:rPr>
            </w:pPr>
          </w:p>
        </w:tc>
        <w:tc>
          <w:tcPr>
            <w:tcW w:w="1025" w:type="dxa"/>
            <w:gridSpan w:val="3"/>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20"/>
                <w:szCs w:val="20"/>
              </w:rPr>
            </w:pPr>
          </w:p>
        </w:tc>
        <w:tc>
          <w:tcPr>
            <w:tcW w:w="828" w:type="dxa"/>
            <w:gridSpan w:val="2"/>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20"/>
                <w:szCs w:val="20"/>
              </w:rPr>
            </w:pPr>
          </w:p>
        </w:tc>
        <w:tc>
          <w:tcPr>
            <w:tcW w:w="811" w:type="dxa"/>
            <w:gridSpan w:val="3"/>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20"/>
                <w:szCs w:val="20"/>
              </w:rPr>
            </w:pP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一般公共服务支出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19,319</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9,255</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10</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44</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9,201</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28,574</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28,574</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公共安全支出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9,460</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1,029</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369</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34</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51</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575</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10,489</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10,453</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36</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36</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教育支出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43,355</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5,287</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467</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2,208</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477</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2,135</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48,642</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48,623</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19</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19</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科学技术支出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1,168</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119</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950</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-831</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1,287</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1,287</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文化体育与传媒支出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1,225</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754</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191</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117</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446</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1,979</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1,898</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81</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81</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社会保障和就业支出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22,797</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14,860</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6,632</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430</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7,798</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37,657</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37,357</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300</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300</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医疗卫生与计划生育支出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26,658</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10,584</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3,258</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3,204</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4,534</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-412</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37,242</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37,224</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18</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18</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节能环保支出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2,306</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8,946</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1,996</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351</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2,599</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4,000</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11,252</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10,279</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973</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973</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城乡社区支出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3,757</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3,011</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300</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2,711</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6,768</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6,768</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农林水支出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16,632</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1,576</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7,518</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20</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-5,962</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18,208</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16,329</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1,879</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1,879</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交通运输支出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4,364</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1,503</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944</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559</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5,867</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5,483</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384</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384</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资源勘探信息等支出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653</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1,508</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1,508</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2,161</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2,161</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商业服务业等支出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515</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434</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25</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409</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949</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919</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30</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30</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国土海洋气象等支出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6,944</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247</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195</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52</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7,191</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7,191</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住房保障支出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4,763</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86</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384</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13</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-311</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4,849</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4,844</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粮油物资储备支出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1,117</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356</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867</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-511</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1,473</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1,019</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454</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454</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预备费</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3,000</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-3,000</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-3,000</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其他支出(类)</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1,500</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-744</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-17,047</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16,341</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-38</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756</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692</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64</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64</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债务付息支出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3,000</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115</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115</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3,115</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3,115</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rPr>
                <w:rFonts w:ascii="宋体" w:hAnsi="宋体" w:eastAsia="宋体" w:cs="宋体"/>
                <w:color w:val="000000"/>
                <w:sz w:val="20"/>
                <w:szCs w:val="20"/>
              </w:rPr>
            </w:pPr>
            <w:r>
              <w:rPr>
                <w:rFonts w:hint="eastAsia"/>
                <w:color w:val="000000"/>
                <w:sz w:val="20"/>
                <w:szCs w:val="20"/>
              </w:rPr>
              <w:t>债务发行费用支出</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60</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-34</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　</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-34</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26</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26</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r>
      <w:tr>
        <w:tblPrEx>
          <w:tblCellMar>
            <w:top w:w="0" w:type="dxa"/>
            <w:left w:w="108" w:type="dxa"/>
            <w:bottom w:w="0" w:type="dxa"/>
            <w:right w:w="108" w:type="dxa"/>
          </w:tblCellMar>
        </w:tblPrEx>
        <w:trPr>
          <w:gridAfter w:val="7"/>
          <w:wAfter w:w="5328" w:type="dxa"/>
          <w:trHeight w:val="240" w:hRule="atLeast"/>
        </w:trPr>
        <w:tc>
          <w:tcPr>
            <w:tcW w:w="2806" w:type="dxa"/>
            <w:tcBorders>
              <w:top w:val="nil"/>
              <w:left w:val="single" w:color="auto" w:sz="4" w:space="0"/>
              <w:bottom w:val="single" w:color="auto" w:sz="4" w:space="0"/>
              <w:right w:val="single" w:color="auto" w:sz="4" w:space="0"/>
            </w:tcBorders>
            <w:shd w:val="clear" w:color="000000" w:fill="FFFFFF"/>
            <w:noWrap/>
            <w:vAlign w:val="center"/>
          </w:tcPr>
          <w:p>
            <w:pPr>
              <w:jc w:val="center"/>
              <w:rPr>
                <w:rFonts w:ascii="宋体" w:hAnsi="宋体" w:eastAsia="宋体" w:cs="宋体"/>
                <w:color w:val="000000"/>
                <w:sz w:val="20"/>
                <w:szCs w:val="20"/>
              </w:rPr>
            </w:pPr>
            <w:r>
              <w:rPr>
                <w:rFonts w:hint="eastAsia"/>
                <w:color w:val="000000"/>
                <w:sz w:val="20"/>
                <w:szCs w:val="20"/>
              </w:rPr>
              <w:t>合       计</w:t>
            </w:r>
          </w:p>
        </w:tc>
        <w:tc>
          <w:tcPr>
            <w:tcW w:w="1012"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172,593</w:t>
            </w:r>
          </w:p>
        </w:tc>
        <w:tc>
          <w:tcPr>
            <w:tcW w:w="846"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55,892</w:t>
            </w:r>
          </w:p>
        </w:tc>
        <w:tc>
          <w:tcPr>
            <w:tcW w:w="997" w:type="dxa"/>
            <w:gridSpan w:val="2"/>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4,094</w:t>
            </w:r>
          </w:p>
        </w:tc>
        <w:tc>
          <w:tcPr>
            <w:tcW w:w="91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24,566</w:t>
            </w:r>
          </w:p>
        </w:tc>
        <w:tc>
          <w:tcPr>
            <w:tcW w:w="929" w:type="dxa"/>
            <w:gridSpan w:val="3"/>
            <w:tcBorders>
              <w:top w:val="nil"/>
              <w:left w:val="nil"/>
              <w:bottom w:val="single" w:color="auto" w:sz="4" w:space="0"/>
              <w:right w:val="single" w:color="auto" w:sz="4" w:space="0"/>
            </w:tcBorders>
            <w:shd w:val="clear" w:color="000000" w:fill="FFFFFF"/>
            <w:vAlign w:val="center"/>
          </w:tcPr>
          <w:p>
            <w:pPr>
              <w:jc w:val="right"/>
              <w:rPr>
                <w:rFonts w:cs="宋体" w:asciiTheme="minorEastAsia" w:hAnsiTheme="minorEastAsia"/>
                <w:szCs w:val="21"/>
              </w:rPr>
            </w:pPr>
            <w:r>
              <w:rPr>
                <w:rFonts w:hint="eastAsia" w:asciiTheme="minorEastAsia" w:hAnsiTheme="minorEastAsia"/>
                <w:szCs w:val="21"/>
              </w:rPr>
              <w:t>6,929</w:t>
            </w:r>
          </w:p>
        </w:tc>
        <w:tc>
          <w:tcPr>
            <w:tcW w:w="1018"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60" w:type="dxa"/>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16,341</w:t>
            </w:r>
          </w:p>
        </w:tc>
        <w:tc>
          <w:tcPr>
            <w:tcW w:w="74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3,962</w:t>
            </w:r>
          </w:p>
        </w:tc>
        <w:tc>
          <w:tcPr>
            <w:tcW w:w="99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228,485</w:t>
            </w:r>
          </w:p>
        </w:tc>
        <w:tc>
          <w:tcPr>
            <w:tcW w:w="1025"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224,242</w:t>
            </w:r>
          </w:p>
        </w:tc>
        <w:tc>
          <w:tcPr>
            <w:tcW w:w="828"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4,243</w:t>
            </w:r>
          </w:p>
        </w:tc>
        <w:tc>
          <w:tcPr>
            <w:tcW w:w="811"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4,243</w:t>
            </w:r>
          </w:p>
        </w:tc>
      </w:tr>
      <w:tr>
        <w:tblPrEx>
          <w:tblCellMar>
            <w:top w:w="0" w:type="dxa"/>
            <w:left w:w="108" w:type="dxa"/>
            <w:bottom w:w="0" w:type="dxa"/>
            <w:right w:w="108" w:type="dxa"/>
          </w:tblCellMar>
        </w:tblPrEx>
        <w:trPr>
          <w:gridAfter w:val="6"/>
          <w:wAfter w:w="4992" w:type="dxa"/>
          <w:trHeight w:val="435" w:hRule="atLeast"/>
        </w:trPr>
        <w:tc>
          <w:tcPr>
            <w:tcW w:w="14120" w:type="dxa"/>
            <w:gridSpan w:val="36"/>
            <w:tcBorders>
              <w:top w:val="nil"/>
              <w:left w:val="nil"/>
              <w:bottom w:val="nil"/>
              <w:right w:val="nil"/>
            </w:tcBorders>
            <w:shd w:val="clear" w:color="auto" w:fill="auto"/>
            <w:noWrap/>
            <w:vAlign w:val="bottom"/>
          </w:tcPr>
          <w:p>
            <w:pPr>
              <w:widowControl/>
              <w:jc w:val="left"/>
              <w:rPr>
                <w:rFonts w:ascii="仿宋_GB2312" w:hAnsi="宋体" w:eastAsia="仿宋_GB2312" w:cs="宋体"/>
                <w:kern w:val="0"/>
                <w:sz w:val="24"/>
                <w:szCs w:val="24"/>
              </w:rPr>
            </w:pPr>
          </w:p>
          <w:p>
            <w:pPr>
              <w:widowControl/>
              <w:jc w:val="left"/>
              <w:rPr>
                <w:rFonts w:ascii="宋体" w:hAnsi="宋体" w:eastAsia="宋体" w:cs="宋体"/>
                <w:kern w:val="0"/>
                <w:sz w:val="24"/>
                <w:szCs w:val="24"/>
              </w:rPr>
            </w:pPr>
            <w:r>
              <w:rPr>
                <w:rFonts w:hint="eastAsia" w:ascii="仿宋_GB2312" w:hAnsi="宋体" w:eastAsia="仿宋_GB2312" w:cs="宋体"/>
                <w:kern w:val="0"/>
                <w:sz w:val="24"/>
                <w:szCs w:val="24"/>
              </w:rPr>
              <w:t>附表五</w:t>
            </w:r>
          </w:p>
        </w:tc>
      </w:tr>
      <w:tr>
        <w:tblPrEx>
          <w:tblCellMar>
            <w:top w:w="0" w:type="dxa"/>
            <w:left w:w="108" w:type="dxa"/>
            <w:bottom w:w="0" w:type="dxa"/>
            <w:right w:w="108" w:type="dxa"/>
          </w:tblCellMar>
        </w:tblPrEx>
        <w:trPr>
          <w:gridAfter w:val="6"/>
          <w:wAfter w:w="4992" w:type="dxa"/>
          <w:trHeight w:val="552" w:hRule="atLeast"/>
        </w:trPr>
        <w:tc>
          <w:tcPr>
            <w:tcW w:w="14120" w:type="dxa"/>
            <w:gridSpan w:val="36"/>
            <w:tcBorders>
              <w:top w:val="nil"/>
              <w:left w:val="nil"/>
              <w:bottom w:val="single" w:color="auto" w:sz="4" w:space="0"/>
              <w:right w:val="nil"/>
            </w:tcBorders>
            <w:shd w:val="clear" w:color="auto" w:fill="auto"/>
            <w:noWrap/>
            <w:vAlign w:val="center"/>
          </w:tcPr>
          <w:p>
            <w:pPr>
              <w:widowControl/>
              <w:jc w:val="center"/>
              <w:rPr>
                <w:rFonts w:ascii="宋体" w:hAnsi="宋体" w:eastAsia="宋体" w:cs="宋体"/>
                <w:b/>
                <w:bCs/>
                <w:kern w:val="0"/>
                <w:sz w:val="36"/>
                <w:szCs w:val="36"/>
              </w:rPr>
            </w:pPr>
            <w:r>
              <w:rPr>
                <w:rFonts w:hint="eastAsia" w:ascii="宋体" w:hAnsi="宋体" w:eastAsia="宋体" w:cs="宋体"/>
                <w:b/>
                <w:bCs/>
                <w:kern w:val="0"/>
                <w:sz w:val="36"/>
                <w:szCs w:val="36"/>
              </w:rPr>
              <w:t>2017年无极县政府性基金收支决算总表</w:t>
            </w:r>
          </w:p>
          <w:p>
            <w:pPr>
              <w:widowControl/>
              <w:jc w:val="left"/>
              <w:rPr>
                <w:rFonts w:ascii="宋体" w:hAnsi="宋体" w:eastAsia="宋体" w:cs="宋体"/>
                <w:bCs/>
                <w:kern w:val="0"/>
                <w:sz w:val="24"/>
                <w:szCs w:val="24"/>
              </w:rPr>
            </w:pPr>
            <w:r>
              <w:rPr>
                <w:rFonts w:hint="eastAsia" w:ascii="宋体" w:hAnsi="宋体" w:eastAsia="宋体" w:cs="宋体"/>
                <w:bCs/>
                <w:kern w:val="0"/>
                <w:sz w:val="24"/>
                <w:szCs w:val="24"/>
              </w:rPr>
              <w:t>填报单位：无极县财政局                                                                                  单位：万元</w:t>
            </w: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收入预算科目</w:t>
            </w:r>
          </w:p>
        </w:tc>
        <w:tc>
          <w:tcPr>
            <w:tcW w:w="1316"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年初预算数</w:t>
            </w:r>
          </w:p>
        </w:tc>
        <w:tc>
          <w:tcPr>
            <w:tcW w:w="1405"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调整预算数</w:t>
            </w:r>
          </w:p>
        </w:tc>
        <w:tc>
          <w:tcPr>
            <w:tcW w:w="1388"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决算数</w:t>
            </w:r>
          </w:p>
        </w:tc>
        <w:tc>
          <w:tcPr>
            <w:tcW w:w="3191" w:type="dxa"/>
            <w:gridSpan w:val="9"/>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支出预算科目</w:t>
            </w:r>
          </w:p>
        </w:tc>
        <w:tc>
          <w:tcPr>
            <w:tcW w:w="1276"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年初预算数</w:t>
            </w:r>
          </w:p>
        </w:tc>
        <w:tc>
          <w:tcPr>
            <w:tcW w:w="1418"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调整预算数</w:t>
            </w:r>
          </w:p>
        </w:tc>
        <w:tc>
          <w:tcPr>
            <w:tcW w:w="992"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决算数</w:t>
            </w: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kern w:val="0"/>
                <w:sz w:val="20"/>
                <w:szCs w:val="20"/>
              </w:rPr>
            </w:pPr>
            <w:r>
              <w:rPr>
                <w:rFonts w:hint="eastAsia" w:ascii="宋体" w:hAnsi="宋体" w:eastAsia="宋体" w:cs="宋体"/>
                <w:kern w:val="0"/>
                <w:sz w:val="20"/>
                <w:szCs w:val="20"/>
              </w:rPr>
              <w:t>散装水泥专项资金收入</w:t>
            </w:r>
          </w:p>
        </w:tc>
        <w:tc>
          <w:tcPr>
            <w:tcW w:w="1316" w:type="dxa"/>
            <w:gridSpan w:val="6"/>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1405" w:type="dxa"/>
            <w:gridSpan w:val="5"/>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1388"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3191" w:type="dxa"/>
            <w:gridSpan w:val="9"/>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文化体育与传媒支出</w:t>
            </w:r>
          </w:p>
        </w:tc>
        <w:tc>
          <w:tcPr>
            <w:tcW w:w="1276"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1418"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992"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kern w:val="0"/>
                <w:sz w:val="20"/>
                <w:szCs w:val="20"/>
              </w:rPr>
            </w:pPr>
            <w:r>
              <w:rPr>
                <w:rFonts w:hint="eastAsia" w:ascii="宋体" w:hAnsi="宋体" w:eastAsia="宋体" w:cs="宋体"/>
                <w:kern w:val="0"/>
                <w:sz w:val="20"/>
                <w:szCs w:val="20"/>
              </w:rPr>
              <w:t>新型墙体材料专项基金收入</w:t>
            </w:r>
          </w:p>
        </w:tc>
        <w:tc>
          <w:tcPr>
            <w:tcW w:w="1316" w:type="dxa"/>
            <w:gridSpan w:val="6"/>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p>
        </w:tc>
        <w:tc>
          <w:tcPr>
            <w:tcW w:w="1405" w:type="dxa"/>
            <w:gridSpan w:val="5"/>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p>
        </w:tc>
        <w:tc>
          <w:tcPr>
            <w:tcW w:w="1388"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58</w:t>
            </w:r>
          </w:p>
        </w:tc>
        <w:tc>
          <w:tcPr>
            <w:tcW w:w="3191" w:type="dxa"/>
            <w:gridSpan w:val="9"/>
            <w:tcBorders>
              <w:top w:val="nil"/>
              <w:left w:val="nil"/>
              <w:bottom w:val="single" w:color="auto" w:sz="4" w:space="0"/>
              <w:right w:val="single" w:color="auto" w:sz="4" w:space="0"/>
            </w:tcBorders>
            <w:shd w:val="clear" w:color="auto" w:fill="auto"/>
            <w:noWrap/>
            <w:vAlign w:val="bottom"/>
          </w:tcPr>
          <w:p>
            <w:pPr>
              <w:widowControl/>
              <w:jc w:val="left"/>
              <w:rPr>
                <w:rFonts w:ascii="宋体" w:hAnsi="宋体" w:eastAsia="宋体" w:cs="宋体"/>
                <w:kern w:val="0"/>
                <w:sz w:val="20"/>
                <w:szCs w:val="20"/>
              </w:rPr>
            </w:pPr>
            <w:r>
              <w:rPr>
                <w:rFonts w:hint="eastAsia" w:ascii="宋体" w:hAnsi="宋体" w:eastAsia="宋体" w:cs="宋体"/>
                <w:kern w:val="0"/>
                <w:sz w:val="20"/>
                <w:szCs w:val="20"/>
              </w:rPr>
              <w:t>社会保障与就业支出</w:t>
            </w:r>
          </w:p>
        </w:tc>
        <w:tc>
          <w:tcPr>
            <w:tcW w:w="1276"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1418"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992"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kern w:val="0"/>
                <w:sz w:val="20"/>
                <w:szCs w:val="20"/>
              </w:rPr>
            </w:pPr>
            <w:r>
              <w:rPr>
                <w:rFonts w:hint="eastAsia" w:ascii="宋体" w:hAnsi="宋体" w:eastAsia="宋体" w:cs="宋体"/>
                <w:kern w:val="0"/>
                <w:sz w:val="20"/>
                <w:szCs w:val="20"/>
              </w:rPr>
              <w:t>城市公用事业附加收入</w:t>
            </w:r>
          </w:p>
        </w:tc>
        <w:tc>
          <w:tcPr>
            <w:tcW w:w="1316" w:type="dxa"/>
            <w:gridSpan w:val="6"/>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350</w:t>
            </w:r>
          </w:p>
        </w:tc>
        <w:tc>
          <w:tcPr>
            <w:tcW w:w="1405" w:type="dxa"/>
            <w:gridSpan w:val="5"/>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350</w:t>
            </w:r>
          </w:p>
        </w:tc>
        <w:tc>
          <w:tcPr>
            <w:tcW w:w="1388"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334</w:t>
            </w:r>
          </w:p>
        </w:tc>
        <w:tc>
          <w:tcPr>
            <w:tcW w:w="3191" w:type="dxa"/>
            <w:gridSpan w:val="9"/>
            <w:tcBorders>
              <w:top w:val="nil"/>
              <w:left w:val="nil"/>
              <w:bottom w:val="single" w:color="auto" w:sz="4" w:space="0"/>
              <w:right w:val="single" w:color="auto" w:sz="4" w:space="0"/>
            </w:tcBorders>
            <w:shd w:val="clear" w:color="auto" w:fill="auto"/>
            <w:noWrap/>
            <w:vAlign w:val="bottom"/>
          </w:tcPr>
          <w:p>
            <w:pPr>
              <w:widowControl/>
              <w:jc w:val="left"/>
              <w:rPr>
                <w:rFonts w:ascii="宋体" w:hAnsi="宋体" w:eastAsia="宋体" w:cs="宋体"/>
                <w:kern w:val="0"/>
                <w:sz w:val="20"/>
                <w:szCs w:val="20"/>
              </w:rPr>
            </w:pPr>
            <w:r>
              <w:rPr>
                <w:rFonts w:hint="eastAsia" w:ascii="宋体" w:hAnsi="宋体" w:eastAsia="宋体" w:cs="宋体"/>
                <w:kern w:val="0"/>
                <w:sz w:val="20"/>
                <w:szCs w:val="20"/>
              </w:rPr>
              <w:t>城乡社区支出</w:t>
            </w:r>
          </w:p>
        </w:tc>
        <w:tc>
          <w:tcPr>
            <w:tcW w:w="1276" w:type="dxa"/>
            <w:gridSpan w:val="4"/>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31,050</w:t>
            </w:r>
          </w:p>
        </w:tc>
        <w:tc>
          <w:tcPr>
            <w:tcW w:w="1418" w:type="dxa"/>
            <w:gridSpan w:val="4"/>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51,723</w:t>
            </w:r>
          </w:p>
        </w:tc>
        <w:tc>
          <w:tcPr>
            <w:tcW w:w="992" w:type="dxa"/>
            <w:gridSpan w:val="3"/>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51,502</w:t>
            </w: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kern w:val="0"/>
                <w:sz w:val="20"/>
                <w:szCs w:val="20"/>
              </w:rPr>
            </w:pPr>
            <w:r>
              <w:rPr>
                <w:rFonts w:hint="eastAsia" w:ascii="宋体" w:hAnsi="宋体" w:eastAsia="宋体" w:cs="宋体"/>
                <w:kern w:val="0"/>
                <w:sz w:val="20"/>
                <w:szCs w:val="20"/>
              </w:rPr>
              <w:t>国有土地收益基金收入</w:t>
            </w:r>
          </w:p>
        </w:tc>
        <w:tc>
          <w:tcPr>
            <w:tcW w:w="1316" w:type="dxa"/>
            <w:gridSpan w:val="6"/>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1,400</w:t>
            </w:r>
          </w:p>
        </w:tc>
        <w:tc>
          <w:tcPr>
            <w:tcW w:w="1405" w:type="dxa"/>
            <w:gridSpan w:val="5"/>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1,400</w:t>
            </w:r>
          </w:p>
        </w:tc>
        <w:tc>
          <w:tcPr>
            <w:tcW w:w="1388" w:type="dxa"/>
            <w:gridSpan w:val="3"/>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2,480</w:t>
            </w:r>
          </w:p>
        </w:tc>
        <w:tc>
          <w:tcPr>
            <w:tcW w:w="3191" w:type="dxa"/>
            <w:gridSpan w:val="9"/>
            <w:tcBorders>
              <w:top w:val="nil"/>
              <w:left w:val="nil"/>
              <w:bottom w:val="single" w:color="auto" w:sz="4" w:space="0"/>
              <w:right w:val="single" w:color="auto" w:sz="4" w:space="0"/>
            </w:tcBorders>
            <w:shd w:val="clear" w:color="auto" w:fill="auto"/>
            <w:noWrap/>
            <w:vAlign w:val="bottom"/>
          </w:tcPr>
          <w:p>
            <w:pPr>
              <w:widowControl/>
              <w:jc w:val="left"/>
              <w:rPr>
                <w:rFonts w:ascii="宋体" w:hAnsi="宋体" w:eastAsia="宋体" w:cs="宋体"/>
                <w:kern w:val="0"/>
                <w:sz w:val="20"/>
                <w:szCs w:val="20"/>
              </w:rPr>
            </w:pPr>
            <w:r>
              <w:rPr>
                <w:rFonts w:hint="eastAsia" w:ascii="宋体" w:hAnsi="宋体" w:eastAsia="宋体" w:cs="宋体"/>
                <w:kern w:val="0"/>
                <w:sz w:val="20"/>
                <w:szCs w:val="20"/>
              </w:rPr>
              <w:t>资源勘探信息等支出</w:t>
            </w:r>
          </w:p>
        </w:tc>
        <w:tc>
          <w:tcPr>
            <w:tcW w:w="1276" w:type="dxa"/>
            <w:gridSpan w:val="4"/>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418" w:type="dxa"/>
            <w:gridSpan w:val="4"/>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10</w:t>
            </w:r>
          </w:p>
        </w:tc>
        <w:tc>
          <w:tcPr>
            <w:tcW w:w="992" w:type="dxa"/>
            <w:gridSpan w:val="3"/>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10</w:t>
            </w: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kern w:val="0"/>
                <w:sz w:val="20"/>
                <w:szCs w:val="20"/>
              </w:rPr>
            </w:pPr>
            <w:r>
              <w:rPr>
                <w:rFonts w:hint="eastAsia" w:ascii="宋体" w:hAnsi="宋体" w:eastAsia="宋体" w:cs="宋体"/>
                <w:kern w:val="0"/>
                <w:sz w:val="20"/>
                <w:szCs w:val="20"/>
              </w:rPr>
              <w:t>农业土地开发资金收入</w:t>
            </w:r>
          </w:p>
        </w:tc>
        <w:tc>
          <w:tcPr>
            <w:tcW w:w="1316" w:type="dxa"/>
            <w:gridSpan w:val="6"/>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200</w:t>
            </w:r>
          </w:p>
        </w:tc>
        <w:tc>
          <w:tcPr>
            <w:tcW w:w="1405" w:type="dxa"/>
            <w:gridSpan w:val="5"/>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200</w:t>
            </w:r>
          </w:p>
        </w:tc>
        <w:tc>
          <w:tcPr>
            <w:tcW w:w="1388"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140</w:t>
            </w:r>
          </w:p>
        </w:tc>
        <w:tc>
          <w:tcPr>
            <w:tcW w:w="3191" w:type="dxa"/>
            <w:gridSpan w:val="9"/>
            <w:tcBorders>
              <w:top w:val="nil"/>
              <w:left w:val="nil"/>
              <w:bottom w:val="single" w:color="auto" w:sz="4" w:space="0"/>
              <w:right w:val="single" w:color="auto" w:sz="4" w:space="0"/>
            </w:tcBorders>
            <w:shd w:val="clear" w:color="auto" w:fill="auto"/>
            <w:noWrap/>
            <w:vAlign w:val="bottom"/>
          </w:tcPr>
          <w:p>
            <w:pPr>
              <w:widowControl/>
              <w:jc w:val="left"/>
              <w:rPr>
                <w:rFonts w:ascii="宋体" w:hAnsi="宋体" w:eastAsia="宋体" w:cs="宋体"/>
                <w:kern w:val="0"/>
                <w:sz w:val="20"/>
                <w:szCs w:val="20"/>
              </w:rPr>
            </w:pPr>
            <w:r>
              <w:rPr>
                <w:rFonts w:hint="eastAsia" w:ascii="宋体" w:hAnsi="宋体" w:eastAsia="宋体" w:cs="宋体"/>
                <w:kern w:val="0"/>
                <w:sz w:val="20"/>
                <w:szCs w:val="20"/>
              </w:rPr>
              <w:t>其他支出</w:t>
            </w:r>
          </w:p>
        </w:tc>
        <w:tc>
          <w:tcPr>
            <w:tcW w:w="1276" w:type="dxa"/>
            <w:gridSpan w:val="4"/>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373</w:t>
            </w:r>
          </w:p>
        </w:tc>
        <w:tc>
          <w:tcPr>
            <w:tcW w:w="1418" w:type="dxa"/>
            <w:gridSpan w:val="4"/>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540</w:t>
            </w:r>
          </w:p>
        </w:tc>
        <w:tc>
          <w:tcPr>
            <w:tcW w:w="992" w:type="dxa"/>
            <w:gridSpan w:val="3"/>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520</w:t>
            </w: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kern w:val="0"/>
                <w:sz w:val="20"/>
                <w:szCs w:val="20"/>
              </w:rPr>
            </w:pPr>
            <w:r>
              <w:rPr>
                <w:rFonts w:hint="eastAsia" w:ascii="宋体" w:hAnsi="宋体" w:eastAsia="宋体" w:cs="宋体"/>
                <w:kern w:val="0"/>
                <w:sz w:val="20"/>
                <w:szCs w:val="20"/>
              </w:rPr>
              <w:t>国有土地使用权出让收入</w:t>
            </w:r>
          </w:p>
        </w:tc>
        <w:tc>
          <w:tcPr>
            <w:tcW w:w="1316" w:type="dxa"/>
            <w:gridSpan w:val="6"/>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26,900</w:t>
            </w:r>
          </w:p>
        </w:tc>
        <w:tc>
          <w:tcPr>
            <w:tcW w:w="1405" w:type="dxa"/>
            <w:gridSpan w:val="5"/>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26,900</w:t>
            </w:r>
          </w:p>
        </w:tc>
        <w:tc>
          <w:tcPr>
            <w:tcW w:w="1388" w:type="dxa"/>
            <w:gridSpan w:val="3"/>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kern w:val="0"/>
                <w:szCs w:val="21"/>
              </w:rPr>
            </w:pPr>
            <w:r>
              <w:rPr>
                <w:rFonts w:hint="eastAsia" w:asciiTheme="minorEastAsia" w:hAnsiTheme="minorEastAsia"/>
                <w:szCs w:val="21"/>
              </w:rPr>
              <w:t>48,011</w:t>
            </w:r>
          </w:p>
        </w:tc>
        <w:tc>
          <w:tcPr>
            <w:tcW w:w="3191" w:type="dxa"/>
            <w:gridSpan w:val="9"/>
            <w:tcBorders>
              <w:top w:val="nil"/>
              <w:left w:val="nil"/>
              <w:bottom w:val="single" w:color="auto" w:sz="4" w:space="0"/>
              <w:right w:val="single" w:color="auto" w:sz="4" w:space="0"/>
            </w:tcBorders>
            <w:shd w:val="clear" w:color="auto" w:fill="auto"/>
            <w:noWrap/>
            <w:vAlign w:val="bottom"/>
          </w:tcPr>
          <w:p>
            <w:pPr>
              <w:widowControl/>
              <w:jc w:val="left"/>
              <w:rPr>
                <w:rFonts w:ascii="宋体" w:hAnsi="宋体" w:eastAsia="宋体" w:cs="宋体"/>
                <w:kern w:val="0"/>
                <w:sz w:val="20"/>
                <w:szCs w:val="20"/>
              </w:rPr>
            </w:pPr>
            <w:r>
              <w:rPr>
                <w:rFonts w:hint="eastAsia" w:ascii="宋体" w:hAnsi="宋体" w:eastAsia="宋体" w:cs="宋体"/>
                <w:kern w:val="0"/>
                <w:sz w:val="20"/>
                <w:szCs w:val="20"/>
              </w:rPr>
              <w:t>债务付息支出</w:t>
            </w:r>
          </w:p>
        </w:tc>
        <w:tc>
          <w:tcPr>
            <w:tcW w:w="1276" w:type="dxa"/>
            <w:gridSpan w:val="4"/>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418" w:type="dxa"/>
            <w:gridSpan w:val="4"/>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2" w:type="dxa"/>
            <w:gridSpan w:val="3"/>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　</w:t>
            </w: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kern w:val="0"/>
                <w:sz w:val="20"/>
                <w:szCs w:val="20"/>
              </w:rPr>
            </w:pPr>
            <w:r>
              <w:rPr>
                <w:rFonts w:hint="eastAsia" w:ascii="宋体" w:hAnsi="宋体" w:eastAsia="宋体" w:cs="宋体"/>
                <w:kern w:val="0"/>
                <w:sz w:val="20"/>
                <w:szCs w:val="20"/>
              </w:rPr>
              <w:t>彩票公益金收入</w:t>
            </w:r>
          </w:p>
        </w:tc>
        <w:tc>
          <w:tcPr>
            <w:tcW w:w="1316" w:type="dxa"/>
            <w:gridSpan w:val="6"/>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373</w:t>
            </w:r>
          </w:p>
        </w:tc>
        <w:tc>
          <w:tcPr>
            <w:tcW w:w="1405" w:type="dxa"/>
            <w:gridSpan w:val="5"/>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373</w:t>
            </w:r>
          </w:p>
        </w:tc>
        <w:tc>
          <w:tcPr>
            <w:tcW w:w="1388"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358</w:t>
            </w:r>
          </w:p>
        </w:tc>
        <w:tc>
          <w:tcPr>
            <w:tcW w:w="3191" w:type="dxa"/>
            <w:gridSpan w:val="9"/>
            <w:tcBorders>
              <w:top w:val="nil"/>
              <w:left w:val="nil"/>
              <w:bottom w:val="single" w:color="auto" w:sz="4" w:space="0"/>
              <w:right w:val="single" w:color="auto" w:sz="4" w:space="0"/>
            </w:tcBorders>
            <w:shd w:val="clear" w:color="auto" w:fill="auto"/>
            <w:noWrap/>
            <w:vAlign w:val="bottom"/>
          </w:tcPr>
          <w:p>
            <w:pPr>
              <w:widowControl/>
              <w:jc w:val="left"/>
              <w:rPr>
                <w:rFonts w:ascii="宋体" w:hAnsi="宋体" w:eastAsia="宋体" w:cs="宋体"/>
                <w:kern w:val="0"/>
                <w:sz w:val="20"/>
                <w:szCs w:val="20"/>
              </w:rPr>
            </w:pPr>
            <w:r>
              <w:rPr>
                <w:rFonts w:hint="eastAsia" w:ascii="宋体" w:hAnsi="宋体" w:eastAsia="宋体" w:cs="宋体"/>
                <w:kern w:val="0"/>
                <w:sz w:val="20"/>
                <w:szCs w:val="20"/>
              </w:rPr>
              <w:t>债务发行费用支出</w:t>
            </w:r>
          </w:p>
        </w:tc>
        <w:tc>
          <w:tcPr>
            <w:tcW w:w="1276" w:type="dxa"/>
            <w:gridSpan w:val="4"/>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418" w:type="dxa"/>
            <w:gridSpan w:val="4"/>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2" w:type="dxa"/>
            <w:gridSpan w:val="3"/>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　</w:t>
            </w: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kern w:val="0"/>
                <w:sz w:val="20"/>
                <w:szCs w:val="20"/>
              </w:rPr>
            </w:pPr>
            <w:r>
              <w:rPr>
                <w:rFonts w:hint="eastAsia" w:ascii="宋体" w:hAnsi="宋体" w:eastAsia="宋体" w:cs="宋体"/>
                <w:kern w:val="0"/>
                <w:sz w:val="20"/>
                <w:szCs w:val="20"/>
              </w:rPr>
              <w:t>城市基础设施配套费收入</w:t>
            </w:r>
          </w:p>
        </w:tc>
        <w:tc>
          <w:tcPr>
            <w:tcW w:w="1316" w:type="dxa"/>
            <w:gridSpan w:val="6"/>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600</w:t>
            </w:r>
          </w:p>
        </w:tc>
        <w:tc>
          <w:tcPr>
            <w:tcW w:w="1405" w:type="dxa"/>
            <w:gridSpan w:val="5"/>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600</w:t>
            </w:r>
          </w:p>
        </w:tc>
        <w:tc>
          <w:tcPr>
            <w:tcW w:w="1388" w:type="dxa"/>
            <w:gridSpan w:val="3"/>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kern w:val="0"/>
                <w:szCs w:val="21"/>
              </w:rPr>
            </w:pPr>
            <w:r>
              <w:rPr>
                <w:rFonts w:hint="eastAsia" w:asciiTheme="minorEastAsia" w:hAnsiTheme="minorEastAsia"/>
                <w:szCs w:val="21"/>
              </w:rPr>
              <w:t>1,631</w:t>
            </w:r>
          </w:p>
        </w:tc>
        <w:tc>
          <w:tcPr>
            <w:tcW w:w="3191" w:type="dxa"/>
            <w:gridSpan w:val="9"/>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本 年 支 出 合 计</w:t>
            </w:r>
          </w:p>
        </w:tc>
        <w:tc>
          <w:tcPr>
            <w:tcW w:w="1276" w:type="dxa"/>
            <w:gridSpan w:val="4"/>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31,423</w:t>
            </w:r>
          </w:p>
        </w:tc>
        <w:tc>
          <w:tcPr>
            <w:tcW w:w="1418" w:type="dxa"/>
            <w:gridSpan w:val="4"/>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52,334</w:t>
            </w:r>
          </w:p>
        </w:tc>
        <w:tc>
          <w:tcPr>
            <w:tcW w:w="992" w:type="dxa"/>
            <w:gridSpan w:val="3"/>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52,093</w:t>
            </w: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eastAsia="宋体" w:cs="宋体"/>
                <w:kern w:val="0"/>
                <w:sz w:val="20"/>
                <w:szCs w:val="20"/>
              </w:rPr>
            </w:pPr>
            <w:r>
              <w:rPr>
                <w:rFonts w:hint="eastAsia" w:ascii="宋体" w:hAnsi="宋体" w:eastAsia="宋体" w:cs="宋体"/>
                <w:kern w:val="0"/>
                <w:sz w:val="20"/>
                <w:szCs w:val="20"/>
              </w:rPr>
              <w:t>污水处理费收入</w:t>
            </w:r>
          </w:p>
        </w:tc>
        <w:tc>
          <w:tcPr>
            <w:tcW w:w="1316" w:type="dxa"/>
            <w:gridSpan w:val="6"/>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1,600</w:t>
            </w:r>
          </w:p>
        </w:tc>
        <w:tc>
          <w:tcPr>
            <w:tcW w:w="1405" w:type="dxa"/>
            <w:gridSpan w:val="5"/>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1,600</w:t>
            </w:r>
          </w:p>
        </w:tc>
        <w:tc>
          <w:tcPr>
            <w:tcW w:w="1388"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935</w:t>
            </w:r>
          </w:p>
        </w:tc>
        <w:tc>
          <w:tcPr>
            <w:tcW w:w="3191" w:type="dxa"/>
            <w:gridSpan w:val="9"/>
            <w:tcBorders>
              <w:top w:val="nil"/>
              <w:left w:val="nil"/>
              <w:bottom w:val="single" w:color="auto" w:sz="4" w:space="0"/>
              <w:right w:val="single" w:color="auto" w:sz="4" w:space="0"/>
            </w:tcBorders>
            <w:shd w:val="clear" w:color="auto" w:fill="auto"/>
            <w:noWrap/>
            <w:vAlign w:val="bottom"/>
          </w:tcPr>
          <w:p>
            <w:pPr>
              <w:widowControl/>
              <w:jc w:val="left"/>
              <w:rPr>
                <w:rFonts w:ascii="宋体" w:hAnsi="宋体" w:eastAsia="宋体" w:cs="宋体"/>
                <w:kern w:val="0"/>
                <w:sz w:val="20"/>
                <w:szCs w:val="20"/>
              </w:rPr>
            </w:pPr>
            <w:r>
              <w:rPr>
                <w:rFonts w:hint="eastAsia" w:ascii="宋体" w:hAnsi="宋体" w:eastAsia="宋体" w:cs="宋体"/>
                <w:kern w:val="0"/>
                <w:sz w:val="20"/>
                <w:szCs w:val="20"/>
              </w:rPr>
              <w:t>调出资金</w:t>
            </w:r>
          </w:p>
        </w:tc>
        <w:tc>
          <w:tcPr>
            <w:tcW w:w="1276"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1418"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992" w:type="dxa"/>
            <w:gridSpan w:val="3"/>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16,889</w:t>
            </w: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本 年 收 入 合 计</w:t>
            </w:r>
          </w:p>
        </w:tc>
        <w:tc>
          <w:tcPr>
            <w:tcW w:w="1316" w:type="dxa"/>
            <w:gridSpan w:val="6"/>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31,423</w:t>
            </w:r>
          </w:p>
        </w:tc>
        <w:tc>
          <w:tcPr>
            <w:tcW w:w="1405" w:type="dxa"/>
            <w:gridSpan w:val="5"/>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31,423</w:t>
            </w:r>
          </w:p>
        </w:tc>
        <w:tc>
          <w:tcPr>
            <w:tcW w:w="1388" w:type="dxa"/>
            <w:gridSpan w:val="3"/>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kern w:val="0"/>
                <w:szCs w:val="21"/>
              </w:rPr>
            </w:pPr>
            <w:r>
              <w:rPr>
                <w:rFonts w:hint="eastAsia" w:asciiTheme="minorEastAsia" w:hAnsiTheme="minorEastAsia"/>
                <w:szCs w:val="21"/>
              </w:rPr>
              <w:t>53,866</w:t>
            </w:r>
          </w:p>
        </w:tc>
        <w:tc>
          <w:tcPr>
            <w:tcW w:w="3191" w:type="dxa"/>
            <w:gridSpan w:val="9"/>
            <w:tcBorders>
              <w:top w:val="nil"/>
              <w:left w:val="nil"/>
              <w:bottom w:val="single" w:color="auto" w:sz="4" w:space="0"/>
              <w:right w:val="single" w:color="auto" w:sz="4" w:space="0"/>
            </w:tcBorders>
            <w:shd w:val="clear" w:color="auto" w:fill="auto"/>
            <w:noWrap/>
            <w:vAlign w:val="bottom"/>
          </w:tcPr>
          <w:p>
            <w:pPr>
              <w:widowControl/>
              <w:jc w:val="left"/>
              <w:rPr>
                <w:rFonts w:ascii="宋体" w:hAnsi="宋体" w:eastAsia="宋体" w:cs="宋体"/>
                <w:kern w:val="0"/>
                <w:sz w:val="20"/>
                <w:szCs w:val="20"/>
              </w:rPr>
            </w:pPr>
            <w:r>
              <w:rPr>
                <w:rFonts w:hint="eastAsia" w:ascii="宋体" w:hAnsi="宋体" w:eastAsia="宋体" w:cs="宋体"/>
                <w:kern w:val="0"/>
                <w:sz w:val="20"/>
                <w:szCs w:val="20"/>
              </w:rPr>
              <w:t>债务还本</w:t>
            </w:r>
          </w:p>
        </w:tc>
        <w:tc>
          <w:tcPr>
            <w:tcW w:w="1276"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1418"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992" w:type="dxa"/>
            <w:gridSpan w:val="3"/>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kern w:val="0"/>
                <w:szCs w:val="21"/>
              </w:rPr>
            </w:pPr>
            <w:r>
              <w:rPr>
                <w:rFonts w:hint="eastAsia" w:asciiTheme="minorEastAsia" w:hAnsiTheme="minorEastAsia"/>
                <w:szCs w:val="21"/>
              </w:rPr>
              <w:t>5,900</w:t>
            </w: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政府性基金上级补助收入</w:t>
            </w:r>
          </w:p>
        </w:tc>
        <w:tc>
          <w:tcPr>
            <w:tcW w:w="1316" w:type="dxa"/>
            <w:gridSpan w:val="6"/>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1405" w:type="dxa"/>
            <w:gridSpan w:val="5"/>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1388"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345</w:t>
            </w:r>
          </w:p>
        </w:tc>
        <w:tc>
          <w:tcPr>
            <w:tcW w:w="3191" w:type="dxa"/>
            <w:gridSpan w:val="9"/>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政府性基金补助下级支出</w:t>
            </w:r>
          </w:p>
        </w:tc>
        <w:tc>
          <w:tcPr>
            <w:tcW w:w="1276"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1418"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992"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政府性基金上年结余</w:t>
            </w:r>
          </w:p>
        </w:tc>
        <w:tc>
          <w:tcPr>
            <w:tcW w:w="1316" w:type="dxa"/>
            <w:gridSpan w:val="6"/>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1405" w:type="dxa"/>
            <w:gridSpan w:val="5"/>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1388"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12</w:t>
            </w:r>
          </w:p>
        </w:tc>
        <w:tc>
          <w:tcPr>
            <w:tcW w:w="3191" w:type="dxa"/>
            <w:gridSpan w:val="9"/>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政府性基金调出资金</w:t>
            </w:r>
          </w:p>
        </w:tc>
        <w:tc>
          <w:tcPr>
            <w:tcW w:w="1276"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1418"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992"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债务转贷收入</w:t>
            </w:r>
          </w:p>
        </w:tc>
        <w:tc>
          <w:tcPr>
            <w:tcW w:w="1316" w:type="dxa"/>
            <w:gridSpan w:val="6"/>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1405" w:type="dxa"/>
            <w:gridSpan w:val="5"/>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1388" w:type="dxa"/>
            <w:gridSpan w:val="3"/>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kern w:val="0"/>
                <w:szCs w:val="21"/>
              </w:rPr>
            </w:pPr>
            <w:r>
              <w:rPr>
                <w:rFonts w:hint="eastAsia" w:asciiTheme="minorEastAsia" w:hAnsiTheme="minorEastAsia"/>
                <w:szCs w:val="21"/>
              </w:rPr>
              <w:t>20,900</w:t>
            </w:r>
          </w:p>
        </w:tc>
        <w:tc>
          <w:tcPr>
            <w:tcW w:w="3191" w:type="dxa"/>
            <w:gridSpan w:val="9"/>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20"/>
                <w:szCs w:val="20"/>
              </w:rPr>
            </w:pPr>
          </w:p>
        </w:tc>
        <w:tc>
          <w:tcPr>
            <w:tcW w:w="1276"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1418"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992"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政府性基金调入资金</w:t>
            </w:r>
          </w:p>
        </w:tc>
        <w:tc>
          <w:tcPr>
            <w:tcW w:w="1316" w:type="dxa"/>
            <w:gridSpan w:val="6"/>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1405" w:type="dxa"/>
            <w:gridSpan w:val="5"/>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1388"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191" w:type="dxa"/>
            <w:gridSpan w:val="9"/>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政府性基金年终结余</w:t>
            </w:r>
          </w:p>
        </w:tc>
        <w:tc>
          <w:tcPr>
            <w:tcW w:w="1276"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1418"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p>
        </w:tc>
        <w:tc>
          <w:tcPr>
            <w:tcW w:w="992"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241</w:t>
            </w: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1.一般公共预算调入</w:t>
            </w:r>
          </w:p>
        </w:tc>
        <w:tc>
          <w:tcPr>
            <w:tcW w:w="1316" w:type="dxa"/>
            <w:gridSpan w:val="6"/>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1405" w:type="dxa"/>
            <w:gridSpan w:val="5"/>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1388"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191" w:type="dxa"/>
            <w:gridSpan w:val="9"/>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w:t>
            </w:r>
          </w:p>
        </w:tc>
        <w:tc>
          <w:tcPr>
            <w:tcW w:w="1276"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1418"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992"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2.调入专项收入</w:t>
            </w:r>
          </w:p>
        </w:tc>
        <w:tc>
          <w:tcPr>
            <w:tcW w:w="1316" w:type="dxa"/>
            <w:gridSpan w:val="6"/>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1405" w:type="dxa"/>
            <w:gridSpan w:val="5"/>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1388"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191" w:type="dxa"/>
            <w:gridSpan w:val="9"/>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w:t>
            </w:r>
          </w:p>
        </w:tc>
        <w:tc>
          <w:tcPr>
            <w:tcW w:w="1276"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1418" w:type="dxa"/>
            <w:gridSpan w:val="4"/>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Cs w:val="21"/>
              </w:rPr>
            </w:pPr>
            <w:r>
              <w:rPr>
                <w:rFonts w:hint="eastAsia" w:cs="宋体" w:asciiTheme="minorEastAsia" w:hAnsiTheme="minorEastAsia"/>
                <w:kern w:val="0"/>
                <w:szCs w:val="21"/>
              </w:rPr>
              <w:t>　</w:t>
            </w:r>
          </w:p>
        </w:tc>
        <w:tc>
          <w:tcPr>
            <w:tcW w:w="992"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3.其他调入</w:t>
            </w:r>
          </w:p>
        </w:tc>
        <w:tc>
          <w:tcPr>
            <w:tcW w:w="1316" w:type="dxa"/>
            <w:gridSpan w:val="6"/>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1405" w:type="dxa"/>
            <w:gridSpan w:val="5"/>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1388"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3191" w:type="dxa"/>
            <w:gridSpan w:val="9"/>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w:t>
            </w:r>
          </w:p>
        </w:tc>
        <w:tc>
          <w:tcPr>
            <w:tcW w:w="1276" w:type="dxa"/>
            <w:gridSpan w:val="4"/>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c>
          <w:tcPr>
            <w:tcW w:w="1418" w:type="dxa"/>
            <w:gridSpan w:val="4"/>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Cs w:val="21"/>
              </w:rPr>
            </w:pPr>
            <w:r>
              <w:rPr>
                <w:rFonts w:hint="eastAsia" w:cs="宋体" w:asciiTheme="minorEastAsia" w:hAnsiTheme="minorEastAsia"/>
                <w:kern w:val="0"/>
                <w:szCs w:val="21"/>
              </w:rPr>
              <w:t>　</w:t>
            </w:r>
          </w:p>
        </w:tc>
        <w:tc>
          <w:tcPr>
            <w:tcW w:w="992" w:type="dxa"/>
            <w:gridSpan w:val="3"/>
            <w:tcBorders>
              <w:top w:val="nil"/>
              <w:left w:val="nil"/>
              <w:bottom w:val="single" w:color="auto" w:sz="4" w:space="0"/>
              <w:right w:val="single" w:color="auto" w:sz="4" w:space="0"/>
            </w:tcBorders>
            <w:shd w:val="clear" w:color="auto" w:fill="auto"/>
            <w:noWrap/>
            <w:vAlign w:val="center"/>
          </w:tcPr>
          <w:p>
            <w:pPr>
              <w:widowControl/>
              <w:jc w:val="right"/>
              <w:rPr>
                <w:rFonts w:cs="宋体" w:asciiTheme="minorEastAsia" w:hAnsiTheme="minorEastAsia"/>
                <w:kern w:val="0"/>
                <w:szCs w:val="21"/>
              </w:rPr>
            </w:pPr>
            <w:r>
              <w:rPr>
                <w:rFonts w:hint="eastAsia" w:cs="宋体" w:asciiTheme="minorEastAsia" w:hAnsiTheme="minorEastAsia"/>
                <w:kern w:val="0"/>
                <w:szCs w:val="21"/>
              </w:rPr>
              <w:t>　</w:t>
            </w:r>
          </w:p>
        </w:tc>
      </w:tr>
      <w:tr>
        <w:tblPrEx>
          <w:tblCellMar>
            <w:top w:w="0" w:type="dxa"/>
            <w:left w:w="108" w:type="dxa"/>
            <w:bottom w:w="0" w:type="dxa"/>
            <w:right w:w="108" w:type="dxa"/>
          </w:tblCellMar>
        </w:tblPrEx>
        <w:trPr>
          <w:gridAfter w:val="6"/>
          <w:wAfter w:w="4992" w:type="dxa"/>
          <w:trHeight w:val="345" w:hRule="atLeast"/>
        </w:trPr>
        <w:tc>
          <w:tcPr>
            <w:tcW w:w="3134" w:type="dxa"/>
            <w:gridSpan w:val="2"/>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收　　入　　总　　计　</w:t>
            </w:r>
          </w:p>
        </w:tc>
        <w:tc>
          <w:tcPr>
            <w:tcW w:w="1316" w:type="dxa"/>
            <w:gridSpan w:val="6"/>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kern w:val="0"/>
                <w:szCs w:val="21"/>
              </w:rPr>
            </w:pPr>
            <w:r>
              <w:rPr>
                <w:rFonts w:hint="eastAsia" w:asciiTheme="minorEastAsia" w:hAnsiTheme="minorEastAsia"/>
                <w:szCs w:val="21"/>
              </w:rPr>
              <w:t>31,423</w:t>
            </w:r>
          </w:p>
        </w:tc>
        <w:tc>
          <w:tcPr>
            <w:tcW w:w="1405" w:type="dxa"/>
            <w:gridSpan w:val="5"/>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kern w:val="0"/>
                <w:szCs w:val="21"/>
              </w:rPr>
            </w:pPr>
            <w:r>
              <w:rPr>
                <w:rFonts w:hint="eastAsia" w:asciiTheme="minorEastAsia" w:hAnsiTheme="minorEastAsia"/>
                <w:szCs w:val="21"/>
              </w:rPr>
              <w:t>31,423</w:t>
            </w:r>
          </w:p>
        </w:tc>
        <w:tc>
          <w:tcPr>
            <w:tcW w:w="1388" w:type="dxa"/>
            <w:gridSpan w:val="3"/>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kern w:val="0"/>
                <w:szCs w:val="21"/>
              </w:rPr>
            </w:pPr>
            <w:r>
              <w:rPr>
                <w:rFonts w:hint="eastAsia" w:asciiTheme="minorEastAsia" w:hAnsiTheme="minorEastAsia"/>
                <w:szCs w:val="21"/>
              </w:rPr>
              <w:t>75,123</w:t>
            </w:r>
          </w:p>
        </w:tc>
        <w:tc>
          <w:tcPr>
            <w:tcW w:w="3191" w:type="dxa"/>
            <w:gridSpan w:val="9"/>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支　　出　　总　　计</w:t>
            </w:r>
          </w:p>
        </w:tc>
        <w:tc>
          <w:tcPr>
            <w:tcW w:w="1276" w:type="dxa"/>
            <w:gridSpan w:val="4"/>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31,423</w:t>
            </w:r>
          </w:p>
        </w:tc>
        <w:tc>
          <w:tcPr>
            <w:tcW w:w="1418" w:type="dxa"/>
            <w:gridSpan w:val="4"/>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szCs w:val="21"/>
              </w:rPr>
            </w:pPr>
            <w:r>
              <w:rPr>
                <w:rFonts w:hint="eastAsia" w:asciiTheme="minorEastAsia" w:hAnsiTheme="minorEastAsia"/>
                <w:szCs w:val="21"/>
              </w:rPr>
              <w:t>52,334</w:t>
            </w:r>
          </w:p>
        </w:tc>
        <w:tc>
          <w:tcPr>
            <w:tcW w:w="992" w:type="dxa"/>
            <w:gridSpan w:val="3"/>
            <w:tcBorders>
              <w:top w:val="nil"/>
              <w:left w:val="nil"/>
              <w:bottom w:val="single" w:color="auto" w:sz="4" w:space="0"/>
              <w:right w:val="single" w:color="auto" w:sz="4" w:space="0"/>
            </w:tcBorders>
            <w:shd w:val="clear" w:color="auto" w:fill="auto"/>
            <w:noWrap/>
            <w:vAlign w:val="center"/>
          </w:tcPr>
          <w:p>
            <w:pPr>
              <w:jc w:val="right"/>
              <w:rPr>
                <w:rFonts w:cs="宋体" w:asciiTheme="minorEastAsia" w:hAnsiTheme="minorEastAsia"/>
                <w:kern w:val="0"/>
                <w:szCs w:val="21"/>
              </w:rPr>
            </w:pPr>
            <w:r>
              <w:rPr>
                <w:rFonts w:hint="eastAsia" w:asciiTheme="minorEastAsia" w:hAnsiTheme="minorEastAsia"/>
                <w:szCs w:val="21"/>
              </w:rPr>
              <w:t>75,123</w:t>
            </w:r>
          </w:p>
        </w:tc>
      </w:tr>
      <w:tr>
        <w:tblPrEx>
          <w:tblCellMar>
            <w:top w:w="0" w:type="dxa"/>
            <w:left w:w="108" w:type="dxa"/>
            <w:bottom w:w="0" w:type="dxa"/>
            <w:right w:w="108" w:type="dxa"/>
          </w:tblCellMar>
        </w:tblPrEx>
        <w:trPr>
          <w:gridAfter w:val="5"/>
          <w:wAfter w:w="3873" w:type="dxa"/>
          <w:trHeight w:val="285" w:hRule="atLeast"/>
        </w:trPr>
        <w:tc>
          <w:tcPr>
            <w:tcW w:w="3492" w:type="dxa"/>
            <w:gridSpan w:val="4"/>
            <w:tcBorders>
              <w:top w:val="nil"/>
              <w:left w:val="nil"/>
              <w:bottom w:val="nil"/>
              <w:right w:val="nil"/>
            </w:tcBorders>
            <w:shd w:val="clear" w:color="auto" w:fill="auto"/>
            <w:vAlign w:val="bottom"/>
          </w:tcPr>
          <w:p>
            <w:pPr>
              <w:widowControl/>
              <w:jc w:val="left"/>
              <w:rPr>
                <w:rFonts w:ascii="仿宋_GB2312" w:hAnsi="宋体" w:eastAsia="仿宋_GB2312" w:cs="宋体"/>
                <w:kern w:val="0"/>
                <w:sz w:val="24"/>
                <w:szCs w:val="24"/>
              </w:rPr>
            </w:pPr>
          </w:p>
          <w:p>
            <w:pPr>
              <w:widowControl/>
              <w:jc w:val="left"/>
              <w:rPr>
                <w:rFonts w:ascii="仿宋_GB2312" w:hAnsi="宋体" w:eastAsia="仿宋_GB2312" w:cs="宋体"/>
                <w:kern w:val="0"/>
                <w:sz w:val="24"/>
                <w:szCs w:val="24"/>
              </w:rPr>
            </w:pPr>
          </w:p>
          <w:p>
            <w:pPr>
              <w:widowControl/>
              <w:jc w:val="left"/>
              <w:rPr>
                <w:rFonts w:ascii="仿宋_GB2312" w:hAnsi="宋体" w:eastAsia="仿宋_GB2312" w:cs="宋体"/>
                <w:kern w:val="0"/>
                <w:sz w:val="24"/>
                <w:szCs w:val="24"/>
              </w:rPr>
            </w:pPr>
          </w:p>
          <w:p>
            <w:pPr>
              <w:widowControl/>
              <w:jc w:val="left"/>
              <w:rPr>
                <w:rFonts w:ascii="仿宋_GB2312" w:hAnsi="宋体" w:eastAsia="仿宋_GB2312" w:cs="宋体"/>
                <w:kern w:val="0"/>
                <w:sz w:val="24"/>
                <w:szCs w:val="24"/>
              </w:rPr>
            </w:pPr>
          </w:p>
          <w:p>
            <w:pPr>
              <w:widowControl/>
              <w:jc w:val="left"/>
              <w:rPr>
                <w:rFonts w:ascii="仿宋_GB2312" w:hAnsi="宋体" w:eastAsia="仿宋_GB2312" w:cs="宋体"/>
                <w:kern w:val="0"/>
                <w:sz w:val="24"/>
                <w:szCs w:val="24"/>
              </w:rPr>
            </w:pPr>
          </w:p>
          <w:p>
            <w:pPr>
              <w:widowControl/>
              <w:jc w:val="left"/>
              <w:rPr>
                <w:rFonts w:ascii="仿宋_GB2312" w:hAnsi="宋体" w:eastAsia="仿宋_GB2312" w:cs="宋体"/>
                <w:kern w:val="0"/>
                <w:sz w:val="24"/>
                <w:szCs w:val="24"/>
              </w:rPr>
            </w:pPr>
          </w:p>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附表六</w:t>
            </w:r>
          </w:p>
        </w:tc>
        <w:tc>
          <w:tcPr>
            <w:tcW w:w="849" w:type="dxa"/>
            <w:gridSpan w:val="2"/>
            <w:tcBorders>
              <w:top w:val="nil"/>
              <w:left w:val="nil"/>
              <w:bottom w:val="nil"/>
              <w:right w:val="nil"/>
            </w:tcBorders>
            <w:shd w:val="clear" w:color="auto" w:fill="auto"/>
            <w:vAlign w:val="bottom"/>
          </w:tcPr>
          <w:p>
            <w:pPr>
              <w:widowControl/>
              <w:jc w:val="left"/>
              <w:rPr>
                <w:rFonts w:ascii="仿宋_GB2312" w:hAnsi="宋体" w:eastAsia="仿宋_GB2312" w:cs="宋体"/>
                <w:kern w:val="0"/>
                <w:sz w:val="24"/>
                <w:szCs w:val="24"/>
              </w:rPr>
            </w:pPr>
          </w:p>
        </w:tc>
        <w:tc>
          <w:tcPr>
            <w:tcW w:w="1141" w:type="dxa"/>
            <w:gridSpan w:val="4"/>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c>
          <w:tcPr>
            <w:tcW w:w="2969" w:type="dxa"/>
            <w:gridSpan w:val="9"/>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c>
          <w:tcPr>
            <w:tcW w:w="1216" w:type="dxa"/>
            <w:gridSpan w:val="4"/>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c>
          <w:tcPr>
            <w:tcW w:w="938" w:type="dxa"/>
            <w:gridSpan w:val="3"/>
            <w:tcBorders>
              <w:top w:val="nil"/>
              <w:left w:val="nil"/>
              <w:bottom w:val="nil"/>
              <w:right w:val="nil"/>
            </w:tcBorders>
            <w:shd w:val="clear" w:color="auto" w:fill="auto"/>
            <w:noWrap/>
            <w:vAlign w:val="bottom"/>
          </w:tcPr>
          <w:p>
            <w:pPr>
              <w:widowControl/>
              <w:jc w:val="left"/>
              <w:rPr>
                <w:rFonts w:ascii="宋体" w:hAnsi="宋体" w:eastAsia="宋体" w:cs="宋体"/>
                <w:kern w:val="0"/>
                <w:sz w:val="24"/>
                <w:szCs w:val="24"/>
              </w:rPr>
            </w:pPr>
          </w:p>
        </w:tc>
        <w:tc>
          <w:tcPr>
            <w:tcW w:w="4634" w:type="dxa"/>
            <w:gridSpan w:val="11"/>
            <w:tcBorders>
              <w:top w:val="nil"/>
              <w:left w:val="nil"/>
              <w:bottom w:val="nil"/>
              <w:right w:val="nil"/>
            </w:tcBorders>
            <w:shd w:val="clear" w:color="auto" w:fill="auto"/>
            <w:vAlign w:val="bottom"/>
          </w:tcPr>
          <w:p>
            <w:pPr>
              <w:widowControl/>
              <w:jc w:val="left"/>
              <w:rPr>
                <w:rFonts w:ascii="宋体" w:hAnsi="宋体" w:eastAsia="宋体" w:cs="宋体"/>
                <w:kern w:val="0"/>
                <w:sz w:val="24"/>
                <w:szCs w:val="24"/>
              </w:rPr>
            </w:pPr>
          </w:p>
        </w:tc>
      </w:tr>
      <w:tr>
        <w:tblPrEx>
          <w:tblCellMar>
            <w:top w:w="0" w:type="dxa"/>
            <w:left w:w="108" w:type="dxa"/>
            <w:bottom w:w="0" w:type="dxa"/>
            <w:right w:w="108" w:type="dxa"/>
          </w:tblCellMar>
        </w:tblPrEx>
        <w:trPr>
          <w:gridAfter w:val="5"/>
          <w:wAfter w:w="3873" w:type="dxa"/>
          <w:trHeight w:val="450" w:hRule="atLeast"/>
        </w:trPr>
        <w:tc>
          <w:tcPr>
            <w:tcW w:w="15239" w:type="dxa"/>
            <w:gridSpan w:val="37"/>
            <w:tcBorders>
              <w:top w:val="nil"/>
              <w:left w:val="nil"/>
              <w:bottom w:val="nil"/>
              <w:right w:val="nil"/>
            </w:tcBorders>
            <w:shd w:val="clear" w:color="auto" w:fill="auto"/>
            <w:noWrap/>
            <w:vAlign w:val="center"/>
          </w:tcPr>
          <w:p>
            <w:pPr>
              <w:widowControl/>
              <w:jc w:val="center"/>
              <w:rPr>
                <w:rFonts w:ascii="宋体" w:hAnsi="宋体" w:eastAsia="宋体" w:cs="宋体"/>
                <w:b/>
                <w:bCs/>
                <w:kern w:val="0"/>
                <w:sz w:val="36"/>
                <w:szCs w:val="36"/>
              </w:rPr>
            </w:pPr>
            <w:r>
              <w:rPr>
                <w:rFonts w:hint="eastAsia" w:ascii="宋体" w:hAnsi="宋体" w:eastAsia="宋体" w:cs="宋体"/>
                <w:b/>
                <w:bCs/>
                <w:kern w:val="0"/>
                <w:sz w:val="36"/>
                <w:szCs w:val="36"/>
              </w:rPr>
              <w:t>2017年度无极县社会保险基金收支情况表</w:t>
            </w:r>
          </w:p>
        </w:tc>
      </w:tr>
      <w:tr>
        <w:tblPrEx>
          <w:tblCellMar>
            <w:top w:w="0" w:type="dxa"/>
            <w:left w:w="108" w:type="dxa"/>
            <w:bottom w:w="0" w:type="dxa"/>
            <w:right w:w="108" w:type="dxa"/>
          </w:tblCellMar>
        </w:tblPrEx>
        <w:trPr>
          <w:gridAfter w:val="5"/>
          <w:wAfter w:w="3873" w:type="dxa"/>
          <w:trHeight w:val="450" w:hRule="atLeast"/>
        </w:trPr>
        <w:tc>
          <w:tcPr>
            <w:tcW w:w="15239" w:type="dxa"/>
            <w:gridSpan w:val="37"/>
            <w:tcBorders>
              <w:top w:val="nil"/>
              <w:left w:val="nil"/>
              <w:bottom w:val="nil"/>
              <w:right w:val="nil"/>
            </w:tcBorders>
            <w:shd w:val="clear" w:color="auto" w:fill="auto"/>
            <w:noWrap/>
            <w:vAlign w:val="center"/>
          </w:tcPr>
          <w:p>
            <w:pPr>
              <w:widowControl/>
              <w:jc w:val="left"/>
              <w:rPr>
                <w:rFonts w:ascii="宋体" w:hAnsi="宋体" w:eastAsia="宋体" w:cs="宋体"/>
                <w:bCs/>
                <w:kern w:val="0"/>
                <w:sz w:val="24"/>
                <w:szCs w:val="24"/>
              </w:rPr>
            </w:pPr>
            <w:r>
              <w:rPr>
                <w:rFonts w:hint="eastAsia" w:ascii="宋体" w:hAnsi="宋体" w:eastAsia="宋体" w:cs="宋体"/>
                <w:bCs/>
                <w:kern w:val="0"/>
                <w:sz w:val="24"/>
                <w:szCs w:val="24"/>
              </w:rPr>
              <w:t>编制单位：无极县财政局                                                                           单位:万元</w:t>
            </w:r>
          </w:p>
        </w:tc>
      </w:tr>
      <w:tr>
        <w:tblPrEx>
          <w:tblCellMar>
            <w:top w:w="0" w:type="dxa"/>
            <w:left w:w="108" w:type="dxa"/>
            <w:bottom w:w="0" w:type="dxa"/>
            <w:right w:w="108" w:type="dxa"/>
          </w:tblCellMar>
        </w:tblPrEx>
        <w:trPr>
          <w:gridAfter w:val="6"/>
          <w:wAfter w:w="4992" w:type="dxa"/>
          <w:trHeight w:val="312" w:hRule="atLeast"/>
        </w:trPr>
        <w:tc>
          <w:tcPr>
            <w:tcW w:w="3447" w:type="dxa"/>
            <w:gridSpan w:val="3"/>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项目</w:t>
            </w:r>
          </w:p>
        </w:tc>
        <w:tc>
          <w:tcPr>
            <w:tcW w:w="928" w:type="dxa"/>
            <w:gridSpan w:val="4"/>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合计</w:t>
            </w:r>
          </w:p>
        </w:tc>
        <w:tc>
          <w:tcPr>
            <w:tcW w:w="1331" w:type="dxa"/>
            <w:gridSpan w:val="5"/>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企业职工基本养老保险基金</w:t>
            </w:r>
          </w:p>
        </w:tc>
        <w:tc>
          <w:tcPr>
            <w:tcW w:w="1377" w:type="dxa"/>
            <w:gridSpan w:val="3"/>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城乡居民基本养老保险基金</w:t>
            </w:r>
          </w:p>
        </w:tc>
        <w:tc>
          <w:tcPr>
            <w:tcW w:w="1070" w:type="dxa"/>
            <w:gridSpan w:val="3"/>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机关事业单位基本养老保险基金</w:t>
            </w:r>
          </w:p>
        </w:tc>
        <w:tc>
          <w:tcPr>
            <w:tcW w:w="1463" w:type="dxa"/>
            <w:gridSpan w:val="4"/>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城镇职工基本医疗保险基金</w:t>
            </w:r>
          </w:p>
        </w:tc>
        <w:tc>
          <w:tcPr>
            <w:tcW w:w="1702" w:type="dxa"/>
            <w:gridSpan w:val="6"/>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居民基本医疗保险基金</w:t>
            </w:r>
          </w:p>
        </w:tc>
        <w:tc>
          <w:tcPr>
            <w:tcW w:w="959" w:type="dxa"/>
            <w:gridSpan w:val="3"/>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工伤保险基金</w:t>
            </w:r>
          </w:p>
        </w:tc>
        <w:tc>
          <w:tcPr>
            <w:tcW w:w="992" w:type="dxa"/>
            <w:gridSpan w:val="3"/>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失业保险基金</w:t>
            </w:r>
          </w:p>
        </w:tc>
        <w:tc>
          <w:tcPr>
            <w:tcW w:w="851" w:type="dxa"/>
            <w:gridSpan w:val="2"/>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生育保险基金</w:t>
            </w:r>
          </w:p>
        </w:tc>
      </w:tr>
      <w:tr>
        <w:tblPrEx>
          <w:tblCellMar>
            <w:top w:w="0" w:type="dxa"/>
            <w:left w:w="108" w:type="dxa"/>
            <w:bottom w:w="0" w:type="dxa"/>
            <w:right w:w="108" w:type="dxa"/>
          </w:tblCellMar>
        </w:tblPrEx>
        <w:trPr>
          <w:gridAfter w:val="6"/>
          <w:wAfter w:w="4992" w:type="dxa"/>
          <w:trHeight w:val="840" w:hRule="atLeast"/>
        </w:trPr>
        <w:tc>
          <w:tcPr>
            <w:tcW w:w="3447"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0"/>
                <w:szCs w:val="20"/>
              </w:rPr>
            </w:pPr>
          </w:p>
        </w:tc>
        <w:tc>
          <w:tcPr>
            <w:tcW w:w="928"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0"/>
                <w:szCs w:val="20"/>
              </w:rPr>
            </w:pPr>
          </w:p>
        </w:tc>
        <w:tc>
          <w:tcPr>
            <w:tcW w:w="1331"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0"/>
                <w:szCs w:val="20"/>
              </w:rPr>
            </w:pPr>
          </w:p>
        </w:tc>
        <w:tc>
          <w:tcPr>
            <w:tcW w:w="1377"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0"/>
                <w:szCs w:val="20"/>
              </w:rPr>
            </w:pPr>
          </w:p>
        </w:tc>
        <w:tc>
          <w:tcPr>
            <w:tcW w:w="107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0"/>
                <w:szCs w:val="20"/>
              </w:rPr>
            </w:pPr>
          </w:p>
        </w:tc>
        <w:tc>
          <w:tcPr>
            <w:tcW w:w="1463"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0"/>
                <w:szCs w:val="20"/>
              </w:rPr>
            </w:pPr>
          </w:p>
        </w:tc>
        <w:tc>
          <w:tcPr>
            <w:tcW w:w="1702" w:type="dxa"/>
            <w:gridSpan w:val="6"/>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0"/>
                <w:szCs w:val="20"/>
              </w:rPr>
            </w:pPr>
          </w:p>
        </w:tc>
        <w:tc>
          <w:tcPr>
            <w:tcW w:w="959"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0"/>
                <w:szCs w:val="20"/>
              </w:rPr>
            </w:pPr>
          </w:p>
        </w:tc>
        <w:tc>
          <w:tcPr>
            <w:tcW w:w="992"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0"/>
                <w:szCs w:val="20"/>
              </w:rPr>
            </w:pPr>
          </w:p>
        </w:tc>
        <w:tc>
          <w:tcPr>
            <w:tcW w:w="851"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0"/>
                <w:szCs w:val="20"/>
              </w:rPr>
            </w:pPr>
          </w:p>
        </w:tc>
      </w:tr>
      <w:tr>
        <w:tblPrEx>
          <w:tblCellMar>
            <w:top w:w="0" w:type="dxa"/>
            <w:left w:w="108" w:type="dxa"/>
            <w:bottom w:w="0" w:type="dxa"/>
            <w:right w:w="108" w:type="dxa"/>
          </w:tblCellMar>
        </w:tblPrEx>
        <w:trPr>
          <w:gridAfter w:val="6"/>
          <w:wAfter w:w="4992" w:type="dxa"/>
          <w:trHeight w:val="405" w:hRule="atLeast"/>
        </w:trPr>
        <w:tc>
          <w:tcPr>
            <w:tcW w:w="3447" w:type="dxa"/>
            <w:gridSpan w:val="3"/>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一、收入</w:t>
            </w:r>
          </w:p>
        </w:tc>
        <w:tc>
          <w:tcPr>
            <w:tcW w:w="928"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62,972</w:t>
            </w:r>
          </w:p>
        </w:tc>
        <w:tc>
          <w:tcPr>
            <w:tcW w:w="1331" w:type="dxa"/>
            <w:gridSpan w:val="5"/>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8,434</w:t>
            </w:r>
          </w:p>
        </w:tc>
        <w:tc>
          <w:tcPr>
            <w:tcW w:w="1377"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12,098</w:t>
            </w:r>
          </w:p>
        </w:tc>
        <w:tc>
          <w:tcPr>
            <w:tcW w:w="1070"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6,277</w:t>
            </w:r>
          </w:p>
        </w:tc>
        <w:tc>
          <w:tcPr>
            <w:tcW w:w="1463"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6,654</w:t>
            </w:r>
          </w:p>
        </w:tc>
        <w:tc>
          <w:tcPr>
            <w:tcW w:w="1702" w:type="dxa"/>
            <w:gridSpan w:val="6"/>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29,371</w:t>
            </w:r>
          </w:p>
        </w:tc>
        <w:tc>
          <w:tcPr>
            <w:tcW w:w="95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51"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138</w:t>
            </w:r>
          </w:p>
        </w:tc>
      </w:tr>
      <w:tr>
        <w:tblPrEx>
          <w:tblCellMar>
            <w:top w:w="0" w:type="dxa"/>
            <w:left w:w="108" w:type="dxa"/>
            <w:bottom w:w="0" w:type="dxa"/>
            <w:right w:w="108" w:type="dxa"/>
          </w:tblCellMar>
        </w:tblPrEx>
        <w:trPr>
          <w:gridAfter w:val="6"/>
          <w:wAfter w:w="4992" w:type="dxa"/>
          <w:trHeight w:val="405" w:hRule="atLeast"/>
        </w:trPr>
        <w:tc>
          <w:tcPr>
            <w:tcW w:w="3447" w:type="dxa"/>
            <w:gridSpan w:val="3"/>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其中：1.保险费收入</w:t>
            </w:r>
          </w:p>
        </w:tc>
        <w:tc>
          <w:tcPr>
            <w:tcW w:w="928"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29,702</w:t>
            </w:r>
          </w:p>
        </w:tc>
        <w:tc>
          <w:tcPr>
            <w:tcW w:w="1331" w:type="dxa"/>
            <w:gridSpan w:val="5"/>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7,568</w:t>
            </w:r>
          </w:p>
        </w:tc>
        <w:tc>
          <w:tcPr>
            <w:tcW w:w="1377"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2,402</w:t>
            </w:r>
          </w:p>
        </w:tc>
        <w:tc>
          <w:tcPr>
            <w:tcW w:w="1070"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4,779</w:t>
            </w:r>
          </w:p>
        </w:tc>
        <w:tc>
          <w:tcPr>
            <w:tcW w:w="1463"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6,515</w:t>
            </w:r>
          </w:p>
        </w:tc>
        <w:tc>
          <w:tcPr>
            <w:tcW w:w="1702" w:type="dxa"/>
            <w:gridSpan w:val="6"/>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8,306</w:t>
            </w:r>
          </w:p>
        </w:tc>
        <w:tc>
          <w:tcPr>
            <w:tcW w:w="95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51"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132</w:t>
            </w:r>
          </w:p>
        </w:tc>
      </w:tr>
      <w:tr>
        <w:tblPrEx>
          <w:tblCellMar>
            <w:top w:w="0" w:type="dxa"/>
            <w:left w:w="108" w:type="dxa"/>
            <w:bottom w:w="0" w:type="dxa"/>
            <w:right w:w="108" w:type="dxa"/>
          </w:tblCellMar>
        </w:tblPrEx>
        <w:trPr>
          <w:gridAfter w:val="6"/>
          <w:wAfter w:w="4992" w:type="dxa"/>
          <w:trHeight w:val="405" w:hRule="atLeast"/>
        </w:trPr>
        <w:tc>
          <w:tcPr>
            <w:tcW w:w="3447" w:type="dxa"/>
            <w:gridSpan w:val="3"/>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2.投资收益</w:t>
            </w:r>
          </w:p>
        </w:tc>
        <w:tc>
          <w:tcPr>
            <w:tcW w:w="928"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814</w:t>
            </w:r>
          </w:p>
        </w:tc>
        <w:tc>
          <w:tcPr>
            <w:tcW w:w="1331" w:type="dxa"/>
            <w:gridSpan w:val="5"/>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228</w:t>
            </w:r>
          </w:p>
        </w:tc>
        <w:tc>
          <w:tcPr>
            <w:tcW w:w="1377"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295</w:t>
            </w:r>
          </w:p>
        </w:tc>
        <w:tc>
          <w:tcPr>
            <w:tcW w:w="1070"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18</w:t>
            </w:r>
          </w:p>
        </w:tc>
        <w:tc>
          <w:tcPr>
            <w:tcW w:w="1463"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139</w:t>
            </w:r>
          </w:p>
        </w:tc>
        <w:tc>
          <w:tcPr>
            <w:tcW w:w="1702" w:type="dxa"/>
            <w:gridSpan w:val="6"/>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128</w:t>
            </w:r>
          </w:p>
        </w:tc>
        <w:tc>
          <w:tcPr>
            <w:tcW w:w="95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51"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w:t>
            </w:r>
          </w:p>
        </w:tc>
      </w:tr>
      <w:tr>
        <w:tblPrEx>
          <w:tblCellMar>
            <w:top w:w="0" w:type="dxa"/>
            <w:left w:w="108" w:type="dxa"/>
            <w:bottom w:w="0" w:type="dxa"/>
            <w:right w:w="108" w:type="dxa"/>
          </w:tblCellMar>
        </w:tblPrEx>
        <w:trPr>
          <w:gridAfter w:val="6"/>
          <w:wAfter w:w="4992" w:type="dxa"/>
          <w:trHeight w:val="405" w:hRule="atLeast"/>
        </w:trPr>
        <w:tc>
          <w:tcPr>
            <w:tcW w:w="3447" w:type="dxa"/>
            <w:gridSpan w:val="3"/>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3.财政补贴收入</w:t>
            </w:r>
          </w:p>
        </w:tc>
        <w:tc>
          <w:tcPr>
            <w:tcW w:w="928"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31,474</w:t>
            </w:r>
          </w:p>
        </w:tc>
        <w:tc>
          <w:tcPr>
            <w:tcW w:w="1331" w:type="dxa"/>
            <w:gridSpan w:val="5"/>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468</w:t>
            </w:r>
          </w:p>
        </w:tc>
        <w:tc>
          <w:tcPr>
            <w:tcW w:w="1377"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9,396</w:t>
            </w:r>
          </w:p>
        </w:tc>
        <w:tc>
          <w:tcPr>
            <w:tcW w:w="1070"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734</w:t>
            </w:r>
          </w:p>
        </w:tc>
        <w:tc>
          <w:tcPr>
            <w:tcW w:w="1463"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702" w:type="dxa"/>
            <w:gridSpan w:val="6"/>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20,876</w:t>
            </w:r>
          </w:p>
        </w:tc>
        <w:tc>
          <w:tcPr>
            <w:tcW w:w="95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51"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r>
      <w:tr>
        <w:tblPrEx>
          <w:tblCellMar>
            <w:top w:w="0" w:type="dxa"/>
            <w:left w:w="108" w:type="dxa"/>
            <w:bottom w:w="0" w:type="dxa"/>
            <w:right w:w="108" w:type="dxa"/>
          </w:tblCellMar>
        </w:tblPrEx>
        <w:trPr>
          <w:gridAfter w:val="6"/>
          <w:wAfter w:w="4992" w:type="dxa"/>
          <w:trHeight w:val="405" w:hRule="atLeast"/>
        </w:trPr>
        <w:tc>
          <w:tcPr>
            <w:tcW w:w="3447" w:type="dxa"/>
            <w:gridSpan w:val="3"/>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4.其他收入</w:t>
            </w:r>
          </w:p>
        </w:tc>
        <w:tc>
          <w:tcPr>
            <w:tcW w:w="928"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65</w:t>
            </w:r>
          </w:p>
        </w:tc>
        <w:tc>
          <w:tcPr>
            <w:tcW w:w="1331" w:type="dxa"/>
            <w:gridSpan w:val="5"/>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w:t>
            </w:r>
          </w:p>
        </w:tc>
        <w:tc>
          <w:tcPr>
            <w:tcW w:w="1377"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070"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463"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702" w:type="dxa"/>
            <w:gridSpan w:val="6"/>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61</w:t>
            </w:r>
          </w:p>
        </w:tc>
        <w:tc>
          <w:tcPr>
            <w:tcW w:w="95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51"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r>
      <w:tr>
        <w:tblPrEx>
          <w:tblCellMar>
            <w:top w:w="0" w:type="dxa"/>
            <w:left w:w="108" w:type="dxa"/>
            <w:bottom w:w="0" w:type="dxa"/>
            <w:right w:w="108" w:type="dxa"/>
          </w:tblCellMar>
        </w:tblPrEx>
        <w:trPr>
          <w:gridAfter w:val="6"/>
          <w:wAfter w:w="4992" w:type="dxa"/>
          <w:trHeight w:val="405" w:hRule="atLeast"/>
        </w:trPr>
        <w:tc>
          <w:tcPr>
            <w:tcW w:w="3447" w:type="dxa"/>
            <w:gridSpan w:val="3"/>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5.转移收入</w:t>
            </w:r>
          </w:p>
        </w:tc>
        <w:tc>
          <w:tcPr>
            <w:tcW w:w="928"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171</w:t>
            </w:r>
          </w:p>
        </w:tc>
        <w:tc>
          <w:tcPr>
            <w:tcW w:w="1331" w:type="dxa"/>
            <w:gridSpan w:val="5"/>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166</w:t>
            </w:r>
          </w:p>
        </w:tc>
        <w:tc>
          <w:tcPr>
            <w:tcW w:w="1377"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w:t>
            </w:r>
          </w:p>
        </w:tc>
        <w:tc>
          <w:tcPr>
            <w:tcW w:w="1070"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463"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702" w:type="dxa"/>
            <w:gridSpan w:val="6"/>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5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51"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r>
      <w:tr>
        <w:tblPrEx>
          <w:tblCellMar>
            <w:top w:w="0" w:type="dxa"/>
            <w:left w:w="108" w:type="dxa"/>
            <w:bottom w:w="0" w:type="dxa"/>
            <w:right w:w="108" w:type="dxa"/>
          </w:tblCellMar>
        </w:tblPrEx>
        <w:trPr>
          <w:gridAfter w:val="6"/>
          <w:wAfter w:w="4992" w:type="dxa"/>
          <w:trHeight w:val="405" w:hRule="atLeast"/>
        </w:trPr>
        <w:tc>
          <w:tcPr>
            <w:tcW w:w="3447" w:type="dxa"/>
            <w:gridSpan w:val="3"/>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二、支出</w:t>
            </w:r>
          </w:p>
        </w:tc>
        <w:tc>
          <w:tcPr>
            <w:tcW w:w="928"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61,144</w:t>
            </w:r>
          </w:p>
        </w:tc>
        <w:tc>
          <w:tcPr>
            <w:tcW w:w="1331" w:type="dxa"/>
            <w:gridSpan w:val="5"/>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17,036</w:t>
            </w:r>
          </w:p>
        </w:tc>
        <w:tc>
          <w:tcPr>
            <w:tcW w:w="1377"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8,753</w:t>
            </w:r>
          </w:p>
        </w:tc>
        <w:tc>
          <w:tcPr>
            <w:tcW w:w="1070"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2,723</w:t>
            </w:r>
          </w:p>
        </w:tc>
        <w:tc>
          <w:tcPr>
            <w:tcW w:w="1463"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5,563</w:t>
            </w:r>
          </w:p>
        </w:tc>
        <w:tc>
          <w:tcPr>
            <w:tcW w:w="1702" w:type="dxa"/>
            <w:gridSpan w:val="6"/>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27,028</w:t>
            </w:r>
          </w:p>
        </w:tc>
        <w:tc>
          <w:tcPr>
            <w:tcW w:w="95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51"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41</w:t>
            </w:r>
          </w:p>
        </w:tc>
      </w:tr>
      <w:tr>
        <w:tblPrEx>
          <w:tblCellMar>
            <w:top w:w="0" w:type="dxa"/>
            <w:left w:w="108" w:type="dxa"/>
            <w:bottom w:w="0" w:type="dxa"/>
            <w:right w:w="108" w:type="dxa"/>
          </w:tblCellMar>
        </w:tblPrEx>
        <w:trPr>
          <w:gridAfter w:val="6"/>
          <w:wAfter w:w="4992" w:type="dxa"/>
          <w:trHeight w:val="405" w:hRule="atLeast"/>
        </w:trPr>
        <w:tc>
          <w:tcPr>
            <w:tcW w:w="3447" w:type="dxa"/>
            <w:gridSpan w:val="3"/>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其中：1.社会保险待遇支出</w:t>
            </w:r>
          </w:p>
        </w:tc>
        <w:tc>
          <w:tcPr>
            <w:tcW w:w="928"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55,291</w:t>
            </w:r>
          </w:p>
        </w:tc>
        <w:tc>
          <w:tcPr>
            <w:tcW w:w="1331" w:type="dxa"/>
            <w:gridSpan w:val="5"/>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16,974</w:t>
            </w:r>
          </w:p>
        </w:tc>
        <w:tc>
          <w:tcPr>
            <w:tcW w:w="1377"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8,748</w:t>
            </w:r>
          </w:p>
        </w:tc>
        <w:tc>
          <w:tcPr>
            <w:tcW w:w="1070"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2,723</w:t>
            </w:r>
          </w:p>
        </w:tc>
        <w:tc>
          <w:tcPr>
            <w:tcW w:w="1463"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3,144</w:t>
            </w:r>
          </w:p>
        </w:tc>
        <w:tc>
          <w:tcPr>
            <w:tcW w:w="1702" w:type="dxa"/>
            <w:gridSpan w:val="6"/>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23,661</w:t>
            </w:r>
          </w:p>
        </w:tc>
        <w:tc>
          <w:tcPr>
            <w:tcW w:w="95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51"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41</w:t>
            </w:r>
          </w:p>
        </w:tc>
      </w:tr>
      <w:tr>
        <w:tblPrEx>
          <w:tblCellMar>
            <w:top w:w="0" w:type="dxa"/>
            <w:left w:w="108" w:type="dxa"/>
            <w:bottom w:w="0" w:type="dxa"/>
            <w:right w:w="108" w:type="dxa"/>
          </w:tblCellMar>
        </w:tblPrEx>
        <w:trPr>
          <w:gridAfter w:val="6"/>
          <w:wAfter w:w="4992" w:type="dxa"/>
          <w:trHeight w:val="405" w:hRule="atLeast"/>
        </w:trPr>
        <w:tc>
          <w:tcPr>
            <w:tcW w:w="3447" w:type="dxa"/>
            <w:gridSpan w:val="3"/>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2.其他支出</w:t>
            </w:r>
          </w:p>
        </w:tc>
        <w:tc>
          <w:tcPr>
            <w:tcW w:w="928"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3,856</w:t>
            </w:r>
          </w:p>
        </w:tc>
        <w:tc>
          <w:tcPr>
            <w:tcW w:w="1331" w:type="dxa"/>
            <w:gridSpan w:val="5"/>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377"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070"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463"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2,331</w:t>
            </w:r>
          </w:p>
        </w:tc>
        <w:tc>
          <w:tcPr>
            <w:tcW w:w="1702" w:type="dxa"/>
            <w:gridSpan w:val="6"/>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1,525</w:t>
            </w:r>
          </w:p>
        </w:tc>
        <w:tc>
          <w:tcPr>
            <w:tcW w:w="95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51"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r>
      <w:tr>
        <w:tblPrEx>
          <w:tblCellMar>
            <w:top w:w="0" w:type="dxa"/>
            <w:left w:w="108" w:type="dxa"/>
            <w:bottom w:w="0" w:type="dxa"/>
            <w:right w:w="108" w:type="dxa"/>
          </w:tblCellMar>
        </w:tblPrEx>
        <w:trPr>
          <w:gridAfter w:val="6"/>
          <w:wAfter w:w="4992" w:type="dxa"/>
          <w:trHeight w:val="405" w:hRule="atLeast"/>
        </w:trPr>
        <w:tc>
          <w:tcPr>
            <w:tcW w:w="3447" w:type="dxa"/>
            <w:gridSpan w:val="3"/>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      3.转移支出</w:t>
            </w:r>
          </w:p>
        </w:tc>
        <w:tc>
          <w:tcPr>
            <w:tcW w:w="928"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155</w:t>
            </w:r>
          </w:p>
        </w:tc>
        <w:tc>
          <w:tcPr>
            <w:tcW w:w="1331" w:type="dxa"/>
            <w:gridSpan w:val="5"/>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62</w:t>
            </w:r>
          </w:p>
        </w:tc>
        <w:tc>
          <w:tcPr>
            <w:tcW w:w="1377"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w:t>
            </w:r>
          </w:p>
        </w:tc>
        <w:tc>
          <w:tcPr>
            <w:tcW w:w="1070"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1463"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88</w:t>
            </w:r>
          </w:p>
        </w:tc>
        <w:tc>
          <w:tcPr>
            <w:tcW w:w="1702" w:type="dxa"/>
            <w:gridSpan w:val="6"/>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5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51"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r>
      <w:tr>
        <w:tblPrEx>
          <w:tblCellMar>
            <w:top w:w="0" w:type="dxa"/>
            <w:left w:w="108" w:type="dxa"/>
            <w:bottom w:w="0" w:type="dxa"/>
            <w:right w:w="108" w:type="dxa"/>
          </w:tblCellMar>
        </w:tblPrEx>
        <w:trPr>
          <w:gridAfter w:val="6"/>
          <w:wAfter w:w="4992" w:type="dxa"/>
          <w:trHeight w:val="405" w:hRule="atLeast"/>
        </w:trPr>
        <w:tc>
          <w:tcPr>
            <w:tcW w:w="3447" w:type="dxa"/>
            <w:gridSpan w:val="3"/>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三、本年收支结余</w:t>
            </w:r>
          </w:p>
        </w:tc>
        <w:tc>
          <w:tcPr>
            <w:tcW w:w="928"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1,828</w:t>
            </w:r>
          </w:p>
        </w:tc>
        <w:tc>
          <w:tcPr>
            <w:tcW w:w="1331" w:type="dxa"/>
            <w:gridSpan w:val="5"/>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-8,602</w:t>
            </w:r>
          </w:p>
        </w:tc>
        <w:tc>
          <w:tcPr>
            <w:tcW w:w="1377"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3,345</w:t>
            </w:r>
          </w:p>
        </w:tc>
        <w:tc>
          <w:tcPr>
            <w:tcW w:w="1070"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3,554</w:t>
            </w:r>
          </w:p>
        </w:tc>
        <w:tc>
          <w:tcPr>
            <w:tcW w:w="1463"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1,091</w:t>
            </w:r>
          </w:p>
        </w:tc>
        <w:tc>
          <w:tcPr>
            <w:tcW w:w="1702" w:type="dxa"/>
            <w:gridSpan w:val="6"/>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2,343</w:t>
            </w:r>
          </w:p>
        </w:tc>
        <w:tc>
          <w:tcPr>
            <w:tcW w:w="95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51"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97</w:t>
            </w:r>
          </w:p>
        </w:tc>
      </w:tr>
      <w:tr>
        <w:tblPrEx>
          <w:tblCellMar>
            <w:top w:w="0" w:type="dxa"/>
            <w:left w:w="108" w:type="dxa"/>
            <w:bottom w:w="0" w:type="dxa"/>
            <w:right w:w="108" w:type="dxa"/>
          </w:tblCellMar>
        </w:tblPrEx>
        <w:trPr>
          <w:gridAfter w:val="6"/>
          <w:wAfter w:w="4992" w:type="dxa"/>
          <w:trHeight w:val="405" w:hRule="atLeast"/>
        </w:trPr>
        <w:tc>
          <w:tcPr>
            <w:tcW w:w="3447" w:type="dxa"/>
            <w:gridSpan w:val="3"/>
            <w:tcBorders>
              <w:top w:val="nil"/>
              <w:left w:val="single" w:color="auto" w:sz="4" w:space="0"/>
              <w:bottom w:val="single" w:color="auto" w:sz="4" w:space="0"/>
              <w:right w:val="single" w:color="auto" w:sz="4" w:space="0"/>
            </w:tcBorders>
            <w:shd w:val="clear" w:color="000000" w:fill="FFFFFF"/>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四、年末滚存结余</w:t>
            </w:r>
          </w:p>
        </w:tc>
        <w:tc>
          <w:tcPr>
            <w:tcW w:w="928"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45,821</w:t>
            </w:r>
          </w:p>
        </w:tc>
        <w:tc>
          <w:tcPr>
            <w:tcW w:w="1331" w:type="dxa"/>
            <w:gridSpan w:val="5"/>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7,321</w:t>
            </w:r>
          </w:p>
        </w:tc>
        <w:tc>
          <w:tcPr>
            <w:tcW w:w="1377"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19,057</w:t>
            </w:r>
          </w:p>
        </w:tc>
        <w:tc>
          <w:tcPr>
            <w:tcW w:w="1070"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3,554</w:t>
            </w:r>
          </w:p>
        </w:tc>
        <w:tc>
          <w:tcPr>
            <w:tcW w:w="1463" w:type="dxa"/>
            <w:gridSpan w:val="4"/>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8,727</w:t>
            </w:r>
          </w:p>
        </w:tc>
        <w:tc>
          <w:tcPr>
            <w:tcW w:w="1702" w:type="dxa"/>
            <w:gridSpan w:val="6"/>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6,633</w:t>
            </w:r>
          </w:p>
        </w:tc>
        <w:tc>
          <w:tcPr>
            <w:tcW w:w="959"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992" w:type="dxa"/>
            <w:gridSpan w:val="3"/>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　</w:t>
            </w:r>
          </w:p>
        </w:tc>
        <w:tc>
          <w:tcPr>
            <w:tcW w:w="851" w:type="dxa"/>
            <w:gridSpan w:val="2"/>
            <w:tcBorders>
              <w:top w:val="nil"/>
              <w:left w:val="nil"/>
              <w:bottom w:val="single" w:color="auto" w:sz="4" w:space="0"/>
              <w:right w:val="single" w:color="auto" w:sz="4" w:space="0"/>
            </w:tcBorders>
            <w:shd w:val="clear" w:color="000000" w:fill="FFFFFF"/>
            <w:noWrap/>
            <w:vAlign w:val="center"/>
          </w:tcPr>
          <w:p>
            <w:pPr>
              <w:jc w:val="right"/>
              <w:rPr>
                <w:rFonts w:cs="宋体" w:asciiTheme="minorEastAsia" w:hAnsiTheme="minorEastAsia"/>
                <w:szCs w:val="21"/>
              </w:rPr>
            </w:pPr>
            <w:r>
              <w:rPr>
                <w:rFonts w:hint="eastAsia" w:asciiTheme="minorEastAsia" w:hAnsiTheme="minorEastAsia"/>
                <w:szCs w:val="21"/>
              </w:rPr>
              <w:t>529</w:t>
            </w:r>
          </w:p>
        </w:tc>
      </w:tr>
    </w:tbl>
    <w:p>
      <w:pPr>
        <w:adjustRightInd w:val="0"/>
        <w:snapToGrid w:val="0"/>
        <w:spacing w:line="600" w:lineRule="exact"/>
        <w:jc w:val="left"/>
        <w:rPr>
          <w:rFonts w:ascii="仿宋_GB2312" w:hAnsi="仿宋" w:eastAsia="仿宋_GB2312" w:cs="Times New Roman"/>
          <w:sz w:val="32"/>
          <w:szCs w:val="32"/>
        </w:rPr>
      </w:pPr>
    </w:p>
    <w:sectPr>
      <w:pgSz w:w="16838" w:h="11906" w:orient="landscape"/>
      <w:pgMar w:top="851" w:right="1440" w:bottom="851" w:left="1440" w:header="851" w:footer="567"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560"/>
      <w:jc w:val="center"/>
      <w:rPr>
        <w:sz w:val="28"/>
        <w:szCs w:val="28"/>
      </w:rPr>
    </w:pPr>
    <w:r>
      <w:rPr>
        <w:rFonts w:hint="eastAsia"/>
        <w:sz w:val="28"/>
        <w:szCs w:val="28"/>
      </w:rPr>
      <w:t>－</w:t>
    </w:r>
    <w:sdt>
      <w:sdtPr>
        <w:rPr>
          <w:sz w:val="28"/>
          <w:szCs w:val="28"/>
        </w:rPr>
        <w:id w:val="633145010"/>
        <w:docPartObj>
          <w:docPartGallery w:val="autotext"/>
        </w:docPartObj>
      </w:sdtPr>
      <w:sdtEndPr>
        <w:rPr>
          <w:sz w:val="28"/>
          <w:szCs w:val="28"/>
        </w:rPr>
      </w:sdtEndPr>
      <w:sdtContent>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3</w:t>
        </w:r>
        <w:r>
          <w:rPr>
            <w:sz w:val="28"/>
            <w:szCs w:val="28"/>
          </w:rPr>
          <w:fldChar w:fldCharType="end"/>
        </w:r>
        <w:r>
          <w:rPr>
            <w:rFonts w:hint="eastAsia"/>
            <w:sz w:val="28"/>
            <w:szCs w:val="28"/>
          </w:rPr>
          <w:t>－</w:t>
        </w:r>
      </w:sdtContent>
    </w:sdt>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rPr>
        <w:sz w:val="28"/>
        <w:szCs w:val="28"/>
      </w:rPr>
    </w:pPr>
    <w:r>
      <w:rPr>
        <w:rFonts w:hint="eastAsia"/>
        <w:sz w:val="28"/>
        <w:szCs w:val="28"/>
      </w:rPr>
      <w:t>－</w:t>
    </w:r>
    <w:sdt>
      <w:sdtPr>
        <w:rPr>
          <w:sz w:val="28"/>
          <w:szCs w:val="28"/>
        </w:rPr>
        <w:id w:val="-1"/>
        <w:docPartObj>
          <w:docPartGallery w:val="autotext"/>
        </w:docPartObj>
      </w:sdtPr>
      <w:sdtEndPr>
        <w:rPr>
          <w:sz w:val="28"/>
          <w:szCs w:val="28"/>
          <w:lang w:val="zh-CN"/>
        </w:rPr>
      </w:sdtEndPr>
      <w:sdtContent>
        <w:r>
          <w:rPr>
            <w:sz w:val="28"/>
            <w:szCs w:val="28"/>
          </w:rPr>
          <w:fldChar w:fldCharType="begin"/>
        </w:r>
        <w:r>
          <w:rPr>
            <w:sz w:val="28"/>
            <w:szCs w:val="28"/>
          </w:rPr>
          <w:instrText xml:space="preserve"> PAGE   \* MERGEFORMAT </w:instrText>
        </w:r>
        <w:r>
          <w:rPr>
            <w:sz w:val="28"/>
            <w:szCs w:val="28"/>
          </w:rPr>
          <w:fldChar w:fldCharType="separate"/>
        </w:r>
        <w:r>
          <w:rPr>
            <w:sz w:val="28"/>
            <w:szCs w:val="28"/>
            <w:lang w:val="zh-CN"/>
          </w:rPr>
          <w:t>2</w:t>
        </w:r>
        <w:r>
          <w:rPr>
            <w:sz w:val="28"/>
            <w:szCs w:val="28"/>
            <w:lang w:val="zh-CN"/>
          </w:rPr>
          <w:fldChar w:fldCharType="end"/>
        </w:r>
        <w:r>
          <w:rPr>
            <w:rFonts w:hint="eastAsia"/>
            <w:sz w:val="28"/>
            <w:szCs w:val="28"/>
            <w:lang w:val="zh-CN"/>
          </w:rPr>
          <w:t>－</w:t>
        </w:r>
      </w:sdtContent>
    </w:sdt>
  </w:p>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5349"/>
    <w:rsid w:val="000010FB"/>
    <w:rsid w:val="000013E5"/>
    <w:rsid w:val="00001B3A"/>
    <w:rsid w:val="00007F8F"/>
    <w:rsid w:val="00010243"/>
    <w:rsid w:val="00016B19"/>
    <w:rsid w:val="00021C52"/>
    <w:rsid w:val="000267A3"/>
    <w:rsid w:val="0004428B"/>
    <w:rsid w:val="00055F9E"/>
    <w:rsid w:val="00062EBD"/>
    <w:rsid w:val="00072922"/>
    <w:rsid w:val="00090EC2"/>
    <w:rsid w:val="00093F1A"/>
    <w:rsid w:val="000947B6"/>
    <w:rsid w:val="000955C9"/>
    <w:rsid w:val="000A1BE2"/>
    <w:rsid w:val="000B4D3B"/>
    <w:rsid w:val="000B5343"/>
    <w:rsid w:val="000C2D89"/>
    <w:rsid w:val="000D0D63"/>
    <w:rsid w:val="000D72E6"/>
    <w:rsid w:val="000E32A8"/>
    <w:rsid w:val="000F2083"/>
    <w:rsid w:val="000F55E6"/>
    <w:rsid w:val="0011747F"/>
    <w:rsid w:val="00121FE8"/>
    <w:rsid w:val="001677BE"/>
    <w:rsid w:val="0017146C"/>
    <w:rsid w:val="00197DE7"/>
    <w:rsid w:val="001E3ADC"/>
    <w:rsid w:val="001E3D71"/>
    <w:rsid w:val="001E7261"/>
    <w:rsid w:val="001F0FF7"/>
    <w:rsid w:val="0020231B"/>
    <w:rsid w:val="00211238"/>
    <w:rsid w:val="002238D8"/>
    <w:rsid w:val="00232634"/>
    <w:rsid w:val="00243EA6"/>
    <w:rsid w:val="002475CE"/>
    <w:rsid w:val="00250D30"/>
    <w:rsid w:val="002530A1"/>
    <w:rsid w:val="002767DC"/>
    <w:rsid w:val="00295C97"/>
    <w:rsid w:val="002966B1"/>
    <w:rsid w:val="002B2861"/>
    <w:rsid w:val="002C1F75"/>
    <w:rsid w:val="002C49C4"/>
    <w:rsid w:val="002E05A4"/>
    <w:rsid w:val="00302A3A"/>
    <w:rsid w:val="00302C77"/>
    <w:rsid w:val="00306189"/>
    <w:rsid w:val="00317547"/>
    <w:rsid w:val="00325943"/>
    <w:rsid w:val="003447B6"/>
    <w:rsid w:val="00360894"/>
    <w:rsid w:val="003664B5"/>
    <w:rsid w:val="00372C30"/>
    <w:rsid w:val="00386ECA"/>
    <w:rsid w:val="00391C35"/>
    <w:rsid w:val="003B6CD4"/>
    <w:rsid w:val="003C3191"/>
    <w:rsid w:val="003C5C48"/>
    <w:rsid w:val="003E3F37"/>
    <w:rsid w:val="003E4BDC"/>
    <w:rsid w:val="003F1E63"/>
    <w:rsid w:val="004208C5"/>
    <w:rsid w:val="00436B0C"/>
    <w:rsid w:val="004667D5"/>
    <w:rsid w:val="004716E8"/>
    <w:rsid w:val="00472289"/>
    <w:rsid w:val="004C2E20"/>
    <w:rsid w:val="004D01F3"/>
    <w:rsid w:val="004D0E59"/>
    <w:rsid w:val="004D1372"/>
    <w:rsid w:val="004E14C5"/>
    <w:rsid w:val="004E5DB4"/>
    <w:rsid w:val="004E7A08"/>
    <w:rsid w:val="004F040F"/>
    <w:rsid w:val="00503E55"/>
    <w:rsid w:val="00522739"/>
    <w:rsid w:val="00536555"/>
    <w:rsid w:val="005506F4"/>
    <w:rsid w:val="00564774"/>
    <w:rsid w:val="0056584B"/>
    <w:rsid w:val="00586633"/>
    <w:rsid w:val="0059142F"/>
    <w:rsid w:val="005D23AC"/>
    <w:rsid w:val="006035D3"/>
    <w:rsid w:val="006052A8"/>
    <w:rsid w:val="00616895"/>
    <w:rsid w:val="00620BFB"/>
    <w:rsid w:val="0062686B"/>
    <w:rsid w:val="00681F0B"/>
    <w:rsid w:val="006864E3"/>
    <w:rsid w:val="006869C2"/>
    <w:rsid w:val="006B2829"/>
    <w:rsid w:val="006C02D6"/>
    <w:rsid w:val="006D41C9"/>
    <w:rsid w:val="006E01EC"/>
    <w:rsid w:val="006E22EE"/>
    <w:rsid w:val="00702326"/>
    <w:rsid w:val="00711846"/>
    <w:rsid w:val="00736C29"/>
    <w:rsid w:val="0075008B"/>
    <w:rsid w:val="00760168"/>
    <w:rsid w:val="00785B92"/>
    <w:rsid w:val="00785FD2"/>
    <w:rsid w:val="007B5ECC"/>
    <w:rsid w:val="007C003E"/>
    <w:rsid w:val="007F1B4F"/>
    <w:rsid w:val="0080685F"/>
    <w:rsid w:val="008128DC"/>
    <w:rsid w:val="00820AD1"/>
    <w:rsid w:val="0083537C"/>
    <w:rsid w:val="00847886"/>
    <w:rsid w:val="00853E74"/>
    <w:rsid w:val="00854090"/>
    <w:rsid w:val="00870EB5"/>
    <w:rsid w:val="008A0D84"/>
    <w:rsid w:val="008B71AD"/>
    <w:rsid w:val="008C5552"/>
    <w:rsid w:val="008D13F9"/>
    <w:rsid w:val="008E5858"/>
    <w:rsid w:val="008E68B6"/>
    <w:rsid w:val="00901A4D"/>
    <w:rsid w:val="00915033"/>
    <w:rsid w:val="009267F4"/>
    <w:rsid w:val="00944AB4"/>
    <w:rsid w:val="009A11D1"/>
    <w:rsid w:val="009A4054"/>
    <w:rsid w:val="009A611A"/>
    <w:rsid w:val="009B2420"/>
    <w:rsid w:val="009C315D"/>
    <w:rsid w:val="009D01C1"/>
    <w:rsid w:val="009D19D9"/>
    <w:rsid w:val="009D6F0B"/>
    <w:rsid w:val="009F4720"/>
    <w:rsid w:val="009F4A4B"/>
    <w:rsid w:val="00A0114B"/>
    <w:rsid w:val="00A05458"/>
    <w:rsid w:val="00A11A73"/>
    <w:rsid w:val="00A26E99"/>
    <w:rsid w:val="00A31981"/>
    <w:rsid w:val="00A54C7E"/>
    <w:rsid w:val="00A6563C"/>
    <w:rsid w:val="00A80A9F"/>
    <w:rsid w:val="00A83400"/>
    <w:rsid w:val="00A968BF"/>
    <w:rsid w:val="00AA0FC6"/>
    <w:rsid w:val="00AC3AFF"/>
    <w:rsid w:val="00AE6BF1"/>
    <w:rsid w:val="00AF03D2"/>
    <w:rsid w:val="00AF33E0"/>
    <w:rsid w:val="00B00E19"/>
    <w:rsid w:val="00B01BEF"/>
    <w:rsid w:val="00B22570"/>
    <w:rsid w:val="00B305ED"/>
    <w:rsid w:val="00B30DA4"/>
    <w:rsid w:val="00B3526A"/>
    <w:rsid w:val="00B4466D"/>
    <w:rsid w:val="00B45241"/>
    <w:rsid w:val="00B46D99"/>
    <w:rsid w:val="00B575C0"/>
    <w:rsid w:val="00B6533E"/>
    <w:rsid w:val="00B66FB4"/>
    <w:rsid w:val="00B9301F"/>
    <w:rsid w:val="00BA18C2"/>
    <w:rsid w:val="00BA2F68"/>
    <w:rsid w:val="00BA395D"/>
    <w:rsid w:val="00BC1D71"/>
    <w:rsid w:val="00C00BF4"/>
    <w:rsid w:val="00C02F7B"/>
    <w:rsid w:val="00C03B30"/>
    <w:rsid w:val="00C25902"/>
    <w:rsid w:val="00C35FE0"/>
    <w:rsid w:val="00C43E23"/>
    <w:rsid w:val="00C47411"/>
    <w:rsid w:val="00C52BC9"/>
    <w:rsid w:val="00C53146"/>
    <w:rsid w:val="00C700C2"/>
    <w:rsid w:val="00C7568B"/>
    <w:rsid w:val="00C80C37"/>
    <w:rsid w:val="00CB375E"/>
    <w:rsid w:val="00CB6B6A"/>
    <w:rsid w:val="00CD1B77"/>
    <w:rsid w:val="00CE7292"/>
    <w:rsid w:val="00D04069"/>
    <w:rsid w:val="00D23B78"/>
    <w:rsid w:val="00D314B2"/>
    <w:rsid w:val="00D543F9"/>
    <w:rsid w:val="00D61AD5"/>
    <w:rsid w:val="00D6576A"/>
    <w:rsid w:val="00D94A35"/>
    <w:rsid w:val="00DB1729"/>
    <w:rsid w:val="00DC0994"/>
    <w:rsid w:val="00DF66A8"/>
    <w:rsid w:val="00E10A29"/>
    <w:rsid w:val="00E14503"/>
    <w:rsid w:val="00E27E64"/>
    <w:rsid w:val="00E30390"/>
    <w:rsid w:val="00E328BD"/>
    <w:rsid w:val="00E4726F"/>
    <w:rsid w:val="00E53371"/>
    <w:rsid w:val="00E6438C"/>
    <w:rsid w:val="00E72F96"/>
    <w:rsid w:val="00E778E8"/>
    <w:rsid w:val="00E80046"/>
    <w:rsid w:val="00E9244C"/>
    <w:rsid w:val="00E95A04"/>
    <w:rsid w:val="00EC0568"/>
    <w:rsid w:val="00EE0558"/>
    <w:rsid w:val="00F04839"/>
    <w:rsid w:val="00F23E40"/>
    <w:rsid w:val="00F40357"/>
    <w:rsid w:val="00F50EF5"/>
    <w:rsid w:val="00F57CE6"/>
    <w:rsid w:val="00F61650"/>
    <w:rsid w:val="00F6775D"/>
    <w:rsid w:val="00F7489B"/>
    <w:rsid w:val="00F8242B"/>
    <w:rsid w:val="00F93725"/>
    <w:rsid w:val="00FB0BE5"/>
    <w:rsid w:val="00FB5349"/>
    <w:rsid w:val="00FE3923"/>
    <w:rsid w:val="00FF3747"/>
    <w:rsid w:val="00FF78E8"/>
    <w:rsid w:val="27F14578"/>
    <w:rsid w:val="56757737"/>
    <w:rsid w:val="FFB5769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0"/>
    <w:semiHidden/>
    <w:unhideWhenUsed/>
    <w:qFormat/>
    <w:uiPriority w:val="99"/>
    <w:pPr>
      <w:ind w:left="100" w:leftChars="2500"/>
    </w:pPr>
  </w:style>
  <w:style w:type="paragraph" w:styleId="3">
    <w:name w:val="Balloon Text"/>
    <w:basedOn w:val="1"/>
    <w:link w:val="36"/>
    <w:semiHidden/>
    <w:unhideWhenUsed/>
    <w:qFormat/>
    <w:uiPriority w:val="99"/>
    <w:rPr>
      <w:sz w:val="18"/>
      <w:szCs w:val="18"/>
    </w:r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1"/>
    <w:unhideWhenUsed/>
    <w:uiPriority w:val="99"/>
    <w:pPr>
      <w:pBdr>
        <w:bottom w:val="single" w:color="auto" w:sz="6" w:space="1"/>
      </w:pBdr>
      <w:tabs>
        <w:tab w:val="center" w:pos="4153"/>
        <w:tab w:val="right" w:pos="8306"/>
      </w:tabs>
      <w:snapToGrid w:val="0"/>
      <w:jc w:val="center"/>
    </w:pPr>
    <w:rPr>
      <w:sz w:val="18"/>
      <w:szCs w:val="18"/>
    </w:rPr>
  </w:style>
  <w:style w:type="character" w:styleId="8">
    <w:name w:val="FollowedHyperlink"/>
    <w:basedOn w:val="7"/>
    <w:semiHidden/>
    <w:unhideWhenUsed/>
    <w:qFormat/>
    <w:uiPriority w:val="99"/>
    <w:rPr>
      <w:color w:val="800080"/>
      <w:u w:val="single"/>
    </w:rPr>
  </w:style>
  <w:style w:type="character" w:styleId="9">
    <w:name w:val="Hyperlink"/>
    <w:basedOn w:val="7"/>
    <w:semiHidden/>
    <w:unhideWhenUsed/>
    <w:uiPriority w:val="99"/>
    <w:rPr>
      <w:color w:val="0000FF"/>
      <w:u w:val="single"/>
    </w:rPr>
  </w:style>
  <w:style w:type="character" w:customStyle="1" w:styleId="10">
    <w:name w:val="日期 Char"/>
    <w:basedOn w:val="7"/>
    <w:link w:val="2"/>
    <w:semiHidden/>
    <w:qFormat/>
    <w:uiPriority w:val="99"/>
  </w:style>
  <w:style w:type="character" w:customStyle="1" w:styleId="11">
    <w:name w:val="页眉 Char"/>
    <w:basedOn w:val="7"/>
    <w:link w:val="5"/>
    <w:uiPriority w:val="99"/>
    <w:rPr>
      <w:sz w:val="18"/>
      <w:szCs w:val="18"/>
    </w:rPr>
  </w:style>
  <w:style w:type="character" w:customStyle="1" w:styleId="12">
    <w:name w:val="页脚 Char"/>
    <w:basedOn w:val="7"/>
    <w:link w:val="4"/>
    <w:qFormat/>
    <w:uiPriority w:val="99"/>
    <w:rPr>
      <w:sz w:val="18"/>
      <w:szCs w:val="18"/>
    </w:rPr>
  </w:style>
  <w:style w:type="paragraph" w:customStyle="1" w:styleId="13">
    <w:name w:val="xl66"/>
    <w:basedOn w:val="1"/>
    <w:qFormat/>
    <w:uiPriority w:val="0"/>
    <w:pPr>
      <w:widowControl/>
      <w:shd w:val="clear" w:color="000000" w:fill="FFFFFF"/>
      <w:spacing w:before="100" w:beforeAutospacing="1" w:after="100" w:afterAutospacing="1"/>
      <w:jc w:val="left"/>
    </w:pPr>
    <w:rPr>
      <w:rFonts w:ascii="宋体" w:hAnsi="宋体" w:eastAsia="宋体" w:cs="宋体"/>
      <w:kern w:val="0"/>
      <w:sz w:val="24"/>
      <w:szCs w:val="24"/>
    </w:rPr>
  </w:style>
  <w:style w:type="paragraph" w:customStyle="1" w:styleId="14">
    <w:name w:val="xl67"/>
    <w:basedOn w:val="1"/>
    <w:qFormat/>
    <w:uiPriority w:val="0"/>
    <w:pPr>
      <w:widowControl/>
      <w:shd w:val="clear" w:color="000000" w:fill="C0C0C0"/>
      <w:spacing w:before="100" w:beforeAutospacing="1" w:after="100" w:afterAutospacing="1"/>
      <w:jc w:val="left"/>
    </w:pPr>
    <w:rPr>
      <w:rFonts w:ascii="宋体" w:hAnsi="宋体" w:eastAsia="宋体" w:cs="宋体"/>
      <w:kern w:val="0"/>
      <w:sz w:val="24"/>
      <w:szCs w:val="24"/>
    </w:rPr>
  </w:style>
  <w:style w:type="paragraph" w:customStyle="1" w:styleId="15">
    <w:name w:val="xl68"/>
    <w:basedOn w:val="1"/>
    <w:uiPriority w:val="0"/>
    <w:pPr>
      <w:widowControl/>
      <w:shd w:val="clear" w:color="000000" w:fill="FFFFFF"/>
      <w:spacing w:before="100" w:beforeAutospacing="1" w:after="100" w:afterAutospacing="1"/>
      <w:jc w:val="center"/>
      <w:textAlignment w:val="center"/>
    </w:pPr>
    <w:rPr>
      <w:rFonts w:ascii="宋体" w:hAnsi="宋体" w:eastAsia="宋体" w:cs="宋体"/>
      <w:b/>
      <w:bCs/>
      <w:kern w:val="0"/>
      <w:sz w:val="36"/>
      <w:szCs w:val="36"/>
    </w:rPr>
  </w:style>
  <w:style w:type="paragraph" w:customStyle="1" w:styleId="16">
    <w:name w:val="xl69"/>
    <w:basedOn w:val="1"/>
    <w:uiPriority w:val="0"/>
    <w:pPr>
      <w:widowControl/>
      <w:pBdr>
        <w:bottom w:val="single" w:color="auto" w:sz="4" w:space="0"/>
      </w:pBdr>
      <w:shd w:val="clear" w:color="000000" w:fill="FFFFFF"/>
      <w:spacing w:before="100" w:beforeAutospacing="1" w:after="100" w:afterAutospacing="1"/>
      <w:jc w:val="right"/>
      <w:textAlignment w:val="center"/>
    </w:pPr>
    <w:rPr>
      <w:rFonts w:ascii="宋体" w:hAnsi="宋体" w:eastAsia="宋体" w:cs="宋体"/>
      <w:kern w:val="0"/>
      <w:sz w:val="20"/>
      <w:szCs w:val="20"/>
    </w:rPr>
  </w:style>
  <w:style w:type="paragraph" w:customStyle="1" w:styleId="17">
    <w:name w:val="xl70"/>
    <w:basedOn w:val="1"/>
    <w:uiPriority w:val="0"/>
    <w:pPr>
      <w:widowControl/>
      <w:shd w:val="clear" w:color="000000" w:fill="FFFFFF"/>
      <w:spacing w:before="100" w:beforeAutospacing="1" w:after="100" w:afterAutospacing="1"/>
      <w:jc w:val="right"/>
      <w:textAlignment w:val="center"/>
    </w:pPr>
    <w:rPr>
      <w:rFonts w:ascii="宋体" w:hAnsi="宋体" w:eastAsia="宋体" w:cs="宋体"/>
      <w:kern w:val="0"/>
      <w:sz w:val="20"/>
      <w:szCs w:val="20"/>
    </w:rPr>
  </w:style>
  <w:style w:type="paragraph" w:customStyle="1" w:styleId="18">
    <w:name w:val="xl71"/>
    <w:basedOn w:val="1"/>
    <w:uiPriority w:val="0"/>
    <w:pPr>
      <w:widowControl/>
      <w:pBdr>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eastAsia="宋体" w:cs="宋体"/>
      <w:kern w:val="0"/>
      <w:sz w:val="20"/>
      <w:szCs w:val="20"/>
    </w:rPr>
  </w:style>
  <w:style w:type="paragraph" w:customStyle="1" w:styleId="19">
    <w:name w:val="xl72"/>
    <w:basedOn w:val="1"/>
    <w:uiPriority w:val="0"/>
    <w:pPr>
      <w:widowControl/>
      <w:pBdr>
        <w:left w:val="single" w:color="auto" w:sz="4" w:space="0"/>
        <w:bottom w:val="single" w:color="auto" w:sz="4" w:space="0"/>
      </w:pBdr>
      <w:shd w:val="clear" w:color="000000" w:fill="FFFFFF"/>
      <w:spacing w:before="100" w:beforeAutospacing="1" w:after="100" w:afterAutospacing="1"/>
      <w:jc w:val="center"/>
      <w:textAlignment w:val="center"/>
    </w:pPr>
    <w:rPr>
      <w:rFonts w:ascii="宋体" w:hAnsi="宋体" w:eastAsia="宋体" w:cs="宋体"/>
      <w:kern w:val="0"/>
      <w:sz w:val="20"/>
      <w:szCs w:val="20"/>
    </w:rPr>
  </w:style>
  <w:style w:type="paragraph" w:customStyle="1" w:styleId="20">
    <w:name w:val="xl73"/>
    <w:basedOn w:val="1"/>
    <w:qFormat/>
    <w:uiPriority w:val="0"/>
    <w:pPr>
      <w:widowControl/>
      <w:pBdr>
        <w:left w:val="single" w:color="auto" w:sz="4" w:space="0"/>
        <w:bottom w:val="single" w:color="auto" w:sz="4" w:space="0"/>
      </w:pBdr>
      <w:shd w:val="clear" w:color="000000" w:fill="FFFFFF"/>
      <w:spacing w:before="100" w:beforeAutospacing="1" w:after="100" w:afterAutospacing="1"/>
      <w:jc w:val="center"/>
      <w:textAlignment w:val="center"/>
    </w:pPr>
    <w:rPr>
      <w:rFonts w:ascii="宋体" w:hAnsi="宋体" w:eastAsia="宋体" w:cs="宋体"/>
      <w:kern w:val="0"/>
      <w:sz w:val="20"/>
      <w:szCs w:val="20"/>
    </w:rPr>
  </w:style>
  <w:style w:type="paragraph" w:customStyle="1" w:styleId="21">
    <w:name w:val="xl74"/>
    <w:basedOn w:val="1"/>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center"/>
      <w:textAlignment w:val="center"/>
    </w:pPr>
    <w:rPr>
      <w:rFonts w:ascii="宋体" w:hAnsi="宋体" w:eastAsia="宋体" w:cs="宋体"/>
      <w:kern w:val="0"/>
      <w:sz w:val="20"/>
      <w:szCs w:val="20"/>
    </w:rPr>
  </w:style>
  <w:style w:type="paragraph" w:customStyle="1" w:styleId="22">
    <w:name w:val="xl75"/>
    <w:basedOn w:val="1"/>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eastAsia="宋体" w:cs="宋体"/>
      <w:kern w:val="0"/>
      <w:sz w:val="20"/>
      <w:szCs w:val="20"/>
    </w:rPr>
  </w:style>
  <w:style w:type="paragraph" w:customStyle="1" w:styleId="23">
    <w:name w:val="xl76"/>
    <w:basedOn w:val="1"/>
    <w:uiPriority w:val="0"/>
    <w:pPr>
      <w:widowControl/>
      <w:pBdr>
        <w:top w:val="single" w:color="auto" w:sz="4" w:space="0"/>
        <w:left w:val="single" w:color="auto" w:sz="4" w:space="0"/>
        <w:right w:val="single" w:color="auto" w:sz="4" w:space="0"/>
      </w:pBdr>
      <w:shd w:val="clear" w:color="000000" w:fill="FFFFFF"/>
      <w:spacing w:before="100" w:beforeAutospacing="1" w:after="100" w:afterAutospacing="1"/>
      <w:jc w:val="center"/>
      <w:textAlignment w:val="center"/>
    </w:pPr>
    <w:rPr>
      <w:rFonts w:ascii="宋体" w:hAnsi="宋体" w:eastAsia="宋体" w:cs="宋体"/>
      <w:kern w:val="0"/>
      <w:sz w:val="20"/>
      <w:szCs w:val="20"/>
    </w:rPr>
  </w:style>
  <w:style w:type="paragraph" w:customStyle="1" w:styleId="24">
    <w:name w:val="xl77"/>
    <w:basedOn w:val="1"/>
    <w:qFormat/>
    <w:uiPriority w:val="0"/>
    <w:pPr>
      <w:widowControl/>
      <w:pBdr>
        <w:top w:val="single" w:color="auto" w:sz="4" w:space="0"/>
        <w:left w:val="single" w:color="auto" w:sz="4" w:space="0"/>
        <w:right w:val="single" w:color="auto" w:sz="4" w:space="0"/>
      </w:pBdr>
      <w:shd w:val="clear" w:color="000000" w:fill="FFFFFF"/>
      <w:spacing w:before="100" w:beforeAutospacing="1" w:after="100" w:afterAutospacing="1"/>
      <w:jc w:val="center"/>
      <w:textAlignment w:val="center"/>
    </w:pPr>
    <w:rPr>
      <w:rFonts w:ascii="宋体" w:hAnsi="宋体" w:eastAsia="宋体" w:cs="宋体"/>
      <w:kern w:val="0"/>
      <w:sz w:val="20"/>
      <w:szCs w:val="20"/>
    </w:rPr>
  </w:style>
  <w:style w:type="paragraph" w:customStyle="1" w:styleId="25">
    <w:name w:val="xl78"/>
    <w:basedOn w:val="1"/>
    <w:qFormat/>
    <w:uiPriority w:val="0"/>
    <w:pPr>
      <w:widowControl/>
      <w:pBdr>
        <w:left w:val="single" w:color="auto" w:sz="4" w:space="0"/>
        <w:right w:val="single" w:color="auto" w:sz="4" w:space="0"/>
      </w:pBdr>
      <w:shd w:val="clear" w:color="000000" w:fill="FFFFFF"/>
      <w:spacing w:before="100" w:beforeAutospacing="1" w:after="100" w:afterAutospacing="1"/>
      <w:jc w:val="center"/>
      <w:textAlignment w:val="center"/>
    </w:pPr>
    <w:rPr>
      <w:rFonts w:ascii="宋体" w:hAnsi="宋体" w:eastAsia="宋体" w:cs="宋体"/>
      <w:kern w:val="0"/>
      <w:sz w:val="20"/>
      <w:szCs w:val="20"/>
    </w:rPr>
  </w:style>
  <w:style w:type="paragraph" w:customStyle="1" w:styleId="26">
    <w:name w:val="xl79"/>
    <w:basedOn w:val="1"/>
    <w:qFormat/>
    <w:uiPriority w:val="0"/>
    <w:pPr>
      <w:widowControl/>
      <w:pBdr>
        <w:left w:val="single" w:color="auto" w:sz="4" w:space="0"/>
        <w:right w:val="single" w:color="auto" w:sz="4" w:space="0"/>
      </w:pBdr>
      <w:shd w:val="clear" w:color="000000" w:fill="FFFFFF"/>
      <w:spacing w:before="100" w:beforeAutospacing="1" w:after="100" w:afterAutospacing="1"/>
      <w:jc w:val="center"/>
      <w:textAlignment w:val="center"/>
    </w:pPr>
    <w:rPr>
      <w:rFonts w:ascii="宋体" w:hAnsi="宋体" w:eastAsia="宋体" w:cs="宋体"/>
      <w:kern w:val="0"/>
      <w:sz w:val="20"/>
      <w:szCs w:val="20"/>
    </w:rPr>
  </w:style>
  <w:style w:type="paragraph" w:customStyle="1" w:styleId="27">
    <w:name w:val="xl80"/>
    <w:basedOn w:val="1"/>
    <w:qFormat/>
    <w:uiPriority w:val="0"/>
    <w:pPr>
      <w:widowControl/>
      <w:pBdr>
        <w:right w:val="single" w:color="auto" w:sz="4" w:space="0"/>
      </w:pBdr>
      <w:shd w:val="clear" w:color="000000" w:fill="FFFFFF"/>
      <w:spacing w:before="100" w:beforeAutospacing="1" w:after="100" w:afterAutospacing="1"/>
      <w:jc w:val="center"/>
      <w:textAlignment w:val="center"/>
    </w:pPr>
    <w:rPr>
      <w:rFonts w:ascii="宋体" w:hAnsi="宋体" w:eastAsia="宋体" w:cs="宋体"/>
      <w:kern w:val="0"/>
      <w:sz w:val="20"/>
      <w:szCs w:val="20"/>
    </w:rPr>
  </w:style>
  <w:style w:type="paragraph" w:customStyle="1" w:styleId="28">
    <w:name w:val="xl81"/>
    <w:basedOn w:val="1"/>
    <w:qFormat/>
    <w:uiPriority w:val="0"/>
    <w:pPr>
      <w:widowControl/>
      <w:pBdr>
        <w:left w:val="single" w:color="auto" w:sz="4" w:space="0"/>
      </w:pBdr>
      <w:shd w:val="clear" w:color="000000" w:fill="FFFFFF"/>
      <w:spacing w:before="100" w:beforeAutospacing="1" w:after="100" w:afterAutospacing="1"/>
      <w:jc w:val="center"/>
      <w:textAlignment w:val="center"/>
    </w:pPr>
    <w:rPr>
      <w:rFonts w:ascii="宋体" w:hAnsi="宋体" w:eastAsia="宋体" w:cs="宋体"/>
      <w:kern w:val="0"/>
      <w:sz w:val="20"/>
      <w:szCs w:val="20"/>
    </w:rPr>
  </w:style>
  <w:style w:type="paragraph" w:customStyle="1" w:styleId="29">
    <w:name w:val="xl8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eastAsia="宋体" w:cs="宋体"/>
      <w:kern w:val="0"/>
      <w:sz w:val="20"/>
      <w:szCs w:val="20"/>
    </w:rPr>
  </w:style>
  <w:style w:type="paragraph" w:customStyle="1" w:styleId="30">
    <w:name w:val="xl8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right"/>
      <w:textAlignment w:val="center"/>
    </w:pPr>
    <w:rPr>
      <w:rFonts w:ascii="宋体" w:hAnsi="宋体" w:eastAsia="宋体" w:cs="宋体"/>
      <w:kern w:val="0"/>
      <w:sz w:val="20"/>
      <w:szCs w:val="20"/>
    </w:rPr>
  </w:style>
  <w:style w:type="paragraph" w:customStyle="1" w:styleId="31">
    <w:name w:val="xl8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right"/>
      <w:textAlignment w:val="center"/>
    </w:pPr>
    <w:rPr>
      <w:rFonts w:ascii="宋体" w:hAnsi="宋体" w:eastAsia="宋体" w:cs="宋体"/>
      <w:kern w:val="0"/>
      <w:sz w:val="20"/>
      <w:szCs w:val="20"/>
    </w:rPr>
  </w:style>
  <w:style w:type="paragraph" w:customStyle="1" w:styleId="32">
    <w:name w:val="xl85"/>
    <w:basedOn w:val="1"/>
    <w:qFormat/>
    <w:uiPriority w:val="0"/>
    <w:pPr>
      <w:widowControl/>
      <w:pBdr>
        <w:left w:val="single" w:color="auto" w:sz="4" w:space="0"/>
        <w:bottom w:val="single" w:color="auto" w:sz="4" w:space="0"/>
        <w:right w:val="single" w:color="auto" w:sz="4" w:space="0"/>
      </w:pBdr>
      <w:shd w:val="clear" w:color="000000" w:fill="FFFFFF"/>
      <w:spacing w:before="100" w:beforeAutospacing="1" w:after="100" w:afterAutospacing="1"/>
      <w:jc w:val="right"/>
      <w:textAlignment w:val="center"/>
    </w:pPr>
    <w:rPr>
      <w:rFonts w:ascii="宋体" w:hAnsi="宋体" w:eastAsia="宋体" w:cs="宋体"/>
      <w:kern w:val="0"/>
      <w:sz w:val="20"/>
      <w:szCs w:val="20"/>
    </w:rPr>
  </w:style>
  <w:style w:type="paragraph" w:customStyle="1" w:styleId="33">
    <w:name w:val="xl8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eastAsia="宋体" w:cs="宋体"/>
      <w:kern w:val="0"/>
      <w:sz w:val="20"/>
      <w:szCs w:val="20"/>
    </w:rPr>
  </w:style>
  <w:style w:type="paragraph" w:styleId="34">
    <w:name w:val="No Spacing"/>
    <w:link w:val="35"/>
    <w:qFormat/>
    <w:uiPriority w:val="1"/>
    <w:rPr>
      <w:rFonts w:asciiTheme="minorHAnsi" w:hAnsiTheme="minorHAnsi" w:eastAsiaTheme="minorEastAsia" w:cstheme="minorBidi"/>
      <w:kern w:val="0"/>
      <w:sz w:val="22"/>
      <w:szCs w:val="22"/>
      <w:lang w:val="en-US" w:eastAsia="zh-CN" w:bidi="ar-SA"/>
    </w:rPr>
  </w:style>
  <w:style w:type="character" w:customStyle="1" w:styleId="35">
    <w:name w:val="无间隔 Char"/>
    <w:basedOn w:val="7"/>
    <w:link w:val="34"/>
    <w:qFormat/>
    <w:uiPriority w:val="1"/>
    <w:rPr>
      <w:kern w:val="0"/>
      <w:sz w:val="22"/>
    </w:rPr>
  </w:style>
  <w:style w:type="character" w:customStyle="1" w:styleId="36">
    <w:name w:val="批注框文本 Char"/>
    <w:basedOn w:val="7"/>
    <w:link w:val="3"/>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15</Pages>
  <Words>1830</Words>
  <Characters>10436</Characters>
  <Lines>86</Lines>
  <Paragraphs>24</Paragraphs>
  <TotalTime>3986</TotalTime>
  <ScaleCrop>false</ScaleCrop>
  <LinksUpToDate>false</LinksUpToDate>
  <CharactersWithSpaces>12242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2017-08-10T15:07:00Z</dcterms:created>
  <dc:creator>User</dc:creator>
  <cp:lastModifiedBy>Administrator</cp:lastModifiedBy>
  <cp:lastPrinted>2018-09-13T16:49:00Z</cp:lastPrinted>
  <dcterms:modified xsi:type="dcterms:W3CDTF">2024-01-30T11:00:25Z</dcterms:modified>
  <cp:revision>50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1B62BC2D4E4B4D16B08EC68CD5C58FCE</vt:lpwstr>
  </property>
</Properties>
</file>