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b/>
          <w:bCs/>
          <w:sz w:val="44"/>
          <w:szCs w:val="44"/>
        </w:rPr>
      </w:pPr>
    </w:p>
    <w:p>
      <w:pPr>
        <w:jc w:val="center"/>
        <w:rPr>
          <w:rFonts w:ascii="宋体"/>
          <w:b/>
          <w:bCs/>
          <w:sz w:val="44"/>
          <w:szCs w:val="44"/>
        </w:rPr>
      </w:pPr>
      <w:r>
        <w:rPr>
          <w:rFonts w:hint="eastAsia" w:ascii="宋体" w:hAnsi="宋体" w:cs="宋体"/>
          <w:b/>
          <w:bCs/>
          <w:sz w:val="44"/>
          <w:szCs w:val="44"/>
        </w:rPr>
        <w:t>中国共产党无极县委员会办公室</w:t>
      </w:r>
      <w:r>
        <w:rPr>
          <w:rFonts w:ascii="宋体" w:hAnsi="宋体" w:cs="宋体"/>
          <w:b/>
          <w:bCs/>
          <w:sz w:val="44"/>
          <w:szCs w:val="44"/>
        </w:rPr>
        <w:t xml:space="preserve">    </w:t>
      </w:r>
    </w:p>
    <w:p>
      <w:pPr>
        <w:jc w:val="center"/>
        <w:rPr>
          <w:rFonts w:ascii="宋体"/>
          <w:b/>
          <w:bCs/>
          <w:sz w:val="44"/>
          <w:szCs w:val="44"/>
        </w:rPr>
      </w:pPr>
      <w:r>
        <w:rPr>
          <w:rFonts w:ascii="宋体" w:hAnsi="宋体" w:cs="宋体"/>
          <w:b/>
          <w:bCs/>
          <w:sz w:val="44"/>
          <w:szCs w:val="44"/>
        </w:rPr>
        <w:t>201</w:t>
      </w:r>
      <w:r>
        <w:rPr>
          <w:rFonts w:hint="eastAsia" w:ascii="宋体" w:hAnsi="宋体" w:cs="宋体"/>
          <w:b/>
          <w:bCs/>
          <w:sz w:val="44"/>
          <w:szCs w:val="44"/>
        </w:rPr>
        <w:t>8年部门预算信息公开说明目录</w:t>
      </w:r>
    </w:p>
    <w:p/>
    <w:p/>
    <w:p>
      <w:pPr>
        <w:ind w:firstLine="640" w:firstLineChars="200"/>
        <w:rPr>
          <w:rFonts w:ascii="宋体"/>
          <w:sz w:val="32"/>
          <w:szCs w:val="32"/>
        </w:rPr>
      </w:pPr>
      <w:r>
        <w:rPr>
          <w:rFonts w:hint="eastAsia" w:ascii="宋体" w:hAnsi="宋体" w:cs="宋体"/>
          <w:sz w:val="32"/>
          <w:szCs w:val="32"/>
        </w:rPr>
        <w:t>一、部门职责及机构设置情况</w:t>
      </w:r>
    </w:p>
    <w:p>
      <w:pPr>
        <w:ind w:firstLine="640" w:firstLineChars="200"/>
        <w:rPr>
          <w:rFonts w:ascii="宋体"/>
          <w:sz w:val="32"/>
          <w:szCs w:val="32"/>
        </w:rPr>
      </w:pPr>
      <w:r>
        <w:rPr>
          <w:rFonts w:hint="eastAsia" w:ascii="宋体" w:hAnsi="宋体" w:cs="宋体"/>
          <w:sz w:val="32"/>
          <w:szCs w:val="32"/>
        </w:rPr>
        <w:t>二、部门预算安排的总体情况</w:t>
      </w:r>
    </w:p>
    <w:p>
      <w:pPr>
        <w:ind w:firstLine="640" w:firstLineChars="200"/>
        <w:rPr>
          <w:rFonts w:ascii="宋体"/>
          <w:sz w:val="32"/>
          <w:szCs w:val="32"/>
        </w:rPr>
      </w:pPr>
      <w:r>
        <w:rPr>
          <w:rFonts w:hint="eastAsia" w:ascii="宋体" w:hAnsi="宋体" w:cs="宋体"/>
          <w:sz w:val="32"/>
          <w:szCs w:val="32"/>
        </w:rPr>
        <w:t>三、机关运行经费安排情况</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四、财政拨款“三公”经费预算情况及增减变化原因</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五、绩效预算信息</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六、政府采购预算情况</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七、国有资产信息</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八、名词解释</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九、其他需要说明的事项</w:t>
      </w:r>
    </w:p>
    <w:p/>
    <w:p>
      <w:pPr>
        <w:ind w:firstLine="640" w:firstLineChars="200"/>
        <w:rPr>
          <w:rFonts w:ascii="仿宋_GB2312" w:hAnsi="??" w:eastAsia="仿宋_GB2312"/>
          <w:sz w:val="32"/>
          <w:szCs w:val="32"/>
        </w:rPr>
      </w:pPr>
      <w:r>
        <w:rPr>
          <w:rFonts w:hint="eastAsia" w:ascii="仿宋_GB2312" w:hAnsi="??" w:eastAsia="仿宋_GB2312" w:cs="仿宋_GB2312"/>
          <w:sz w:val="32"/>
          <w:szCs w:val="32"/>
        </w:rPr>
        <w:t>按照</w:t>
      </w:r>
      <w:r>
        <w:rPr>
          <w:rFonts w:hint="eastAsia" w:ascii="仿宋_GB2312" w:hAnsi="??" w:eastAsia="仿宋_GB2312" w:cs="仿宋_GB2312"/>
          <w:sz w:val="32"/>
          <w:szCs w:val="32"/>
          <w:lang w:eastAsia="zh-CN"/>
        </w:rPr>
        <w:t>《中华人民共和国预算法》</w:t>
      </w:r>
      <w:r>
        <w:rPr>
          <w:rFonts w:hint="eastAsia" w:ascii="仿宋_GB2312" w:hAnsi="??" w:eastAsia="仿宋_GB2312" w:cs="仿宋_GB2312"/>
          <w:sz w:val="32"/>
          <w:szCs w:val="32"/>
        </w:rPr>
        <w:t>、《地方预决算公开操作规程》和《河北省省级预算公开办法》规定，现将无极县县委办</w:t>
      </w:r>
      <w:r>
        <w:rPr>
          <w:rFonts w:ascii="仿宋_GB2312" w:hAnsi="??" w:eastAsia="仿宋_GB2312" w:cs="仿宋_GB2312"/>
          <w:sz w:val="32"/>
          <w:szCs w:val="32"/>
        </w:rPr>
        <w:t>201</w:t>
      </w:r>
      <w:r>
        <w:rPr>
          <w:rFonts w:hint="eastAsia" w:ascii="仿宋_GB2312" w:hAnsi="??" w:eastAsia="仿宋_GB2312" w:cs="仿宋_GB2312"/>
          <w:sz w:val="32"/>
          <w:szCs w:val="32"/>
        </w:rPr>
        <w:t>8年部门预算公开如下：</w:t>
      </w:r>
    </w:p>
    <w:p>
      <w:pPr>
        <w:ind w:left="800"/>
        <w:rPr>
          <w:rFonts w:ascii="黑体" w:hAnsi="黑体" w:eastAsia="黑体"/>
          <w:sz w:val="32"/>
          <w:szCs w:val="32"/>
        </w:rPr>
      </w:pPr>
      <w:r>
        <w:rPr>
          <w:rFonts w:hint="eastAsia" w:ascii="黑体" w:hAnsi="黑体" w:eastAsia="黑体" w:cs="黑体"/>
          <w:sz w:val="32"/>
          <w:szCs w:val="32"/>
        </w:rPr>
        <w:t>一、部门职责及机构设置情况</w:t>
      </w:r>
    </w:p>
    <w:p>
      <w:pPr>
        <w:ind w:firstLine="645"/>
        <w:rPr>
          <w:rFonts w:ascii="楷体_GB2312" w:hAnsi="楷体_GB2312" w:eastAsia="楷体_GB2312"/>
          <w:sz w:val="32"/>
          <w:szCs w:val="32"/>
        </w:rPr>
      </w:pPr>
      <w:r>
        <w:rPr>
          <w:rFonts w:hint="eastAsia" w:ascii="楷体_GB2312" w:hAnsi="楷体_GB2312" w:eastAsia="楷体_GB2312" w:cs="楷体_GB2312"/>
          <w:sz w:val="32"/>
          <w:szCs w:val="32"/>
        </w:rPr>
        <w:t>（一）部门职责</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县委办公室是县委的办事机构。主要职能是：</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（一）围绕县委工作部署，对涉及全县经济建设、社会发展、党的自身建设等全局性的重大问题进行调查研究，为县委科学决策提出建议、预案。</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（二）负责县委有关会议的筹备和组织协调工作。负责安排县委领导的公务活动，办理县委领导交办的事项。</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（三）负责县委文件和文稿的起草、校核、印发工作，负责文书处理、档案管理和开发利用工作；研究、审核县直各部门、各乡镇党委向县委的请示，提出处理意见报县委领导审批。</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（四）及时收集、筛选、综合整理各类情况，全面准确地为县委、上级党委报送信息；承办内部信息刊物，及时传达贯彻党委、政府的重大决策、重要精神和扩大乡镇、部门工作交流。</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（五）负责党的方针政策、上级党委和县委重要工作部署、领导同志重要批示、批件贯彻落实情况的督促检查，以及受县委委托对某些问题的调查核实。</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（六）负责牵头组织全县目标管理年度考核工作和县委、县政府各项工作年度奖惩的汇总初审。</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（七）负责县委值班工作，及时向县委报告重要情况，处理群众来信来访，协助处理县直各部门和乡镇反映的重要问题。</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（八）负责全县党政系统机要密码通信和密码管理；负责全县商用密码管理；负责上级党委文件和党政领导机关要件的传递工作；负责牵头全县电子政务内网的建设和全县党委系统信息化工作。</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（九）负责全县保密工作的规划、宣传教育、指导协调、监督管理和泄密案件查处工作；负责涉密通信、办公自动化等的技术防范和审批管理。</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（十）负责有关人员来本县视察的公务活动安排和接待工作。</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（十一）负责全县党史工作，创新工作思路，完善研究方法，巩固党史成果，加大党史宣教力度，完成各项目标任务。</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（十二）负责对全县各级办公室的业务指导和协调管理。</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（十三）承办县委及市委办公厅交办的其他工作。</w:t>
      </w:r>
    </w:p>
    <w:p>
      <w:pPr>
        <w:ind w:firstLine="645"/>
        <w:rPr>
          <w:rFonts w:ascii="楷体_GB2312" w:hAnsi="楷体_GB2312" w:eastAsia="楷体_GB2312"/>
          <w:sz w:val="32"/>
          <w:szCs w:val="32"/>
        </w:rPr>
      </w:pPr>
      <w:r>
        <w:rPr>
          <w:rFonts w:hint="eastAsia" w:ascii="楷体_GB2312" w:hAnsi="楷体_GB2312" w:eastAsia="楷体_GB2312" w:cs="楷体_GB2312"/>
          <w:sz w:val="32"/>
          <w:szCs w:val="32"/>
        </w:rPr>
        <w:t>（二）机构设置</w:t>
      </w:r>
    </w:p>
    <w:p>
      <w:pPr>
        <w:jc w:val="center"/>
        <w:rPr>
          <w:rFonts w:ascii="仿宋_GB2312" w:hAnsi="仿宋_GB2312" w:eastAsia="仿宋_GB2312"/>
          <w:sz w:val="32"/>
          <w:szCs w:val="32"/>
        </w:rPr>
      </w:pPr>
      <w:r>
        <w:rPr>
          <w:rFonts w:hint="eastAsia" w:ascii="仿宋_GB2312" w:hAnsi="仿宋_GB2312" w:eastAsia="仿宋_GB2312" w:cs="仿宋_GB2312"/>
          <w:sz w:val="32"/>
          <w:szCs w:val="32"/>
        </w:rPr>
        <w:t>部门机构设置情况</w:t>
      </w:r>
    </w:p>
    <w:tbl>
      <w:tblPr>
        <w:tblStyle w:val="4"/>
        <w:tblW w:w="102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68"/>
        <w:gridCol w:w="2220"/>
        <w:gridCol w:w="1965"/>
        <w:gridCol w:w="19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2" w:hRule="atLeast"/>
          <w:tblHeader/>
          <w:jc w:val="center"/>
        </w:trPr>
        <w:tc>
          <w:tcPr>
            <w:tcW w:w="4068" w:type="dxa"/>
            <w:vAlign w:val="center"/>
          </w:tcPr>
          <w:p>
            <w:pPr>
              <w:tabs>
                <w:tab w:val="left" w:pos="1035"/>
                <w:tab w:val="center" w:pos="2173"/>
              </w:tabs>
              <w:spacing w:line="300" w:lineRule="exact"/>
              <w:jc w:val="center"/>
              <w:rPr>
                <w:rFonts w:ascii="仿宋_GB2312" w:hAnsi="仿宋_GB2312" w:eastAsia="仿宋_GB2312"/>
                <w:sz w:val="32"/>
                <w:szCs w:val="32"/>
              </w:rPr>
            </w:pPr>
            <w:r>
              <w:rPr>
                <w:rFonts w:hint="eastAsia" w:ascii="仿宋_GB2312" w:hAnsi="仿宋_GB2312" w:eastAsia="仿宋_GB2312" w:cs="仿宋_GB2312"/>
                <w:b/>
                <w:bCs/>
                <w:sz w:val="32"/>
                <w:szCs w:val="32"/>
              </w:rPr>
              <w:t>单位名称</w:t>
            </w:r>
          </w:p>
        </w:tc>
        <w:tc>
          <w:tcPr>
            <w:tcW w:w="2220" w:type="dxa"/>
            <w:vAlign w:val="center"/>
          </w:tcPr>
          <w:p>
            <w:pPr>
              <w:spacing w:line="300" w:lineRule="exact"/>
              <w:jc w:val="center"/>
              <w:rPr>
                <w:rFonts w:ascii="仿宋_GB2312" w:hAnsi="仿宋_GB2312" w:eastAsia="仿宋_GB2312"/>
                <w:b/>
                <w:bCs/>
                <w:sz w:val="32"/>
                <w:szCs w:val="32"/>
              </w:rPr>
            </w:pPr>
            <w:r>
              <w:rPr>
                <w:rFonts w:hint="eastAsia" w:ascii="仿宋_GB2312" w:hAnsi="仿宋_GB2312" w:eastAsia="仿宋_GB2312" w:cs="仿宋_GB2312"/>
                <w:b/>
                <w:bCs/>
                <w:sz w:val="32"/>
                <w:szCs w:val="32"/>
              </w:rPr>
              <w:t>单位性质</w:t>
            </w:r>
          </w:p>
        </w:tc>
        <w:tc>
          <w:tcPr>
            <w:tcW w:w="1965" w:type="dxa"/>
            <w:vAlign w:val="center"/>
          </w:tcPr>
          <w:p>
            <w:pPr>
              <w:spacing w:line="300" w:lineRule="exact"/>
              <w:jc w:val="center"/>
              <w:rPr>
                <w:rFonts w:ascii="仿宋_GB2312" w:hAnsi="仿宋_GB2312" w:eastAsia="仿宋_GB2312"/>
                <w:b/>
                <w:bCs/>
                <w:sz w:val="32"/>
                <w:szCs w:val="32"/>
              </w:rPr>
            </w:pPr>
            <w:r>
              <w:rPr>
                <w:rFonts w:hint="eastAsia" w:ascii="仿宋_GB2312" w:hAnsi="仿宋_GB2312" w:eastAsia="仿宋_GB2312" w:cs="仿宋_GB2312"/>
                <w:b/>
                <w:bCs/>
                <w:sz w:val="32"/>
                <w:szCs w:val="32"/>
              </w:rPr>
              <w:t>单位规格</w:t>
            </w:r>
          </w:p>
        </w:tc>
        <w:tc>
          <w:tcPr>
            <w:tcW w:w="1956" w:type="dxa"/>
            <w:vAlign w:val="center"/>
          </w:tcPr>
          <w:p>
            <w:pPr>
              <w:spacing w:line="300" w:lineRule="exact"/>
              <w:jc w:val="center"/>
              <w:rPr>
                <w:rFonts w:ascii="仿宋_GB2312" w:hAnsi="仿宋_GB2312" w:eastAsia="仿宋_GB2312"/>
                <w:b/>
                <w:bCs/>
                <w:sz w:val="32"/>
                <w:szCs w:val="32"/>
              </w:rPr>
            </w:pPr>
            <w:r>
              <w:rPr>
                <w:rFonts w:hint="eastAsia" w:ascii="仿宋_GB2312" w:hAnsi="仿宋_GB2312" w:eastAsia="仿宋_GB2312" w:cs="仿宋_GB2312"/>
                <w:b/>
                <w:bCs/>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5" w:hRule="atLeast"/>
          <w:jc w:val="center"/>
        </w:trPr>
        <w:tc>
          <w:tcPr>
            <w:tcW w:w="4068" w:type="dxa"/>
            <w:vAlign w:val="center"/>
          </w:tcPr>
          <w:p>
            <w:pPr>
              <w:spacing w:line="300" w:lineRule="exact"/>
              <w:jc w:val="center"/>
              <w:rPr>
                <w:rFonts w:ascii="仿宋_GB2312" w:hAnsi="仿宋_GB2312" w:eastAsia="仿宋_GB2312"/>
                <w:sz w:val="32"/>
                <w:szCs w:val="32"/>
              </w:rPr>
            </w:pPr>
            <w:r>
              <w:rPr>
                <w:rFonts w:hint="eastAsia" w:ascii="仿宋_GB2312" w:hAnsi="仿宋_GB2312" w:eastAsia="仿宋_GB2312" w:cs="仿宋_GB2312"/>
                <w:sz w:val="32"/>
                <w:szCs w:val="32"/>
              </w:rPr>
              <w:t>无极县县委办</w:t>
            </w:r>
          </w:p>
        </w:tc>
        <w:tc>
          <w:tcPr>
            <w:tcW w:w="2220" w:type="dxa"/>
            <w:vAlign w:val="center"/>
          </w:tcPr>
          <w:p>
            <w:pPr>
              <w:spacing w:line="300" w:lineRule="exact"/>
              <w:jc w:val="center"/>
              <w:rPr>
                <w:rFonts w:ascii="仿宋_GB2312" w:hAnsi="仿宋_GB2312" w:eastAsia="仿宋_GB2312"/>
                <w:sz w:val="32"/>
                <w:szCs w:val="32"/>
              </w:rPr>
            </w:pPr>
            <w:r>
              <w:rPr>
                <w:rFonts w:hint="eastAsia" w:ascii="仿宋_GB2312" w:hAnsi="仿宋_GB2312" w:eastAsia="仿宋_GB2312" w:cs="仿宋_GB2312"/>
                <w:sz w:val="32"/>
                <w:szCs w:val="32"/>
              </w:rPr>
              <w:t>行政</w:t>
            </w:r>
          </w:p>
        </w:tc>
        <w:tc>
          <w:tcPr>
            <w:tcW w:w="1965" w:type="dxa"/>
            <w:vAlign w:val="center"/>
          </w:tcPr>
          <w:p>
            <w:pPr>
              <w:spacing w:line="300" w:lineRule="exact"/>
              <w:jc w:val="center"/>
              <w:rPr>
                <w:rFonts w:ascii="仿宋_GB2312" w:hAnsi="仿宋_GB2312" w:eastAsia="仿宋_GB2312"/>
                <w:sz w:val="32"/>
                <w:szCs w:val="32"/>
              </w:rPr>
            </w:pPr>
            <w:r>
              <w:rPr>
                <w:rFonts w:hint="eastAsia" w:ascii="仿宋_GB2312" w:hAnsi="仿宋_GB2312" w:eastAsia="仿宋_GB2312" w:cs="仿宋_GB2312"/>
                <w:sz w:val="32"/>
                <w:szCs w:val="32"/>
              </w:rPr>
              <w:t>正科级</w:t>
            </w:r>
          </w:p>
        </w:tc>
        <w:tc>
          <w:tcPr>
            <w:tcW w:w="1956" w:type="dxa"/>
            <w:vAlign w:val="center"/>
          </w:tcPr>
          <w:p>
            <w:pPr>
              <w:spacing w:line="300" w:lineRule="exact"/>
              <w:jc w:val="center"/>
              <w:rPr>
                <w:rFonts w:ascii="仿宋_GB2312" w:hAnsi="仿宋_GB2312" w:eastAsia="仿宋_GB2312"/>
                <w:sz w:val="32"/>
                <w:szCs w:val="32"/>
              </w:rPr>
            </w:pPr>
            <w:r>
              <w:rPr>
                <w:rFonts w:hint="eastAsia" w:ascii="仿宋_GB2312" w:hAnsi="仿宋_GB2312" w:eastAsia="仿宋_GB2312" w:cs="仿宋_GB2312"/>
                <w:sz w:val="32"/>
                <w:szCs w:val="32"/>
              </w:rPr>
              <w:t>财政拨款</w:t>
            </w:r>
          </w:p>
        </w:tc>
      </w:tr>
    </w:tbl>
    <w:p>
      <w:pPr>
        <w:jc w:val="center"/>
        <w:rPr>
          <w:rFonts w:ascii="??" w:hAnsi="??" w:cs="??"/>
          <w:sz w:val="32"/>
          <w:szCs w:val="32"/>
        </w:rPr>
      </w:pPr>
    </w:p>
    <w:p>
      <w:pPr>
        <w:ind w:firstLine="640" w:firstLineChars="200"/>
        <w:rPr>
          <w:rFonts w:ascii="黑体" w:hAnsi="黑体" w:eastAsia="黑体"/>
          <w:sz w:val="32"/>
          <w:szCs w:val="32"/>
        </w:rPr>
      </w:pPr>
      <w:r>
        <w:rPr>
          <w:rFonts w:hint="eastAsia" w:ascii="黑体" w:hAnsi="黑体" w:eastAsia="黑体" w:cs="黑体"/>
          <w:sz w:val="32"/>
          <w:szCs w:val="32"/>
        </w:rPr>
        <w:t>二、部门预算安排的总体情况</w:t>
      </w:r>
    </w:p>
    <w:p>
      <w:pPr>
        <w:ind w:firstLine="640" w:firstLineChars="200"/>
        <w:rPr>
          <w:rFonts w:ascii="仿宋_GB2312" w:hAnsi="仿宋_GB2312" w:eastAsia="仿宋_GB2312"/>
          <w:sz w:val="32"/>
          <w:szCs w:val="32"/>
        </w:rPr>
      </w:pPr>
      <w:r>
        <w:rPr>
          <w:rFonts w:hint="eastAsia" w:ascii="仿宋_GB2312" w:hAnsi="仿宋_GB2312" w:eastAsia="仿宋_GB2312" w:cs="仿宋_GB2312"/>
          <w:sz w:val="32"/>
          <w:szCs w:val="32"/>
        </w:rPr>
        <w:t>按照预算管理有关规定，目前我县部门预算的编制实行综合预算制度，即全部收入和支出都反映在预算里，我部门及所属单位所有收支都包含在部门预算中。</w:t>
      </w:r>
    </w:p>
    <w:p>
      <w:pPr>
        <w:numPr>
          <w:ilvl w:val="0"/>
          <w:numId w:val="1"/>
        </w:numPr>
        <w:ind w:firstLine="640" w:firstLineChars="200"/>
        <w:rPr>
          <w:rFonts w:ascii="楷体_GB2312" w:hAnsi="楷体_GB2312" w:eastAsia="楷体_GB2312"/>
          <w:sz w:val="32"/>
          <w:szCs w:val="32"/>
        </w:rPr>
      </w:pPr>
      <w:r>
        <w:rPr>
          <w:rFonts w:hint="eastAsia" w:ascii="楷体_GB2312" w:hAnsi="楷体_GB2312" w:eastAsia="楷体_GB2312" w:cs="楷体_GB2312"/>
          <w:sz w:val="32"/>
          <w:szCs w:val="32"/>
        </w:rPr>
        <w:t>收入说明</w:t>
      </w:r>
    </w:p>
    <w:p>
      <w:pPr>
        <w:adjustRightInd w:val="0"/>
        <w:snapToGrid w:val="0"/>
        <w:spacing w:line="600" w:lineRule="exact"/>
        <w:ind w:firstLine="640" w:firstLineChars="200"/>
        <w:jc w:val="left"/>
        <w:rPr>
          <w:rFonts w:ascii="??" w:hAnsi="??" w:cs="??"/>
          <w:sz w:val="32"/>
          <w:szCs w:val="32"/>
        </w:rPr>
      </w:pPr>
      <w:r>
        <w:rPr>
          <w:rFonts w:hint="eastAsia" w:ascii="仿宋_GB2312" w:eastAsia="仿宋_GB2312" w:cs="仿宋_GB2312"/>
          <w:sz w:val="32"/>
          <w:szCs w:val="32"/>
        </w:rPr>
        <w:t>无极县县委办</w:t>
      </w:r>
      <w:r>
        <w:rPr>
          <w:rFonts w:ascii="仿宋_GB2312" w:eastAsia="仿宋_GB2312" w:cs="仿宋_GB2312"/>
          <w:sz w:val="32"/>
          <w:szCs w:val="32"/>
        </w:rPr>
        <w:t>201</w:t>
      </w:r>
      <w:r>
        <w:rPr>
          <w:rFonts w:hint="eastAsia" w:ascii="仿宋_GB2312" w:eastAsia="仿宋_GB2312" w:cs="仿宋_GB2312"/>
          <w:sz w:val="32"/>
          <w:szCs w:val="32"/>
        </w:rPr>
        <w:t>8年预算收入总计1444.48万元</w:t>
      </w:r>
      <w:r>
        <w:rPr>
          <w:rFonts w:ascii="仿宋_GB2312" w:eastAsia="仿宋_GB2312" w:cs="仿宋_GB2312"/>
          <w:sz w:val="32"/>
          <w:szCs w:val="32"/>
        </w:rPr>
        <w:t>,</w:t>
      </w:r>
      <w:r>
        <w:rPr>
          <w:rFonts w:hint="eastAsia" w:ascii="仿宋_GB2312" w:eastAsia="仿宋_GB2312" w:cs="仿宋_GB2312"/>
          <w:sz w:val="32"/>
          <w:szCs w:val="32"/>
        </w:rPr>
        <w:t>其中，一般公共预算收入1444.48 万元、政府性基金收入</w:t>
      </w:r>
      <w:r>
        <w:rPr>
          <w:rFonts w:ascii="仿宋_GB2312" w:eastAsia="仿宋_GB2312" w:cs="仿宋_GB2312"/>
          <w:sz w:val="32"/>
          <w:szCs w:val="32"/>
        </w:rPr>
        <w:t>0</w:t>
      </w:r>
      <w:r>
        <w:rPr>
          <w:rFonts w:hint="eastAsia" w:ascii="仿宋_GB2312" w:eastAsia="仿宋_GB2312" w:cs="仿宋_GB2312"/>
          <w:sz w:val="32"/>
          <w:szCs w:val="32"/>
        </w:rPr>
        <w:t>万元、财政专户核拨收入</w:t>
      </w:r>
      <w:r>
        <w:rPr>
          <w:rFonts w:ascii="仿宋_GB2312" w:eastAsia="仿宋_GB2312" w:cs="仿宋_GB2312"/>
          <w:sz w:val="32"/>
          <w:szCs w:val="32"/>
        </w:rPr>
        <w:t>0</w:t>
      </w:r>
      <w:r>
        <w:rPr>
          <w:rFonts w:hint="eastAsia" w:ascii="仿宋_GB2312" w:eastAsia="仿宋_GB2312" w:cs="仿宋_GB2312"/>
          <w:sz w:val="32"/>
          <w:szCs w:val="32"/>
        </w:rPr>
        <w:t>万元，其他来源收入0万元。</w:t>
      </w:r>
    </w:p>
    <w:p>
      <w:pPr>
        <w:numPr>
          <w:ilvl w:val="0"/>
          <w:numId w:val="2"/>
        </w:numPr>
        <w:ind w:firstLine="645"/>
        <w:rPr>
          <w:rFonts w:ascii="楷体_GB2312" w:hAnsi="楷体_GB2312" w:eastAsia="楷体_GB2312"/>
          <w:sz w:val="32"/>
          <w:szCs w:val="32"/>
        </w:rPr>
      </w:pPr>
      <w:r>
        <w:rPr>
          <w:rFonts w:hint="eastAsia" w:ascii="楷体_GB2312" w:hAnsi="楷体_GB2312" w:eastAsia="楷体_GB2312" w:cs="楷体_GB2312"/>
          <w:sz w:val="32"/>
          <w:szCs w:val="32"/>
        </w:rPr>
        <w:t>支出说明</w:t>
      </w:r>
    </w:p>
    <w:p>
      <w:pPr>
        <w:adjustRightInd w:val="0"/>
        <w:snapToGrid w:val="0"/>
        <w:spacing w:line="600" w:lineRule="exact"/>
        <w:ind w:firstLine="640" w:firstLineChars="200"/>
        <w:jc w:val="left"/>
        <w:rPr>
          <w:rFonts w:ascii="??" w:hAnsi="??" w:cs="??"/>
          <w:sz w:val="32"/>
          <w:szCs w:val="32"/>
        </w:rPr>
      </w:pPr>
      <w:r>
        <w:rPr>
          <w:rFonts w:ascii="仿宋_GB2312" w:eastAsia="仿宋_GB2312" w:cs="仿宋_GB2312"/>
          <w:sz w:val="32"/>
          <w:szCs w:val="32"/>
        </w:rPr>
        <w:t>201</w:t>
      </w:r>
      <w:r>
        <w:rPr>
          <w:rFonts w:hint="eastAsia" w:ascii="仿宋_GB2312" w:eastAsia="仿宋_GB2312" w:cs="仿宋_GB2312"/>
          <w:sz w:val="32"/>
          <w:szCs w:val="32"/>
        </w:rPr>
        <w:t>8年预算支出1444.48 万元。其中，人员经费支出296.61 万元，正常公用经费109.37 万元，项目支出1038.5 万元。</w:t>
      </w:r>
    </w:p>
    <w:p>
      <w:pPr>
        <w:ind w:firstLine="645"/>
        <w:rPr>
          <w:rFonts w:ascii="楷体_GB2312" w:hAnsi="楷体_GB2312" w:eastAsia="楷体_GB2312"/>
          <w:sz w:val="32"/>
          <w:szCs w:val="32"/>
        </w:rPr>
      </w:pPr>
      <w:r>
        <w:rPr>
          <w:rFonts w:hint="eastAsia" w:ascii="楷体_GB2312" w:hAnsi="楷体_GB2312" w:eastAsia="楷体_GB2312" w:cs="楷体_GB2312"/>
          <w:sz w:val="32"/>
          <w:szCs w:val="32"/>
        </w:rPr>
        <w:t>（三）比上年增减情况</w:t>
      </w:r>
    </w:p>
    <w:p>
      <w:pPr>
        <w:ind w:firstLine="645"/>
        <w:rPr>
          <w:rFonts w:ascii="??" w:hAnsi="??" w:cs="??"/>
          <w:sz w:val="32"/>
          <w:szCs w:val="32"/>
        </w:rPr>
      </w:pPr>
      <w:r>
        <w:rPr>
          <w:rFonts w:ascii="仿宋_GB2312" w:hAnsi="仿宋_GB2312" w:eastAsia="仿宋_GB2312" w:cs="仿宋_GB2312"/>
          <w:sz w:val="32"/>
          <w:szCs w:val="32"/>
        </w:rPr>
        <w:t>201</w:t>
      </w:r>
      <w:r>
        <w:rPr>
          <w:rFonts w:hint="eastAsia" w:ascii="仿宋_GB2312" w:hAnsi="仿宋_GB2312" w:eastAsia="仿宋_GB2312" w:cs="仿宋_GB2312"/>
          <w:sz w:val="32"/>
          <w:szCs w:val="32"/>
        </w:rPr>
        <w:t>8年预算收支安排</w:t>
      </w:r>
      <w:r>
        <w:rPr>
          <w:rFonts w:hint="eastAsia" w:ascii="仿宋_GB2312" w:eastAsia="仿宋_GB2312" w:cs="仿宋_GB2312"/>
          <w:sz w:val="32"/>
          <w:szCs w:val="32"/>
        </w:rPr>
        <w:t>与</w:t>
      </w:r>
      <w:r>
        <w:rPr>
          <w:rFonts w:ascii="仿宋_GB2312" w:eastAsia="仿宋_GB2312" w:cs="仿宋_GB2312"/>
          <w:sz w:val="32"/>
          <w:szCs w:val="32"/>
        </w:rPr>
        <w:t>201</w:t>
      </w:r>
      <w:r>
        <w:rPr>
          <w:rFonts w:hint="eastAsia" w:ascii="仿宋_GB2312" w:eastAsia="仿宋_GB2312" w:cs="仿宋_GB2312"/>
          <w:sz w:val="32"/>
          <w:szCs w:val="32"/>
        </w:rPr>
        <w:t>7年相比增加940.07万元</w:t>
      </w:r>
      <w:r>
        <w:rPr>
          <w:rFonts w:ascii="仿宋_GB2312" w:eastAsia="仿宋_GB2312" w:cs="仿宋_GB2312"/>
          <w:sz w:val="32"/>
          <w:szCs w:val="32"/>
        </w:rPr>
        <w:t>,</w:t>
      </w:r>
      <w:r>
        <w:rPr>
          <w:rFonts w:hint="eastAsia" w:ascii="仿宋_GB2312" w:eastAsia="仿宋_GB2312" w:cs="仿宋_GB2312"/>
          <w:sz w:val="32"/>
          <w:szCs w:val="32"/>
        </w:rPr>
        <w:t>增加原因为美丽办专项资金增加。</w:t>
      </w:r>
    </w:p>
    <w:p>
      <w:pPr>
        <w:ind w:firstLine="640" w:firstLineChars="200"/>
        <w:rPr>
          <w:rFonts w:ascii="黑体" w:hAnsi="黑体" w:eastAsia="黑体"/>
          <w:sz w:val="32"/>
          <w:szCs w:val="32"/>
        </w:rPr>
      </w:pPr>
      <w:r>
        <w:rPr>
          <w:rFonts w:hint="eastAsia" w:ascii="黑体" w:hAnsi="黑体" w:eastAsia="黑体" w:cs="黑体"/>
          <w:sz w:val="32"/>
          <w:szCs w:val="32"/>
        </w:rPr>
        <w:t>三、机关运行经费安排情况</w:t>
      </w:r>
    </w:p>
    <w:p>
      <w:pPr>
        <w:ind w:firstLine="640" w:firstLineChars="200"/>
        <w:rPr>
          <w:rFonts w:ascii="??" w:hAnsi="??" w:cs="??"/>
          <w:color w:val="FF0000"/>
          <w:sz w:val="32"/>
          <w:szCs w:val="32"/>
        </w:rPr>
      </w:pPr>
      <w:r>
        <w:rPr>
          <w:rFonts w:ascii="仿宋_GB2312" w:hAnsi="仿宋_GB2312" w:eastAsia="仿宋_GB2312" w:cs="仿宋_GB2312"/>
          <w:sz w:val="32"/>
          <w:szCs w:val="32"/>
        </w:rPr>
        <w:t>201</w:t>
      </w:r>
      <w:r>
        <w:rPr>
          <w:rFonts w:hint="eastAsia" w:ascii="仿宋_GB2312" w:hAnsi="仿宋_GB2312" w:eastAsia="仿宋_GB2312" w:cs="仿宋_GB2312"/>
          <w:sz w:val="32"/>
          <w:szCs w:val="32"/>
        </w:rPr>
        <w:t>8年机关运行经费共计安排109.37 万元，主要用于我部门人员工资及日常办公、日常维修等日常运行支出。</w:t>
      </w:r>
    </w:p>
    <w:p>
      <w:pPr>
        <w:numPr>
          <w:ilvl w:val="0"/>
          <w:numId w:val="3"/>
        </w:num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财政拨款“三公”经费预算情况及增减变化原因</w:t>
      </w:r>
    </w:p>
    <w:p>
      <w:pPr>
        <w:ind w:firstLine="640" w:firstLineChars="200"/>
        <w:outlineLvl w:val="0"/>
        <w:rPr>
          <w:rFonts w:ascii="仿宋" w:hAnsi="仿宋" w:eastAsia="仿宋"/>
          <w:sz w:val="32"/>
          <w:szCs w:val="32"/>
        </w:rPr>
      </w:pPr>
      <w:r>
        <w:rPr>
          <w:rFonts w:ascii="仿宋" w:hAnsi="仿宋" w:eastAsia="仿宋" w:cs="仿宋"/>
          <w:sz w:val="32"/>
          <w:szCs w:val="32"/>
        </w:rPr>
        <w:t>201</w:t>
      </w:r>
      <w:r>
        <w:rPr>
          <w:rFonts w:hint="eastAsia" w:ascii="仿宋" w:hAnsi="仿宋" w:eastAsia="仿宋" w:cs="仿宋"/>
          <w:sz w:val="32"/>
          <w:szCs w:val="32"/>
        </w:rPr>
        <w:t>8年“三公”经费支出25.05万元,与2017年相比减少1.2万元。其中，因公出国（境）费0 万元，比2017年减少1万元，原因是列入县级预留；公务用车购置</w:t>
      </w:r>
      <w:r>
        <w:rPr>
          <w:rFonts w:ascii="仿宋" w:hAnsi="仿宋" w:eastAsia="仿宋" w:cs="仿宋"/>
          <w:sz w:val="32"/>
          <w:szCs w:val="32"/>
        </w:rPr>
        <w:t>0</w:t>
      </w:r>
      <w:r>
        <w:rPr>
          <w:rFonts w:hint="eastAsia" w:ascii="仿宋" w:hAnsi="仿宋" w:eastAsia="仿宋" w:cs="仿宋"/>
          <w:sz w:val="32"/>
          <w:szCs w:val="32"/>
        </w:rPr>
        <w:t>万元，公务用车运行维护费23.45万元，与去年持平；公务接待费1.6 万元。与上年相比减少0.2 万元</w:t>
      </w:r>
      <w:r>
        <w:rPr>
          <w:rFonts w:ascii="仿宋" w:hAnsi="仿宋" w:eastAsia="仿宋" w:cs="仿宋"/>
          <w:sz w:val="32"/>
          <w:szCs w:val="32"/>
        </w:rPr>
        <w:t>,</w:t>
      </w:r>
      <w:r>
        <w:rPr>
          <w:rFonts w:hint="eastAsia" w:ascii="仿宋" w:hAnsi="仿宋" w:eastAsia="仿宋" w:cs="仿宋"/>
          <w:sz w:val="32"/>
          <w:szCs w:val="32"/>
        </w:rPr>
        <w:t>减少原因为公务接待费减少。</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五、绩效预算信息</w:t>
      </w:r>
    </w:p>
    <w:p>
      <w:pPr>
        <w:ind w:firstLine="640" w:firstLineChars="200"/>
        <w:rPr>
          <w:rFonts w:ascii="楷体_GB2312" w:hAnsi="楷体_GB2312" w:eastAsia="楷体_GB2312"/>
          <w:sz w:val="32"/>
          <w:szCs w:val="32"/>
        </w:rPr>
      </w:pPr>
      <w:r>
        <w:rPr>
          <w:rFonts w:hint="eastAsia" w:ascii="楷体_GB2312" w:hAnsi="楷体_GB2312" w:eastAsia="楷体_GB2312" w:cs="楷体_GB2312"/>
          <w:sz w:val="32"/>
          <w:szCs w:val="32"/>
        </w:rPr>
        <w:t>（一）总体绩效目标</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一、把习近平新时代中国特色社会主义思想作为我们推动工作的强大思想武器，自觉武装头脑、指导实践。一要坚决</w:t>
      </w:r>
      <w:bookmarkStart w:id="2" w:name="_GoBack"/>
      <w:bookmarkEnd w:id="2"/>
      <w:r>
        <w:rPr>
          <w:rFonts w:hint="eastAsia" w:ascii="仿宋_GB2312" w:hAnsi="仿宋_GB2312" w:eastAsia="仿宋_GB2312" w:cs="仿宋_GB2312"/>
          <w:sz w:val="32"/>
          <w:szCs w:val="32"/>
          <w:lang w:eastAsia="zh-CN"/>
        </w:rPr>
        <w:t>维护习近平总书记党中央的核心、全党的核心地位</w:t>
      </w:r>
      <w:r>
        <w:rPr>
          <w:rFonts w:hint="eastAsia" w:ascii="仿宋_GB2312" w:hAnsi="仿宋_GB2312" w:eastAsia="仿宋_GB2312" w:cs="仿宋_GB2312"/>
          <w:sz w:val="32"/>
          <w:szCs w:val="32"/>
        </w:rPr>
        <w:t>。我们要进一步增强政治自觉、思想自觉、行动自觉，坚决维护和捍卫习近平总书记在党中央和全党的核心地位，真正把对总书记的衷心拥戴、对党的绝对忠诚，体现在坚定理想信念、执行党的路线上，体现在贯彻中央决策、落实省委部署上，体现在全县事业发展的方方面面，始终在政治立场、政治方向、政治原则、政治道路上同以习近平同志为核心的党中央保持高度一致。二要深刻领会习近平新时代中国特色社会主义思想的核心要义。习近平新时代中国特色社会主义思想，涉及生产力和生产关系、经济基础和上层建筑各个环节，涵盖经济、政治、文化、社会、生态文明建设和党的建设各个领域，深化了我们党对共产党执政规律、社会主义建设规律、人类社会发展规律的认识，是被实践证明了的科学真理，是解决人类问题的“中国方案”。三要坚持以习近平新时代中国特色社会主义思想指导实践。我们要认真贯彻落实习近平新时代中国特色社会主义思想，与落实“四个加快”“六个扎实”“三个扎扎实实”要求结合起来，与学习《知之深 爱之切》《习近平总书记关于河北工作重要指示摘编》《习近平总书记在河北正定工作的难忘岁月》等结合起来，与加快建设“生态新城、魅力无极”结合起来，事事对标对表，项项梳理分解，件件抓好落实。要细化为具体任务和工作举措，找准突破口、着力点和主抓手，明确时间表、路线图和责任人，一步一个脚印地向前推进，确保中央的重大决策和省市委的部署要求在无极顺利实施、取得实效。</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二、全面贯彻落实党的十九大系列重大决策部署，努力开创无极工作新局面。当前和今后一个时期，我们要以</w:t>
      </w:r>
      <w:r>
        <w:rPr>
          <w:rFonts w:hint="eastAsia" w:ascii="仿宋_GB2312" w:hAnsi="仿宋_GB2312" w:eastAsia="仿宋_GB2312" w:cs="仿宋_GB2312"/>
          <w:sz w:val="32"/>
          <w:szCs w:val="32"/>
          <w:lang w:val="en-US" w:eastAsia="zh-CN"/>
        </w:rPr>
        <w:t>党的</w:t>
      </w:r>
      <w:r>
        <w:rPr>
          <w:rFonts w:hint="eastAsia" w:ascii="仿宋_GB2312" w:hAnsi="仿宋_GB2312" w:eastAsia="仿宋_GB2312" w:cs="仿宋_GB2312"/>
          <w:sz w:val="32"/>
          <w:szCs w:val="32"/>
        </w:rPr>
        <w:t>十九大精神为引领，抢抓机遇，乘势而为，进一步调整发展思路、狠抓工作落实，努力建设“生态新城、魅力无极”，在新时代跑出无极加速度。（一）在构建现代产业体系上开创新局面。一是深入推进皮革业转型升级。实施制革阶段循环化改造，建立绿色循环制革体系，利用制革下脚料生产再生革，制革废水深度处理、循环利用，对污泥实行无害化处理、生产高效肥料，打造绿色循环产业链。同时，加快皮革后整园区建设，将县域内分散的皮革后整企业集中到园区发展，纳入循环发展体系。终端依托意大利皮革产业园、日本世联汽车内饰等高端项目，引进一批真皮沙发、汽车内饰、皮革小商品制造等精深加工项目，打造世界一流的集研发、生产、加工、销售于一体的生态皮革循环产业基地。二是大力发展新型产业。把发展新型产业作为调结构、提效益的主攻方向。大力发展新型建材业，借助经济开发区西区毗邻正定新区、京港澳高速的优势，以石家庄住建集团住宅产业化基地为龙头，以斯特龙系统门窗和玻璃幕墙研发生产基地、中民筑友绿色建筑科技园为支撑，重点发展装配式住宅、新型建材产业，助力正定新区和省会发展，服务雄安新区建设。大力发展现代商贸物流业，紧紧抓住润成仓储物流园“进境皮张检验检疫集中查验场”，河北首个内陆港的优势，依托津石高速、京石城际高铁建设，大力发展交通运输、仓储配送、信息服务等现代商贸物流产业，打造辐射周边、服务雄安新区、服务省会的商贸物流集散基地。大力发展现代农业，立足农业大县优势，在县域东部大力发展规模优质高效农业和精品设施蔬菜，强化安全质量监管，叫响绿色品牌，打造服务雄安新区和省会的高端农产品供应基地。三是坚定不移抓好项目建设。把项目建设作为优化产业结构的关键。进一步加大招商引资力度，紧盯京津冀产业转移，围绕助力、借力雄安新区，充分运用以商招商、专业招商等有效措施，引进一批符合产业发展方向、带动能力强的立县大项目。对项目工作进行回头看，对在谈项目、签约项目、在建项目逐一梳理，认真协调解决影响项目签约、建设的瓶颈制约，推动项目早落实、真落地、快见效。切实增强服务意识，建立项目审批联席会议制度，对重点项目专人盯办，全程代办，以保姆式服务保障项目签约一个、顺利落地一个、高效投产一个。严把项目入口关，坚决将污染项目拒之门外，并对现有化工等能耗高、污染问题突出、安全隐患多的企业限制发展，逐步缩小规模，提升绿色产业比重。四是切实加快开发区建设。把开发区作为产业转型的主战场，加快基础设施建设，按照确定的路网和水电气暖等各项建设任务，认真梳理。已开工的要加快施工，力争早日完工；未开工的，要分析原因，破解难题。皮革后整园、意大利皮革产业园等重点工程，要尽快完成土地组卷、规划设计等工作，争取尽早开工。（二）在统筹城乡建设上开创新局面。一是优化发展布局。积极构建“一核三城”新格局。一核即：做大做美做靓主城区，实施“西延、南联”战略，西部依托中医院、民俗公园、规划一街、规划二街建设，完善公共服务设施，吸引人口聚集；南部重点建设商业中心、大型宾馆酒店等服务设施，着力提升商务功能。三城即：建设北部产业、教育新城，以河北省首个内陆港、北京大学经济学院教育园区为基础，依托京石高铁、津石高速、木刀沟滨河公园建设，发展教育培训、信息服务等第三产业，打造产业、教育融合发展的活力新城。建设张段固生态皮革产业新城，以绿色生态皮革基地为基础，以滹沱河生态景观、石黄高速为依托，合理布局生态皮革制造企业，大力发展专业交易市场、物流中心，增强服务功能，打造宜居宜业的产业新城。建设北苏开放新城，依托毗邻京港澳高速、正定新区的区位优势，结合新兴产业发展，着力完善基础设施，增强聚集功能、辐射功能，打造对接正定新区的桥头堡。二是完善基础设施。加快推进无极路、千山路、花园路等干道综合改造，打通一批断头路、瓶颈路，完善地下管网等基础设施，进一步提高城市载体功能。以成功创建省级园林县城为起点，继续增绿量、建景观，根据发展需要，每年新建1-2个综合性公园，因地制宜建设一批街头游园、城市绿地，对城区干道高标准绿化提升，实现100米见景、300米见园。三是狠抓城市管理。城市建设三分靠建、七分靠管。认真总结“双创”期间城市管理的好经验、好做法，健全完善长效管理机制，防止发生反弹。持续深入开展县城环境容貌综合整治，充分发挥街长的牵总协调作用，整合城管、商户、部门力量，大力治理店外经营、车辆乱停乱放等行为，进一步提升城市形象和品位。强势推进“双违”整治，对“双违”现象下定决心，铁腕整治。组织开展花园路集中整治攻坚行动，力争用三个月时间，将所有违法建设拆除到位，迅速打开工作局面。并以此为突破口，向其他街道延伸，一条街一条街地整治，坚决打赢整治“双违”攻坚战，让“用地要批准，建房要许可，违法必受罚”深入人心，形成共识，在全县形成依法用地、依法建设的良好局面。四是扎实推进美丽乡村建设。强力开展农村环境容貌集中整治，解决农村环境卫生反弹问题，巩固美丽乡村建设成果。进一步建立健全卫生保洁、设施管护等长效管理机制，让美丽建得成、留得住。（三）在改善生态环境上开创新局面。坚决打赢大气污染防治攻坚战。组织专家对污染源进行全面分析会诊，根据不同时段，有针对性采取治理措施，提高治理实效。加强劣质煤和散煤监管，严查非法销售散煤行为，防止劣质散煤进村入户。加快推进农村煤改气工程，相关部门各负其责，强化监管，及时发现解决存在问题，确保用气安全、按期供暖。严格落实错峰生产和重污染天气应急响应制度，抓好企业停限产、建筑工地停工、车辆限行等各项措施实施，实现“削峰降速”。认真组织开展冬季绿化活动，以交通干道、沿河堤岸、田间路网为重点，大规模植树造林，最大限度增加绿量。切实抓好水污染治理。加快推进三个污水处理厂的提标改造，实现污水治理工艺优化升级，强化日常运行监管，确保持续稳定达标排放。加快推进中水回用、景观观赏为一体的滹沱河功能性生态湿地建设，实现废水循环利用。巩固“散乱污”企业治理成果。严格按照既定标准，完成“散乱污”企业整治扫尾工作，确保实现“散乱污”企业清零目标；对企业进行双电路改造，实现环保设施单线路运行，切实加强环保设施运行监管，严格控制企业排污行为；严格落实网格化监管责任和环保部门职能作用，加强日常巡查监管，发现问题及时处理，严防“散乱污”企业死灰复燃。（四）在推进改革创新上开创新局面。要坚决完成今年改革任务，对已完成的65项改革开展回头看，巩固成果，细化措施，确保改革效果落到实处；对未完成的26项改革任务认真剖析，逐一分析原因，加大力度，加快进展，确保年底圆满完成改革任务。继续深化“放管服”改革，充分发挥县审批局作用，对各单位移交的审批事项进行流程再造，为企业降低资源要素成本，努力创造良好的投资氛围和发展环境。要要积极推动创新性改革，紧密结合无极发展实际，围绕企业反映较多的优化营商环境、政务服务以及群众反映强烈的就医、上学、养老等方面，创新思路办法，持续推出一批自主改革举措，求实效、创特色、出亮点，确保我县改革工作走在全市前列。（五）在保障改善民生上开创新局面。要切实维护和谐稳定。统筹抓好安全生产、食品药品安全等各项工作，坚持隐患就是事故，重点抓好危化企业隐患排查，加强工业废液监管，从源头、收集、运输、销售各个环节堵塞漏洞，严防安全事故发生。要全力办好民生实事。把教育事业放在优先位置，在县城周边建设4组“幼儿园、小学、初中”组团学校，推动乡镇初中向县城集中，实现教育资源集中、优化配置。不断提高公共医疗服务能力，加快高标准中医院建设，大力发展医养结合的健康养老模式，提高养老保障水平。不断完善社会保障体系，扩大养老、医疗、失业、工伤覆盖面，提高保障水平。要坚决打赢脱贫攻坚战。坚持精准扶贫，一户一策，重点在提高造血功能上下功夫，通过能人引领、政府扶持等多种方式，积极帮助贫困群众发展致富项目，实现劳动脱贫，永久脱贫。</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三、切实加强党的全面领导和党的建设，深入推进全面从严治党。一要突出抓好思想政治建设。旗帜鲜明讲政治是我们党作为马克思主义政党的根本要求。要切实增强“四个意识”，把维护和捍卫习近平总书记的核心地位，作为最大政治、最重要的政治纪律和政治规矩，坚决维护以习近平同志为核心的党中央权威和集中统一领导。要严格执行新形势下党内政治生活若干准则，自觉尊崇党章，完善和落实民主集中制的各项制度，坚决防止和反对个人主义、分散主义、自由主义、本位主义、好人主义，坚决防止和反对宗派主义、圈子文化、码头文化，坚决反对搞两面派、做两面人。要推进“两学一</w:t>
      </w:r>
      <w:r>
        <w:rPr>
          <w:rFonts w:hint="eastAsia" w:ascii="仿宋_GB2312" w:hAnsi="仿宋_GB2312" w:eastAsia="仿宋_GB2312" w:cs="仿宋_GB2312"/>
          <w:sz w:val="32"/>
          <w:szCs w:val="32"/>
          <w:lang w:val="en-US" w:eastAsia="zh-CN"/>
        </w:rPr>
        <w:t>做</w:t>
      </w:r>
      <w:r>
        <w:rPr>
          <w:rFonts w:hint="eastAsia" w:ascii="仿宋_GB2312" w:hAnsi="仿宋_GB2312" w:eastAsia="仿宋_GB2312" w:cs="仿宋_GB2312"/>
          <w:sz w:val="32"/>
          <w:szCs w:val="32"/>
        </w:rPr>
        <w:t>”学习教育常态化制度化，扎实开展“不忘初心、牢记使命”主题教育，传承红船精神，弘扬赶考精神。各级党员干部要带头加强党性锻炼，提高政治觉悟和政治能力，把对党忠诚、为党分忧、为党尽职、为民造福作为根本政治担当，永葆共产党人政治本色。二要加强领导班子和干部队伍建设。按照习近平总书记提出的“坚定理想信念、强化政治责任、全面增强本领、扎实改进作风”的要求，切实加强县委领导班子建设，充分发挥好总揽全局、协调各方的作用，切实做到把方向、谋大局、定政策、促改革。县委常委会和班子成员要带头讲政治、带头守规矩、带头转作风、带头抓落实。县人大、县政府、县政协领导班子，要按照县委的决策，积极主动、独立负责的开展工作。坚持正确选人用人导向，严把政治关、作风关、能力关、廉洁关，对能干实干、业绩突出和急难险重任务中表现出色的干部大胆提拔重用，在全县形成凭能力用干部，以实绩选干部的用人导向。进一步健全完善容错纠错机制，为干事者撑腰、为担当者担当，充分调动广大干部群众干事创业的积极性和创造性。三要深化基层党组织建设。切实抓好农村“两委”换届，严格程序、严肃标准，真正把群众认可、作风优良、能力突出的优秀人才选拔出来，选好配强农村两委班子特别是党支部书记，夯实基层基础。严肃换届纪律，对拉票贿选、跑要串闹、干扰换届、破坏选举和违法违规违纪行为，坚决查处，绝不姑息，营造风清气正的换届环境。强化基层干部培训，分期分批对村“两委”成员开展</w:t>
      </w:r>
      <w:r>
        <w:rPr>
          <w:rFonts w:hint="eastAsia" w:ascii="仿宋_GB2312" w:hAnsi="仿宋_GB2312" w:eastAsia="仿宋_GB2312" w:cs="仿宋_GB2312"/>
          <w:sz w:val="32"/>
          <w:szCs w:val="32"/>
          <w:lang w:val="en-US" w:eastAsia="zh-CN"/>
        </w:rPr>
        <w:t>党的</w:t>
      </w:r>
      <w:r>
        <w:rPr>
          <w:rFonts w:hint="eastAsia" w:ascii="仿宋_GB2312" w:hAnsi="仿宋_GB2312" w:eastAsia="仿宋_GB2312" w:cs="仿宋_GB2312"/>
          <w:sz w:val="32"/>
          <w:szCs w:val="32"/>
        </w:rPr>
        <w:t>十九大精神、法律法规、村务管理、发展技能等专题培训，打造一支懂农业、爱农村、爱农民的高素质基层干部队伍。完善农村党员培育机制，下大力解决个别村多年不发展党员、党员老龄化、家族化问题。加强农村“两室”建设，年底前各村“两室”全部达标，强化规范管理和使用，发挥好为民服务、学习培训、议事决策的阵地作用。四要狠抓作风建设。各级党组织和广大党员干部要紧密结合学习贯彻</w:t>
      </w:r>
      <w:r>
        <w:rPr>
          <w:rFonts w:hint="eastAsia" w:ascii="仿宋_GB2312" w:hAnsi="仿宋_GB2312" w:eastAsia="仿宋_GB2312" w:cs="仿宋_GB2312"/>
          <w:sz w:val="32"/>
          <w:szCs w:val="32"/>
          <w:lang w:val="en-US" w:eastAsia="zh-CN"/>
        </w:rPr>
        <w:t>党的</w:t>
      </w:r>
      <w:r>
        <w:rPr>
          <w:rFonts w:hint="eastAsia" w:ascii="仿宋_GB2312" w:hAnsi="仿宋_GB2312" w:eastAsia="仿宋_GB2312" w:cs="仿宋_GB2312"/>
          <w:sz w:val="32"/>
          <w:szCs w:val="32"/>
        </w:rPr>
        <w:t>十九大精神和无极发展实际，充分认识当前发展面临的重大机遇、压力风险，破除思维定式和路径依赖，进一步解放思想、开拓视野，用创新的思维、改革的办法推动工作，对影响创新创业的，对人民群众和市场主体不满意的，坚决改、加快改、彻底改。强化责任担当，县四大班子和各级各部门主要负责同志，要带头分包重点工作、重大任务、重点项目，不推卸责任、不避重就轻，勇于直面问题、善于解决矛盾，扑下身子真抓实干，以钉钉子的精神推动各项任务落实。把创先争优作为工作的着力点，与强的比、向高处攀，人人争先、事事</w:t>
      </w:r>
      <w:bookmarkStart w:id="0" w:name="baidusnap6"/>
      <w:bookmarkEnd w:id="0"/>
      <w:r>
        <w:rPr>
          <w:rFonts w:hint="eastAsia" w:ascii="仿宋_GB2312" w:hAnsi="仿宋_GB2312" w:eastAsia="仿宋_GB2312" w:cs="仿宋_GB2312"/>
          <w:sz w:val="32"/>
          <w:szCs w:val="32"/>
        </w:rPr>
        <w:t>一流，推动各项工作争先进位。五要持之以恒正风肃纪反腐。始终保持全面从严治党永远在路上的坚韧和执着，驰而不息抓好中央八项规定精神落实，坚决防止“四风”问题反弹，对作风漂浮、不敢担当、不作为、乱作为等问题严肃追究问责，坚持不懈正风肃纪、改作风转作风。坚持无禁区、全覆盖、零容忍，紧盯领导干部这个“关键少数”和权力集中的部门、领域，严肃查处各类违纪违规行为，大力整治群众身边“微腐败”。充分发挥巡察作用，用好监督执纪“四种形态”，推进监察体制改革，加强对权力运行的制约和监督，营造良好的政治生态。</w:t>
      </w:r>
    </w:p>
    <w:p>
      <w:pPr>
        <w:ind w:firstLine="640" w:firstLineChars="200"/>
        <w:rPr>
          <w:rFonts w:ascii="楷体_GB2312" w:hAnsi="楷体_GB2312" w:eastAsia="楷体_GB2312"/>
          <w:sz w:val="32"/>
          <w:szCs w:val="32"/>
        </w:rPr>
      </w:pPr>
      <w:r>
        <w:rPr>
          <w:rFonts w:ascii="楷体_GB2312" w:hAnsi="楷体_GB2312" w:eastAsia="楷体_GB2312" w:cs="楷体_GB2312"/>
          <w:sz w:val="32"/>
          <w:szCs w:val="32"/>
        </w:rPr>
        <w:t>(</w:t>
      </w:r>
      <w:r>
        <w:rPr>
          <w:rFonts w:hint="eastAsia" w:ascii="楷体_GB2312" w:hAnsi="楷体_GB2312" w:eastAsia="楷体_GB2312" w:cs="楷体_GB2312"/>
          <w:sz w:val="32"/>
          <w:szCs w:val="32"/>
        </w:rPr>
        <w:t>二</w:t>
      </w:r>
      <w:r>
        <w:rPr>
          <w:rFonts w:ascii="楷体_GB2312" w:hAnsi="楷体_GB2312" w:eastAsia="楷体_GB2312" w:cs="楷体_GB2312"/>
          <w:sz w:val="32"/>
          <w:szCs w:val="32"/>
        </w:rPr>
        <w:t>)</w:t>
      </w:r>
      <w:r>
        <w:rPr>
          <w:rFonts w:hint="eastAsia" w:ascii="楷体_GB2312" w:hAnsi="楷体_GB2312" w:eastAsia="楷体_GB2312" w:cs="楷体_GB2312"/>
          <w:sz w:val="32"/>
          <w:szCs w:val="32"/>
        </w:rPr>
        <w:t>职责分类绩效目标</w:t>
      </w:r>
    </w:p>
    <w:p>
      <w:pPr>
        <w:ind w:firstLine="560"/>
        <w:rPr>
          <w:rFonts w:ascii="仿宋_GB2312" w:hAnsi="仿宋_GB2312" w:eastAsia="仿宋_GB2312"/>
          <w:sz w:val="32"/>
          <w:szCs w:val="32"/>
        </w:rPr>
      </w:pPr>
      <w:r>
        <w:rPr>
          <w:rFonts w:ascii="仿宋_GB2312" w:hAnsi="仿宋_GB2312" w:eastAsia="仿宋_GB2312" w:cs="仿宋_GB2312"/>
          <w:sz w:val="32"/>
          <w:szCs w:val="32"/>
        </w:rPr>
        <w:t>1</w:t>
      </w:r>
      <w:r>
        <w:rPr>
          <w:rFonts w:hint="eastAsia" w:ascii="仿宋_GB2312" w:hAnsi="仿宋_GB2312" w:eastAsia="仿宋_GB2312" w:cs="仿宋_GB2312"/>
          <w:sz w:val="32"/>
          <w:szCs w:val="32"/>
        </w:rPr>
        <w:t>、围绕县委工作部署，对涉及全县经济建设、社会发展、党的自身建设等全局性的重大问题进行调查研究，为县委科学决策提出建议、预案。</w:t>
      </w:r>
    </w:p>
    <w:p>
      <w:pPr>
        <w:ind w:firstLine="560"/>
        <w:rPr>
          <w:rFonts w:ascii="仿宋_GB2312" w:hAnsi="仿宋_GB2312" w:eastAsia="仿宋_GB2312"/>
          <w:sz w:val="32"/>
          <w:szCs w:val="32"/>
        </w:rPr>
      </w:pPr>
      <w:r>
        <w:rPr>
          <w:rFonts w:ascii="仿宋_GB2312" w:hAnsi="仿宋_GB2312" w:eastAsia="仿宋_GB2312" w:cs="仿宋_GB2312"/>
          <w:sz w:val="32"/>
          <w:szCs w:val="32"/>
        </w:rPr>
        <w:t>2</w:t>
      </w:r>
      <w:r>
        <w:rPr>
          <w:rFonts w:hint="eastAsia" w:ascii="仿宋_GB2312" w:hAnsi="仿宋_GB2312" w:eastAsia="仿宋_GB2312" w:cs="仿宋_GB2312"/>
          <w:sz w:val="32"/>
          <w:szCs w:val="32"/>
        </w:rPr>
        <w:t>、负责县委有关会议的筹备和组织协调工作。负责安排县委领导的公务活动，办理县委领导交办的事项。</w:t>
      </w:r>
    </w:p>
    <w:p>
      <w:pPr>
        <w:ind w:firstLine="560"/>
        <w:rPr>
          <w:rFonts w:ascii="仿宋_GB2312" w:hAnsi="仿宋_GB2312" w:eastAsia="仿宋_GB2312"/>
          <w:sz w:val="32"/>
          <w:szCs w:val="32"/>
        </w:rPr>
      </w:pPr>
      <w:r>
        <w:rPr>
          <w:rFonts w:ascii="仿宋_GB2312" w:hAnsi="仿宋_GB2312" w:eastAsia="仿宋_GB2312" w:cs="仿宋_GB2312"/>
          <w:sz w:val="32"/>
          <w:szCs w:val="32"/>
        </w:rPr>
        <w:t>3</w:t>
      </w:r>
      <w:r>
        <w:rPr>
          <w:rFonts w:hint="eastAsia" w:ascii="仿宋_GB2312" w:hAnsi="仿宋_GB2312" w:eastAsia="仿宋_GB2312" w:cs="仿宋_GB2312"/>
          <w:sz w:val="32"/>
          <w:szCs w:val="32"/>
        </w:rPr>
        <w:t>、负责县委文件和文稿的起草、校核、印发工作，负责文书处理、档案管理和开发利用工作；研究、审核县直各部门、各乡镇党委向县委的请示，提出处理意见报县委领导审批。</w:t>
      </w:r>
    </w:p>
    <w:p>
      <w:pPr>
        <w:ind w:firstLine="560"/>
        <w:rPr>
          <w:rFonts w:ascii="仿宋_GB2312" w:hAnsi="仿宋_GB2312" w:eastAsia="仿宋_GB2312"/>
          <w:sz w:val="32"/>
          <w:szCs w:val="32"/>
        </w:rPr>
      </w:pPr>
      <w:r>
        <w:rPr>
          <w:rFonts w:ascii="仿宋_GB2312" w:hAnsi="仿宋_GB2312" w:eastAsia="仿宋_GB2312" w:cs="仿宋_GB2312"/>
          <w:sz w:val="32"/>
          <w:szCs w:val="32"/>
        </w:rPr>
        <w:t>4</w:t>
      </w:r>
      <w:r>
        <w:rPr>
          <w:rFonts w:hint="eastAsia" w:ascii="仿宋_GB2312" w:hAnsi="仿宋_GB2312" w:eastAsia="仿宋_GB2312" w:cs="仿宋_GB2312"/>
          <w:sz w:val="32"/>
          <w:szCs w:val="32"/>
        </w:rPr>
        <w:t>、及时收集、筛选、综合整理各类情况，全面准确地为县委、上级党委报送信息；承办内部信息刊物，及时传达贯彻党委、政府的重大决策、重要精神和扩大乡镇、部门工作交流。</w:t>
      </w:r>
    </w:p>
    <w:p>
      <w:pPr>
        <w:ind w:firstLine="560"/>
        <w:rPr>
          <w:rFonts w:ascii="仿宋_GB2312" w:hAnsi="仿宋_GB2312" w:eastAsia="仿宋_GB2312"/>
          <w:sz w:val="32"/>
          <w:szCs w:val="32"/>
        </w:rPr>
      </w:pPr>
      <w:r>
        <w:rPr>
          <w:rFonts w:ascii="仿宋_GB2312" w:hAnsi="仿宋_GB2312" w:eastAsia="仿宋_GB2312" w:cs="仿宋_GB2312"/>
          <w:sz w:val="32"/>
          <w:szCs w:val="32"/>
        </w:rPr>
        <w:t>5</w:t>
      </w:r>
      <w:r>
        <w:rPr>
          <w:rFonts w:hint="eastAsia" w:ascii="仿宋_GB2312" w:hAnsi="仿宋_GB2312" w:eastAsia="仿宋_GB2312" w:cs="仿宋_GB2312"/>
          <w:sz w:val="32"/>
          <w:szCs w:val="32"/>
        </w:rPr>
        <w:t>、负责党的方针政策、上级党委和县委重要工作部署、领导同志重要批示、批件贯彻落实情况的督促检查，以及受县委委托对某些问题的调查核实。</w:t>
      </w:r>
    </w:p>
    <w:p>
      <w:pPr>
        <w:ind w:firstLine="560"/>
        <w:rPr>
          <w:rFonts w:ascii="仿宋_GB2312" w:hAnsi="仿宋_GB2312" w:eastAsia="仿宋_GB2312"/>
          <w:sz w:val="32"/>
          <w:szCs w:val="32"/>
        </w:rPr>
      </w:pPr>
      <w:r>
        <w:rPr>
          <w:rFonts w:ascii="仿宋_GB2312" w:hAnsi="仿宋_GB2312" w:eastAsia="仿宋_GB2312" w:cs="仿宋_GB2312"/>
          <w:sz w:val="32"/>
          <w:szCs w:val="32"/>
        </w:rPr>
        <w:t>6</w:t>
      </w:r>
      <w:r>
        <w:rPr>
          <w:rFonts w:hint="eastAsia" w:ascii="仿宋_GB2312" w:hAnsi="仿宋_GB2312" w:eastAsia="仿宋_GB2312" w:cs="仿宋_GB2312"/>
          <w:sz w:val="32"/>
          <w:szCs w:val="32"/>
        </w:rPr>
        <w:t>、负责牵头组织全县目标管理年度考核工作和县委、县政府各项工作年度奖惩的汇总初审。</w:t>
      </w:r>
    </w:p>
    <w:p>
      <w:pPr>
        <w:ind w:firstLine="560"/>
        <w:rPr>
          <w:rFonts w:ascii="仿宋_GB2312" w:hAnsi="仿宋_GB2312" w:eastAsia="仿宋_GB2312"/>
          <w:sz w:val="32"/>
          <w:szCs w:val="32"/>
        </w:rPr>
      </w:pPr>
      <w:r>
        <w:rPr>
          <w:rFonts w:ascii="仿宋_GB2312" w:hAnsi="仿宋_GB2312" w:eastAsia="仿宋_GB2312" w:cs="仿宋_GB2312"/>
          <w:sz w:val="32"/>
          <w:szCs w:val="32"/>
        </w:rPr>
        <w:t>7</w:t>
      </w:r>
      <w:r>
        <w:rPr>
          <w:rFonts w:hint="eastAsia" w:ascii="仿宋_GB2312" w:hAnsi="仿宋_GB2312" w:eastAsia="仿宋_GB2312" w:cs="仿宋_GB2312"/>
          <w:sz w:val="32"/>
          <w:szCs w:val="32"/>
        </w:rPr>
        <w:t>、负责县委值班工作，及时向县委报告重要情况，处理群众来信来访，协助处理县直各部门和乡镇反映的重要问题。</w:t>
      </w:r>
    </w:p>
    <w:p>
      <w:pPr>
        <w:ind w:firstLine="560"/>
        <w:rPr>
          <w:rFonts w:ascii="仿宋_GB2312" w:hAnsi="仿宋_GB2312" w:eastAsia="仿宋_GB2312"/>
          <w:sz w:val="32"/>
          <w:szCs w:val="32"/>
        </w:rPr>
      </w:pPr>
      <w:r>
        <w:rPr>
          <w:rFonts w:ascii="仿宋_GB2312" w:hAnsi="仿宋_GB2312" w:eastAsia="仿宋_GB2312" w:cs="仿宋_GB2312"/>
          <w:sz w:val="32"/>
          <w:szCs w:val="32"/>
        </w:rPr>
        <w:t>8</w:t>
      </w:r>
      <w:r>
        <w:rPr>
          <w:rFonts w:hint="eastAsia" w:ascii="仿宋_GB2312" w:hAnsi="仿宋_GB2312" w:eastAsia="仿宋_GB2312" w:cs="仿宋_GB2312"/>
          <w:sz w:val="32"/>
          <w:szCs w:val="32"/>
        </w:rPr>
        <w:t>、负责全县党政系统机要密码通信和密码管理；负责全县商用密码管理；负责上级党委文件和党政领导机关要件的传递工作；负责牵头全县电子政务内网的建设和全县党委系统信息化工作。</w:t>
      </w:r>
    </w:p>
    <w:p>
      <w:pPr>
        <w:ind w:firstLine="560"/>
        <w:rPr>
          <w:rFonts w:ascii="仿宋_GB2312" w:hAnsi="仿宋_GB2312" w:eastAsia="仿宋_GB2312"/>
          <w:sz w:val="32"/>
          <w:szCs w:val="32"/>
        </w:rPr>
      </w:pPr>
      <w:r>
        <w:rPr>
          <w:rFonts w:ascii="仿宋_GB2312" w:hAnsi="仿宋_GB2312" w:eastAsia="仿宋_GB2312" w:cs="仿宋_GB2312"/>
          <w:sz w:val="32"/>
          <w:szCs w:val="32"/>
        </w:rPr>
        <w:t>9</w:t>
      </w:r>
      <w:r>
        <w:rPr>
          <w:rFonts w:hint="eastAsia" w:ascii="仿宋_GB2312" w:hAnsi="仿宋_GB2312" w:eastAsia="仿宋_GB2312" w:cs="仿宋_GB2312"/>
          <w:sz w:val="32"/>
          <w:szCs w:val="32"/>
        </w:rPr>
        <w:t>、负责全县保密工作的规划、宣传教育、指导协调、监督管理和泄密案件查处工作；负责涉密通信、办公自动化等的技术防范和审批管理。</w:t>
      </w:r>
    </w:p>
    <w:p>
      <w:pPr>
        <w:ind w:firstLine="560"/>
        <w:rPr>
          <w:rFonts w:ascii="仿宋_GB2312" w:hAnsi="仿宋_GB2312" w:eastAsia="仿宋_GB2312"/>
          <w:sz w:val="32"/>
          <w:szCs w:val="32"/>
        </w:rPr>
      </w:pPr>
      <w:r>
        <w:rPr>
          <w:rFonts w:ascii="仿宋_GB2312" w:hAnsi="仿宋_GB2312" w:eastAsia="仿宋_GB2312" w:cs="仿宋_GB2312"/>
          <w:sz w:val="32"/>
          <w:szCs w:val="32"/>
        </w:rPr>
        <w:t>10</w:t>
      </w:r>
      <w:r>
        <w:rPr>
          <w:rFonts w:hint="eastAsia" w:ascii="仿宋_GB2312" w:hAnsi="仿宋_GB2312" w:eastAsia="仿宋_GB2312" w:cs="仿宋_GB2312"/>
          <w:sz w:val="32"/>
          <w:szCs w:val="32"/>
        </w:rPr>
        <w:t>、负责有关人员来本县视察的公务活动安排和接待工作。</w:t>
      </w:r>
    </w:p>
    <w:p>
      <w:pPr>
        <w:ind w:firstLine="560"/>
        <w:rPr>
          <w:rFonts w:ascii="仿宋_GB2312" w:hAnsi="仿宋_GB2312" w:eastAsia="仿宋_GB2312"/>
          <w:sz w:val="32"/>
          <w:szCs w:val="32"/>
        </w:rPr>
      </w:pPr>
      <w:r>
        <w:rPr>
          <w:rFonts w:ascii="仿宋_GB2312" w:hAnsi="仿宋_GB2312" w:eastAsia="仿宋_GB2312" w:cs="仿宋_GB2312"/>
          <w:sz w:val="32"/>
          <w:szCs w:val="32"/>
        </w:rPr>
        <w:t>11</w:t>
      </w:r>
      <w:r>
        <w:rPr>
          <w:rFonts w:hint="eastAsia" w:ascii="仿宋_GB2312" w:hAnsi="仿宋_GB2312" w:eastAsia="仿宋_GB2312" w:cs="仿宋_GB2312"/>
          <w:sz w:val="32"/>
          <w:szCs w:val="32"/>
        </w:rPr>
        <w:t>、负责全县党史工作，创新工作思路，完善研究方法，巩固党史成果，加大党史宣教力度，完成各项目标任务。</w:t>
      </w:r>
    </w:p>
    <w:p>
      <w:pPr>
        <w:ind w:firstLine="560"/>
        <w:rPr>
          <w:rFonts w:ascii="仿宋_GB2312" w:hAnsi="仿宋_GB2312" w:eastAsia="仿宋_GB2312"/>
          <w:sz w:val="32"/>
          <w:szCs w:val="32"/>
        </w:rPr>
      </w:pPr>
      <w:r>
        <w:rPr>
          <w:rFonts w:ascii="仿宋_GB2312" w:hAnsi="仿宋_GB2312" w:eastAsia="仿宋_GB2312" w:cs="仿宋_GB2312"/>
          <w:sz w:val="32"/>
          <w:szCs w:val="32"/>
        </w:rPr>
        <w:t>12</w:t>
      </w:r>
      <w:r>
        <w:rPr>
          <w:rFonts w:hint="eastAsia" w:ascii="仿宋_GB2312" w:hAnsi="仿宋_GB2312" w:eastAsia="仿宋_GB2312" w:cs="仿宋_GB2312"/>
          <w:sz w:val="32"/>
          <w:szCs w:val="32"/>
        </w:rPr>
        <w:t>、负责对全县各级办公室的业务指导和协调管理。</w:t>
      </w:r>
    </w:p>
    <w:p>
      <w:pPr>
        <w:ind w:firstLine="560"/>
        <w:rPr>
          <w:rFonts w:ascii="仿宋_GB2312" w:hAnsi="仿宋_GB2312" w:eastAsia="仿宋_GB2312"/>
          <w:sz w:val="32"/>
          <w:szCs w:val="32"/>
        </w:rPr>
      </w:pPr>
      <w:r>
        <w:rPr>
          <w:rFonts w:ascii="仿宋_GB2312" w:hAnsi="仿宋_GB2312" w:eastAsia="仿宋_GB2312" w:cs="仿宋_GB2312"/>
          <w:sz w:val="32"/>
          <w:szCs w:val="32"/>
        </w:rPr>
        <w:t>13</w:t>
      </w:r>
      <w:r>
        <w:rPr>
          <w:rFonts w:hint="eastAsia" w:ascii="仿宋_GB2312" w:hAnsi="仿宋_GB2312" w:eastAsia="仿宋_GB2312" w:cs="仿宋_GB2312"/>
          <w:sz w:val="32"/>
          <w:szCs w:val="32"/>
        </w:rPr>
        <w:t>、承办县委及市委办公厅交办的其他工作。</w:t>
      </w:r>
    </w:p>
    <w:p>
      <w:pPr>
        <w:ind w:firstLine="640" w:firstLineChars="200"/>
        <w:rPr>
          <w:rFonts w:ascii="楷体_GB2312" w:hAnsi="楷体_GB2312" w:eastAsia="楷体_GB2312"/>
          <w:sz w:val="32"/>
          <w:szCs w:val="32"/>
        </w:rPr>
      </w:pPr>
      <w:r>
        <w:rPr>
          <w:rFonts w:hint="eastAsia" w:ascii="楷体_GB2312" w:hAnsi="楷体_GB2312" w:eastAsia="楷体_GB2312" w:cs="楷体_GB2312"/>
          <w:sz w:val="32"/>
          <w:szCs w:val="32"/>
        </w:rPr>
        <w:t>（三）部门职责</w:t>
      </w:r>
      <w:r>
        <w:rPr>
          <w:rFonts w:ascii="楷体_GB2312" w:hAnsi="楷体_GB2312" w:eastAsia="楷体_GB2312" w:cs="楷体_GB2312"/>
          <w:sz w:val="32"/>
          <w:szCs w:val="32"/>
        </w:rPr>
        <w:t>-</w:t>
      </w:r>
      <w:r>
        <w:rPr>
          <w:rFonts w:hint="eastAsia" w:ascii="楷体_GB2312" w:hAnsi="楷体_GB2312" w:eastAsia="楷体_GB2312" w:cs="楷体_GB2312"/>
          <w:sz w:val="32"/>
          <w:szCs w:val="32"/>
        </w:rPr>
        <w:t>工作活动绩效目标</w:t>
      </w:r>
    </w:p>
    <w:p>
      <w:pPr>
        <w:jc w:val="center"/>
        <w:outlineLvl w:val="0"/>
        <w:rPr>
          <w:rFonts w:ascii="?????_GBK" w:eastAsia="Times New Roman"/>
          <w:sz w:val="32"/>
          <w:szCs w:val="32"/>
        </w:rPr>
      </w:pPr>
      <w:bookmarkStart w:id="1" w:name="_Toc478459821"/>
    </w:p>
    <w:p>
      <w:pPr>
        <w:jc w:val="center"/>
        <w:outlineLvl w:val="0"/>
        <w:rPr>
          <w:rFonts w:ascii="?????_GBK" w:eastAsia="Times New Roman"/>
          <w:sz w:val="32"/>
          <w:szCs w:val="32"/>
        </w:rPr>
      </w:pPr>
    </w:p>
    <w:p>
      <w:pPr>
        <w:jc w:val="center"/>
        <w:outlineLvl w:val="0"/>
        <w:rPr>
          <w:rFonts w:ascii="?????_GBK" w:eastAsia="Times New Roman"/>
          <w:sz w:val="32"/>
          <w:szCs w:val="32"/>
        </w:rPr>
      </w:pPr>
    </w:p>
    <w:p>
      <w:pPr>
        <w:jc w:val="center"/>
        <w:outlineLvl w:val="0"/>
        <w:rPr>
          <w:rFonts w:ascii="?????_GBK" w:eastAsia="Times New Roman"/>
          <w:sz w:val="32"/>
          <w:szCs w:val="32"/>
        </w:rPr>
      </w:pPr>
    </w:p>
    <w:p>
      <w:pPr>
        <w:jc w:val="center"/>
        <w:outlineLvl w:val="0"/>
        <w:rPr>
          <w:rFonts w:ascii="?????_GBK" w:eastAsia="Times New Roman"/>
          <w:sz w:val="32"/>
          <w:szCs w:val="32"/>
        </w:rPr>
      </w:pPr>
      <w:r>
        <w:rPr>
          <w:rFonts w:ascii="?????_GBK" w:eastAsia="Times New Roman"/>
          <w:sz w:val="32"/>
          <w:szCs w:val="32"/>
        </w:rPr>
        <w:t>部门职责</w:t>
      </w:r>
      <w:r>
        <w:rPr>
          <w:rFonts w:ascii="?????_GBK" w:eastAsia="Times New Roman" w:cs="?????_GBK"/>
          <w:sz w:val="32"/>
          <w:szCs w:val="32"/>
        </w:rPr>
        <w:t>-</w:t>
      </w:r>
      <w:r>
        <w:rPr>
          <w:rFonts w:ascii="?????_GBK" w:eastAsia="Times New Roman"/>
          <w:sz w:val="32"/>
          <w:szCs w:val="32"/>
        </w:rPr>
        <w:t>工作活动绩效目标</w:t>
      </w:r>
      <w:bookmarkEnd w:id="1"/>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_GBK" w:eastAsia="Times New Roman"/>
                <w:sz w:val="24"/>
                <w:szCs w:val="24"/>
              </w:rPr>
            </w:pPr>
            <w:r>
              <w:rPr>
                <w:rFonts w:ascii="?????_GBK" w:eastAsia="Times New Roman" w:cs="?????_GBK"/>
                <w:sz w:val="24"/>
                <w:szCs w:val="24"/>
              </w:rPr>
              <w:t>201</w:t>
            </w:r>
            <w:r>
              <w:rPr>
                <w:rFonts w:ascii="?????_GBK" w:eastAsia="Times New Roman"/>
                <w:sz w:val="24"/>
                <w:szCs w:val="24"/>
              </w:rPr>
              <w:t>县委办</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szCs w:val="24"/>
              </w:rPr>
            </w:pPr>
            <w:r>
              <w:rPr>
                <w:rFonts w:hint="eastAsia" w:ascii="方正书宋_GBK" w:eastAsia="方正书宋_GBK" w:cs="方正书宋_GBK"/>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职责活动</w:t>
            </w:r>
          </w:p>
        </w:tc>
        <w:tc>
          <w:tcPr>
            <w:tcW w:w="1276"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年度预算数</w:t>
            </w:r>
          </w:p>
        </w:tc>
        <w:tc>
          <w:tcPr>
            <w:tcW w:w="2976"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内容描述</w:t>
            </w:r>
          </w:p>
        </w:tc>
        <w:tc>
          <w:tcPr>
            <w:tcW w:w="2976"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绩效目标</w:t>
            </w:r>
          </w:p>
        </w:tc>
        <w:tc>
          <w:tcPr>
            <w:tcW w:w="1417"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绩效指标</w:t>
            </w:r>
          </w:p>
        </w:tc>
        <w:tc>
          <w:tcPr>
            <w:tcW w:w="2948" w:type="dxa"/>
            <w:gridSpan w:val="4"/>
            <w:vAlign w:val="center"/>
          </w:tcPr>
          <w:p>
            <w:pPr>
              <w:spacing w:line="300" w:lineRule="exact"/>
              <w:jc w:val="center"/>
              <w:rPr>
                <w:rFonts w:ascii="方正书宋_GBK" w:eastAsia="方正书宋_GBK"/>
                <w:b/>
                <w:bCs/>
              </w:rPr>
            </w:pPr>
            <w:r>
              <w:rPr>
                <w:rFonts w:hint="eastAsia" w:ascii="方正书宋_GBK" w:eastAsia="方正书宋_GBK" w:cs="方正书宋_GBK"/>
                <w:b/>
                <w:bCs/>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优</w:t>
            </w:r>
          </w:p>
        </w:tc>
        <w:tc>
          <w:tcPr>
            <w:tcW w:w="737"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良</w:t>
            </w:r>
          </w:p>
        </w:tc>
        <w:tc>
          <w:tcPr>
            <w:tcW w:w="737"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中</w:t>
            </w:r>
          </w:p>
        </w:tc>
        <w:tc>
          <w:tcPr>
            <w:tcW w:w="737"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参谋协调运转</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县委公文运转、大型会议和活动组织安排、公务接待等。</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保障县委办公室大型会议、重大活动的正常、顺利举办；保障县委公文正常运转。</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bCs/>
              </w:rPr>
            </w:pPr>
            <w:r>
              <w:rPr>
                <w:rFonts w:hint="eastAsia" w:ascii="方正书宋_GBK" w:eastAsia="方正书宋_GBK" w:cs="方正书宋_GBK"/>
                <w:b/>
                <w:bCs/>
              </w:rPr>
              <w:t>　　公文运转</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承担县委、县委领导同志交办的文件、讲话稿的起草或修改工作；县委文件和县委办公室代县委行文的核审工作；党刊党史编辑工作。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改进公文办理，规范流程，做到零停留、无差错。公文审核严谨高效，增强县委文件的权威性。加强文稿前期介入，打造精品文稿。</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党刊党史编辑工作完成率</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发文核审差错率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&lt;0.5%</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&lt;1%</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&lt;2%</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公文流转速度</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文稿起草工作完成量</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bCs/>
              </w:rPr>
            </w:pPr>
            <w:r>
              <w:rPr>
                <w:rFonts w:hint="eastAsia" w:ascii="方正书宋_GBK" w:eastAsia="方正书宋_GBK" w:cs="方正书宋_GBK"/>
                <w:b/>
                <w:bCs/>
              </w:rPr>
              <w:t>　　协调县委大型会议和活动</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县委各种会议的会务工作和县委日常工作活动的组织安排。</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加强县级层面重要会议活动的统筹协调，精心谋划组织好全县性重大会议活动，县委主要领导参加的重要会议活动，要从严从细谋划安排</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大型会议控制率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1%</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0.5%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0.3%</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重大工作参与率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50%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bCs/>
              </w:rPr>
            </w:pPr>
            <w:r>
              <w:rPr>
                <w:rFonts w:hint="eastAsia" w:ascii="方正书宋_GBK" w:eastAsia="方正书宋_GBK" w:cs="方正书宋_GBK"/>
                <w:b/>
                <w:bCs/>
              </w:rPr>
              <w:t>　　会务接待</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负责省市领导和兄弟县市（区）党委领导同志，以及办公室系统的接待服务工作；负责县委领导同志交办的其他接待任务。</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严格执行中央八项规定，坚持热情周到、简洁简朴。严格执行接待标准、降低接待费规模。</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接待费控制率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70%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会务接待工作完成率</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信息收集和督查调研</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围绕省市、县委总体工作部署开展综合调研，收集和处理信息、反映动态；承担省市、县委重要工作部署贯彻落实的督导检查，省市和县委领导同志批示件的传达和催办落实。</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围绕省市和县委、县政府的重大决策部署，围绕县领导重要批示和指示，围绕热点难点问题，明确责任、定出措施，按节点考核、按时间推进。通过调研课题就党和政府关注的问题，提出客观、有价值、有分量、有影响的意见建议，收集信息，反应民意，及时上报，促进决策民主化和科学化。</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bCs/>
              </w:rPr>
            </w:pPr>
            <w:r>
              <w:rPr>
                <w:rFonts w:hint="eastAsia" w:ascii="方正书宋_GBK" w:eastAsia="方正书宋_GBK" w:cs="方正书宋_GBK"/>
                <w:b/>
                <w:bCs/>
              </w:rPr>
              <w:t>　　信息收集及民意调查</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党委系统信息工作的组织、协调和指导。围绕省市、县委的重大决策部署收集、整理和反馈信息；信息发布和联络工作；社情民意调查；全县党委系统信息网络的协调和指导工作。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通过界别渠道密切联系群众，反映社情民意，努力做到协调关系、化解矛盾、理顺情绪，增进社会各阶层不同利益群体的和谐和稳定。</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全县党委系统信息网络协调和指导工作完成率</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社情民意反映率</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宣传报道完成率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70%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bCs/>
              </w:rPr>
            </w:pPr>
            <w:r>
              <w:rPr>
                <w:rFonts w:hint="eastAsia" w:ascii="方正书宋_GBK" w:eastAsia="方正书宋_GBK" w:cs="方正书宋_GBK"/>
                <w:b/>
                <w:bCs/>
              </w:rPr>
              <w:t>　　督查调研</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省市、县委重大决策部署贯彻落实的督促检查；省市和县委领导同志有关批示件的催办落实；承担县委领导同志批示件及办理情况的综汇工作；围绕省市、县委重大决策的贯彻落实进行调查研究；全县党委系统督查网络的协调和指导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围绕省市和县委、县政府的重大决策部署，围绕县领导重要批示和指示，围绕热点难点问题，明确责任、定出措施，按节点考核、按时间推进。通过调研课题就党和政府关注的问题，提出客观、有价值、有分量、有影响的意见建议，促进决策民主化和科学化。</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督查督办按时办结率</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重大决策部署落实的调研工作完成率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全县党委系统公务内网建设</w:t>
            </w:r>
          </w:p>
        </w:tc>
        <w:tc>
          <w:tcPr>
            <w:tcW w:w="1276" w:type="dxa"/>
            <w:vAlign w:val="center"/>
          </w:tcPr>
          <w:p>
            <w:pPr>
              <w:spacing w:line="300" w:lineRule="exact"/>
              <w:jc w:val="left"/>
              <w:rPr>
                <w:rFonts w:ascii="方正书宋_GBK" w:eastAsia="方正书宋_GBK" w:cs="方正书宋_GBK"/>
              </w:rPr>
            </w:pPr>
            <w:r>
              <w:rPr>
                <w:rFonts w:ascii="方正书宋_GBK" w:eastAsia="方正书宋_GBK" w:cs="方正书宋_GBK"/>
              </w:rPr>
              <w:t>105.00</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全县党委系统公务内网建设与维护。</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数据资源丰富、数据正版、权威可靠，用户满意度高。线路畅通，系统运行稳定。</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bCs/>
              </w:rPr>
            </w:pPr>
            <w:r>
              <w:rPr>
                <w:rFonts w:hint="eastAsia" w:ascii="方正书宋_GBK" w:eastAsia="方正书宋_GBK" w:cs="方正书宋_GBK"/>
                <w:b/>
                <w:bCs/>
              </w:rPr>
              <w:t>　　公务内网建设与维护</w:t>
            </w:r>
          </w:p>
        </w:tc>
        <w:tc>
          <w:tcPr>
            <w:tcW w:w="1276" w:type="dxa"/>
            <w:vMerge w:val="restart"/>
            <w:vAlign w:val="center"/>
          </w:tcPr>
          <w:p>
            <w:pPr>
              <w:spacing w:line="300" w:lineRule="exact"/>
              <w:jc w:val="left"/>
              <w:rPr>
                <w:rFonts w:ascii="方正书宋_GBK" w:eastAsia="方正书宋_GBK" w:cs="方正书宋_GBK"/>
              </w:rPr>
            </w:pPr>
            <w:r>
              <w:rPr>
                <w:rFonts w:ascii="方正书宋_GBK" w:eastAsia="方正书宋_GBK" w:cs="方正书宋_GBK"/>
              </w:rPr>
              <w:t>105.00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全县公务内网的建设和管理；计算机信息网络建设的技术开发、指导和培训；组织协调各类信息资源的上网和扩充，保障网络和信息安全。</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数据资源丰富、数据正版、权威可靠，用户满意度高。线路畅通，系统运行稳定。</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网络正常运转保障时间</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网络信息安全保障情况</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全县公务内网的建设管理工作完成率</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内容条目更新速度</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机关密码管理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全县党政系统密码通信和密码管理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涉密</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　　密码通信及管理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全县党政系统密码通信和密码管理，党中央、国务院和县党政军领导机关及要害部门的核心机密的传递工作。承担县密码工作小组的日常工作。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涉密</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涉密</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保密管理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承担县委保密委员会的日常工作。全县保密管理工作；全县保密宣传教育、督促检查、协调工作；对重大失泄密事件的组织查处，保密干部培训，保密技术防范。</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涉密</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　　保密工作及保密科技监管</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承担县委保密委员会的日常工作。全县保密管理工作，制定并组织实施保密工作的地方性法规、督促检查、协调工作；对重大失泄密事件的组织查处，保密干部培训，保密技术防范；组织研制、开发、推广保密技术应用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涉密</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涉密</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县委事务管理</w:t>
            </w:r>
          </w:p>
        </w:tc>
        <w:tc>
          <w:tcPr>
            <w:tcW w:w="1276" w:type="dxa"/>
            <w:vAlign w:val="center"/>
          </w:tcPr>
          <w:p>
            <w:pPr>
              <w:spacing w:line="300" w:lineRule="exact"/>
              <w:jc w:val="left"/>
              <w:rPr>
                <w:rFonts w:ascii="方正书宋_GBK" w:eastAsia="方正书宋_GBK" w:cs="方正书宋_GBK"/>
              </w:rPr>
            </w:pPr>
            <w:r>
              <w:rPr>
                <w:rFonts w:ascii="方正书宋_GBK" w:eastAsia="方正书宋_GBK" w:cs="方正书宋_GBK"/>
              </w:rPr>
              <w:t>20.00</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县委系统房产、基建、维修、物资分配和其他行政事务工作；县委领导同志和部分原县级领导同志，以及离退休同志的生活服务和阅文、参加有关活动的事务服务工作。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县委系统房产、基建、维修、物资分配和其他行政事务工作；县委领导同志和部分原县级领导同志，以及离退休同志的生活服务和阅文、参加有关活动的事务服务工作。</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　　综合业务管理</w:t>
            </w:r>
          </w:p>
        </w:tc>
        <w:tc>
          <w:tcPr>
            <w:tcW w:w="1276" w:type="dxa"/>
            <w:vAlign w:val="center"/>
          </w:tcPr>
          <w:p>
            <w:pPr>
              <w:spacing w:line="300" w:lineRule="exact"/>
              <w:jc w:val="left"/>
              <w:rPr>
                <w:rFonts w:ascii="方正书宋_GBK" w:eastAsia="方正书宋_GBK" w:cs="方正书宋_GBK"/>
              </w:rPr>
            </w:pPr>
            <w:r>
              <w:rPr>
                <w:rFonts w:ascii="方正书宋_GBK" w:eastAsia="方正书宋_GBK" w:cs="方正书宋_GBK"/>
              </w:rPr>
              <w:t>20.00</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县统管住宅区公共部位物业管理；县委各住宅区的房地产管理和公共设施维护；县委领导同志、部分原县级领导同志的生活服务和有关事务服务工作。组织协调中央和县暑期办公工作。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保障机关工作任务高质高效</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综合业务管理工作完成率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国防教育管理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负责本行政区国防教育工作计划和实施；了解和掌握国防教育情况，对辖区内国防教育情况予以指导；负责本行政区国防教育工作评比和检查，负责本行政区国防教育经费管理和使用</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探索开展国防教育新方法，提高社会各阶层国防教育水平，增强全民国防教育观念</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　　督导落实</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督导各单位国防教育落实情况，协调开展国防教育系列宣传活动，加强国防教育队伍建设</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增强全民国防观念，提高全民国防意识，完善国防教育体系</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领导满意度</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cs="方正书宋_GBK"/>
              </w:rPr>
              <w:t>85%</w:t>
            </w:r>
            <w:r>
              <w:rPr>
                <w:rFonts w:hint="eastAsia" w:ascii="方正书宋_GBK" w:eastAsia="方正书宋_GBK" w:cs="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cs="方正书宋_GBK"/>
              </w:rPr>
              <w:t xml:space="preserve">75% </w:t>
            </w:r>
            <w:r>
              <w:rPr>
                <w:rFonts w:hint="eastAsia" w:ascii="方正书宋_GBK" w:eastAsia="方正书宋_GBK" w:cs="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cs="方正书宋_GBK"/>
              </w:rPr>
              <w:t>75%</w:t>
            </w:r>
            <w:r>
              <w:rPr>
                <w:rFonts w:hint="eastAsia" w:ascii="方正书宋_GBK" w:eastAsia="方正书宋_GBK" w:cs="方正书宋_GBK"/>
              </w:rPr>
              <w:t>以下</w:t>
            </w:r>
          </w:p>
        </w:tc>
      </w:tr>
    </w:tbl>
    <w:p>
      <w:pPr>
        <w:autoSpaceDE w:val="0"/>
        <w:autoSpaceDN w:val="0"/>
        <w:adjustRightInd w:val="0"/>
        <w:ind w:firstLine="640" w:firstLineChars="200"/>
        <w:jc w:val="left"/>
        <w:rPr>
          <w:rFonts w:ascii="黑体" w:hAnsi="黑体" w:eastAsia="黑体"/>
          <w:sz w:val="32"/>
          <w:szCs w:val="32"/>
        </w:rPr>
      </w:pP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六、政府采购预算情况</w:t>
      </w:r>
    </w:p>
    <w:p>
      <w:pPr>
        <w:ind w:firstLine="688" w:firstLineChars="215"/>
        <w:rPr>
          <w:rFonts w:ascii="仿宋_GB2312" w:eastAsia="仿宋_GB2312"/>
          <w:sz w:val="32"/>
          <w:szCs w:val="32"/>
        </w:rPr>
      </w:pPr>
      <w:r>
        <w:rPr>
          <w:rFonts w:ascii="仿宋_GB2312" w:eastAsia="仿宋_GB2312" w:cs="仿宋_GB2312"/>
          <w:sz w:val="32"/>
          <w:szCs w:val="32"/>
        </w:rPr>
        <w:t>201</w:t>
      </w:r>
      <w:r>
        <w:rPr>
          <w:rFonts w:hint="eastAsia" w:ascii="仿宋_GB2312" w:eastAsia="仿宋_GB2312" w:cs="仿宋_GB2312"/>
          <w:sz w:val="32"/>
          <w:szCs w:val="32"/>
        </w:rPr>
        <w:t>8年我部门安排政府采购预算</w:t>
      </w:r>
      <w:r>
        <w:rPr>
          <w:rFonts w:ascii="仿宋_GB2312" w:eastAsia="仿宋_GB2312" w:cs="仿宋_GB2312"/>
          <w:sz w:val="32"/>
          <w:szCs w:val="32"/>
        </w:rPr>
        <w:t>0</w:t>
      </w:r>
      <w:r>
        <w:rPr>
          <w:rFonts w:hint="eastAsia" w:ascii="仿宋_GB2312" w:eastAsia="仿宋_GB2312" w:cs="仿宋_GB2312"/>
          <w:sz w:val="32"/>
          <w:szCs w:val="32"/>
        </w:rPr>
        <w:t>万元。</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七、国有资产信息</w:t>
      </w:r>
    </w:p>
    <w:p>
      <w:pPr>
        <w:ind w:firstLine="688" w:firstLineChars="215"/>
        <w:rPr>
          <w:rFonts w:ascii="仿宋" w:hAnsi="仿宋" w:eastAsia="仿宋"/>
          <w:sz w:val="32"/>
          <w:szCs w:val="32"/>
        </w:rPr>
      </w:pPr>
      <w:r>
        <w:rPr>
          <w:rFonts w:hint="eastAsia" w:ascii="仿宋" w:hAnsi="仿宋" w:eastAsia="仿宋" w:cs="仿宋"/>
          <w:sz w:val="32"/>
          <w:szCs w:val="32"/>
        </w:rPr>
        <w:t>无极县县委办上年末固定资产金额为</w:t>
      </w:r>
      <w:r>
        <w:rPr>
          <w:rFonts w:hint="eastAsia" w:ascii="仿宋" w:hAnsi="仿宋" w:eastAsia="仿宋" w:cs="仿宋"/>
          <w:color w:val="000000"/>
          <w:sz w:val="32"/>
          <w:szCs w:val="32"/>
        </w:rPr>
        <w:t>596</w:t>
      </w:r>
      <w:r>
        <w:rPr>
          <w:rFonts w:hint="eastAsia" w:ascii="仿宋" w:hAnsi="仿宋" w:eastAsia="仿宋" w:cs="仿宋"/>
          <w:sz w:val="32"/>
          <w:szCs w:val="32"/>
        </w:rPr>
        <w:t>万元（详见下表）。本年度拟购置固定资产金额为</w:t>
      </w:r>
      <w:r>
        <w:rPr>
          <w:rFonts w:ascii="仿宋" w:hAnsi="仿宋" w:eastAsia="仿宋" w:cs="仿宋"/>
          <w:sz w:val="32"/>
          <w:szCs w:val="32"/>
        </w:rPr>
        <w:t>0</w:t>
      </w:r>
      <w:r>
        <w:rPr>
          <w:rFonts w:hint="eastAsia" w:ascii="仿宋" w:hAnsi="仿宋" w:eastAsia="仿宋" w:cs="仿宋"/>
          <w:sz w:val="32"/>
          <w:szCs w:val="32"/>
        </w:rPr>
        <w:t>万元。</w:t>
      </w:r>
    </w:p>
    <w:p>
      <w:pPr>
        <w:autoSpaceDE w:val="0"/>
        <w:autoSpaceDN w:val="0"/>
        <w:adjustRightInd w:val="0"/>
        <w:ind w:left="420" w:leftChars="200" w:firstLine="4000" w:firstLineChars="1250"/>
        <w:rPr>
          <w:rFonts w:ascii="仿宋" w:hAnsi="仿宋" w:eastAsia="仿宋"/>
          <w:sz w:val="32"/>
          <w:szCs w:val="32"/>
        </w:rPr>
      </w:pPr>
      <w:r>
        <w:rPr>
          <w:rFonts w:hint="eastAsia" w:ascii="仿宋" w:hAnsi="仿宋" w:eastAsia="仿宋" w:cs="仿宋"/>
          <w:sz w:val="32"/>
          <w:szCs w:val="32"/>
        </w:rPr>
        <w:t>无极县县委办固定资产占用情况表</w:t>
      </w:r>
    </w:p>
    <w:tbl>
      <w:tblPr>
        <w:tblStyle w:val="4"/>
        <w:tblW w:w="10188" w:type="dxa"/>
        <w:tblInd w:w="1788" w:type="dxa"/>
        <w:tblLayout w:type="fixed"/>
        <w:tblCellMar>
          <w:top w:w="0" w:type="dxa"/>
          <w:left w:w="108" w:type="dxa"/>
          <w:bottom w:w="0" w:type="dxa"/>
          <w:right w:w="108" w:type="dxa"/>
        </w:tblCellMar>
      </w:tblPr>
      <w:tblGrid>
        <w:gridCol w:w="3359"/>
        <w:gridCol w:w="1995"/>
        <w:gridCol w:w="4834"/>
      </w:tblGrid>
      <w:tr>
        <w:tblPrEx>
          <w:tblCellMar>
            <w:top w:w="0" w:type="dxa"/>
            <w:left w:w="108" w:type="dxa"/>
            <w:bottom w:w="0" w:type="dxa"/>
            <w:right w:w="108" w:type="dxa"/>
          </w:tblCellMar>
        </w:tblPrEx>
        <w:trPr>
          <w:trHeight w:val="510" w:hRule="atLeast"/>
        </w:trPr>
        <w:tc>
          <w:tcPr>
            <w:tcW w:w="5354" w:type="dxa"/>
            <w:gridSpan w:val="2"/>
            <w:tcBorders>
              <w:top w:val="nil"/>
              <w:left w:val="nil"/>
              <w:bottom w:val="nil"/>
              <w:right w:val="nil"/>
            </w:tcBorders>
            <w:vAlign w:val="center"/>
          </w:tcPr>
          <w:p>
            <w:pPr>
              <w:widowControl/>
              <w:jc w:val="left"/>
              <w:rPr>
                <w:rFonts w:ascii="宋体"/>
                <w:kern w:val="0"/>
                <w:sz w:val="22"/>
                <w:szCs w:val="22"/>
              </w:rPr>
            </w:pPr>
            <w:r>
              <w:rPr>
                <w:rFonts w:hint="eastAsia" w:ascii="宋体" w:hAnsi="宋体" w:cs="宋体"/>
                <w:kern w:val="0"/>
                <w:sz w:val="22"/>
                <w:szCs w:val="22"/>
              </w:rPr>
              <w:t>编制部门：</w:t>
            </w:r>
            <w:r>
              <w:rPr>
                <w:rFonts w:hint="eastAsia" w:cs="宋体"/>
              </w:rPr>
              <w:t>无极县县委办</w:t>
            </w:r>
          </w:p>
        </w:tc>
        <w:tc>
          <w:tcPr>
            <w:tcW w:w="4834" w:type="dxa"/>
            <w:tcBorders>
              <w:top w:val="nil"/>
              <w:left w:val="nil"/>
              <w:bottom w:val="nil"/>
              <w:right w:val="nil"/>
            </w:tcBorders>
            <w:vAlign w:val="center"/>
          </w:tcPr>
          <w:p>
            <w:pPr>
              <w:widowControl/>
              <w:ind w:firstLine="1100" w:firstLineChars="500"/>
              <w:jc w:val="left"/>
              <w:rPr>
                <w:rFonts w:ascii="宋体"/>
                <w:kern w:val="0"/>
                <w:sz w:val="22"/>
                <w:szCs w:val="22"/>
              </w:rPr>
            </w:pPr>
            <w:r>
              <w:rPr>
                <w:rFonts w:hint="eastAsia" w:ascii="宋体" w:hAnsi="宋体" w:cs="宋体"/>
                <w:kern w:val="0"/>
                <w:sz w:val="22"/>
                <w:szCs w:val="22"/>
              </w:rPr>
              <w:t>截止时间：</w:t>
            </w:r>
            <w:r>
              <w:rPr>
                <w:rFonts w:ascii="宋体" w:hAnsi="宋体" w:cs="宋体"/>
                <w:kern w:val="0"/>
                <w:sz w:val="22"/>
                <w:szCs w:val="22"/>
              </w:rPr>
              <w:t>201</w:t>
            </w:r>
            <w:r>
              <w:rPr>
                <w:rFonts w:hint="eastAsia" w:ascii="宋体" w:hAnsi="宋体" w:cs="宋体"/>
                <w:kern w:val="0"/>
                <w:sz w:val="22"/>
                <w:szCs w:val="22"/>
              </w:rPr>
              <w:t>7年</w:t>
            </w:r>
            <w:r>
              <w:rPr>
                <w:rFonts w:ascii="宋体" w:hAnsi="宋体" w:cs="宋体"/>
                <w:kern w:val="0"/>
                <w:sz w:val="22"/>
                <w:szCs w:val="22"/>
              </w:rPr>
              <w:t>12</w:t>
            </w:r>
            <w:r>
              <w:rPr>
                <w:rFonts w:hint="eastAsia" w:ascii="宋体" w:hAnsi="宋体" w:cs="宋体"/>
                <w:kern w:val="0"/>
                <w:sz w:val="22"/>
                <w:szCs w:val="22"/>
              </w:rPr>
              <w:t>月</w:t>
            </w:r>
            <w:r>
              <w:rPr>
                <w:rFonts w:ascii="宋体" w:hAnsi="宋体" w:cs="宋体"/>
                <w:kern w:val="0"/>
                <w:sz w:val="22"/>
                <w:szCs w:val="22"/>
              </w:rPr>
              <w:t>31</w:t>
            </w:r>
            <w:r>
              <w:rPr>
                <w:rFonts w:hint="eastAsia" w:ascii="宋体" w:hAnsi="宋体" w:cs="宋体"/>
                <w:kern w:val="0"/>
                <w:sz w:val="22"/>
                <w:szCs w:val="22"/>
              </w:rPr>
              <w:t>日</w:t>
            </w:r>
            <w:r>
              <w:rPr>
                <w:rFonts w:ascii="宋体" w:hAnsi="宋体" w:cs="宋体"/>
                <w:kern w:val="0"/>
                <w:sz w:val="22"/>
                <w:szCs w:val="22"/>
              </w:rPr>
              <w:t xml:space="preserve">  </w:t>
            </w:r>
          </w:p>
        </w:tc>
      </w:tr>
      <w:tr>
        <w:tblPrEx>
          <w:tblCellMar>
            <w:top w:w="0" w:type="dxa"/>
            <w:left w:w="108" w:type="dxa"/>
            <w:bottom w:w="0" w:type="dxa"/>
            <w:right w:w="108" w:type="dxa"/>
          </w:tblCellMar>
        </w:tblPrEx>
        <w:trPr>
          <w:trHeight w:val="645" w:hRule="atLeast"/>
        </w:trPr>
        <w:tc>
          <w:tcPr>
            <w:tcW w:w="3359"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b/>
                <w:bCs/>
                <w:kern w:val="0"/>
                <w:sz w:val="22"/>
                <w:szCs w:val="22"/>
              </w:rPr>
            </w:pPr>
            <w:r>
              <w:rPr>
                <w:rFonts w:hint="eastAsia" w:ascii="宋体" w:hAnsi="宋体" w:cs="宋体"/>
                <w:b/>
                <w:bCs/>
                <w:kern w:val="0"/>
                <w:sz w:val="22"/>
                <w:szCs w:val="22"/>
              </w:rPr>
              <w:t>项</w:t>
            </w:r>
            <w:r>
              <w:rPr>
                <w:rFonts w:ascii="宋体" w:hAnsi="宋体" w:cs="宋体"/>
                <w:b/>
                <w:bCs/>
                <w:kern w:val="0"/>
                <w:sz w:val="22"/>
                <w:szCs w:val="22"/>
              </w:rPr>
              <w:t xml:space="preserve">   </w:t>
            </w:r>
            <w:r>
              <w:rPr>
                <w:rFonts w:hint="eastAsia" w:ascii="宋体" w:hAnsi="宋体" w:cs="宋体"/>
                <w:b/>
                <w:bCs/>
                <w:kern w:val="0"/>
                <w:sz w:val="22"/>
                <w:szCs w:val="22"/>
              </w:rPr>
              <w:t>目</w:t>
            </w:r>
          </w:p>
        </w:tc>
        <w:tc>
          <w:tcPr>
            <w:tcW w:w="1995" w:type="dxa"/>
            <w:tcBorders>
              <w:top w:val="single" w:color="auto" w:sz="4" w:space="0"/>
              <w:left w:val="nil"/>
              <w:bottom w:val="single" w:color="auto" w:sz="4" w:space="0"/>
              <w:right w:val="single" w:color="auto" w:sz="4" w:space="0"/>
            </w:tcBorders>
            <w:vAlign w:val="center"/>
          </w:tcPr>
          <w:p>
            <w:pPr>
              <w:widowControl/>
              <w:jc w:val="center"/>
              <w:rPr>
                <w:rFonts w:ascii="宋体"/>
                <w:b/>
                <w:bCs/>
                <w:kern w:val="0"/>
                <w:sz w:val="22"/>
                <w:szCs w:val="22"/>
              </w:rPr>
            </w:pPr>
            <w:r>
              <w:rPr>
                <w:rFonts w:hint="eastAsia" w:ascii="宋体" w:hAnsi="宋体" w:cs="宋体"/>
                <w:b/>
                <w:bCs/>
                <w:kern w:val="0"/>
                <w:sz w:val="22"/>
                <w:szCs w:val="22"/>
              </w:rPr>
              <w:t>数量</w:t>
            </w:r>
          </w:p>
        </w:tc>
        <w:tc>
          <w:tcPr>
            <w:tcW w:w="4834" w:type="dxa"/>
            <w:tcBorders>
              <w:top w:val="single" w:color="auto" w:sz="4" w:space="0"/>
              <w:left w:val="nil"/>
              <w:bottom w:val="single" w:color="auto" w:sz="4" w:space="0"/>
              <w:right w:val="single" w:color="auto" w:sz="4" w:space="0"/>
            </w:tcBorders>
            <w:vAlign w:val="center"/>
          </w:tcPr>
          <w:p>
            <w:pPr>
              <w:widowControl/>
              <w:jc w:val="center"/>
              <w:rPr>
                <w:rFonts w:ascii="宋体"/>
                <w:b/>
                <w:bCs/>
                <w:kern w:val="0"/>
                <w:sz w:val="22"/>
                <w:szCs w:val="22"/>
              </w:rPr>
            </w:pPr>
            <w:r>
              <w:rPr>
                <w:rFonts w:hint="eastAsia" w:ascii="宋体" w:hAnsi="宋体" w:cs="宋体"/>
                <w:b/>
                <w:bCs/>
                <w:kern w:val="0"/>
                <w:sz w:val="22"/>
                <w:szCs w:val="22"/>
              </w:rPr>
              <w:t>价值（金额单位：万元）</w:t>
            </w:r>
          </w:p>
        </w:tc>
      </w:tr>
      <w:tr>
        <w:tblPrEx>
          <w:tblCellMar>
            <w:top w:w="0" w:type="dxa"/>
            <w:left w:w="108" w:type="dxa"/>
            <w:bottom w:w="0" w:type="dxa"/>
            <w:right w:w="108" w:type="dxa"/>
          </w:tblCellMar>
        </w:tblPrEx>
        <w:trPr>
          <w:trHeight w:val="645" w:hRule="atLeast"/>
        </w:trPr>
        <w:tc>
          <w:tcPr>
            <w:tcW w:w="3359" w:type="dxa"/>
            <w:tcBorders>
              <w:top w:val="nil"/>
              <w:left w:val="single" w:color="auto" w:sz="4" w:space="0"/>
              <w:bottom w:val="single" w:color="auto" w:sz="4" w:space="0"/>
              <w:right w:val="single" w:color="auto" w:sz="4" w:space="0"/>
            </w:tcBorders>
            <w:vAlign w:val="center"/>
          </w:tcPr>
          <w:p>
            <w:pPr>
              <w:widowControl/>
              <w:jc w:val="center"/>
              <w:rPr>
                <w:rFonts w:ascii="宋体"/>
                <w:kern w:val="0"/>
                <w:sz w:val="22"/>
                <w:szCs w:val="22"/>
              </w:rPr>
            </w:pPr>
            <w:r>
              <w:rPr>
                <w:rFonts w:hint="eastAsia" w:ascii="宋体" w:hAnsi="宋体" w:cs="宋体"/>
                <w:kern w:val="0"/>
                <w:sz w:val="22"/>
                <w:szCs w:val="22"/>
              </w:rPr>
              <w:t>资产总额</w:t>
            </w:r>
          </w:p>
        </w:tc>
        <w:tc>
          <w:tcPr>
            <w:tcW w:w="1995"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hAnsi="宋体" w:cs="宋体"/>
                <w:kern w:val="0"/>
                <w:sz w:val="22"/>
                <w:szCs w:val="22"/>
              </w:rPr>
              <w:t>——</w:t>
            </w:r>
          </w:p>
        </w:tc>
        <w:tc>
          <w:tcPr>
            <w:tcW w:w="4834"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hint="eastAsia" w:ascii="宋体" w:cs="宋体"/>
                <w:kern w:val="0"/>
                <w:sz w:val="22"/>
                <w:szCs w:val="22"/>
              </w:rPr>
              <w:t>596</w:t>
            </w:r>
          </w:p>
        </w:tc>
      </w:tr>
      <w:tr>
        <w:tblPrEx>
          <w:tblCellMar>
            <w:top w:w="0" w:type="dxa"/>
            <w:left w:w="108" w:type="dxa"/>
            <w:bottom w:w="0" w:type="dxa"/>
            <w:right w:w="108" w:type="dxa"/>
          </w:tblCellMar>
        </w:tblPrEx>
        <w:trPr>
          <w:trHeight w:val="645" w:hRule="atLeast"/>
        </w:trPr>
        <w:tc>
          <w:tcPr>
            <w:tcW w:w="3359"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1</w:t>
            </w:r>
            <w:r>
              <w:rPr>
                <w:rFonts w:hint="eastAsia" w:ascii="宋体" w:hAnsi="宋体" w:cs="宋体"/>
                <w:kern w:val="0"/>
                <w:sz w:val="22"/>
                <w:szCs w:val="22"/>
              </w:rPr>
              <w:t>、房屋（平方米）</w:t>
            </w:r>
          </w:p>
        </w:tc>
        <w:tc>
          <w:tcPr>
            <w:tcW w:w="1995"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cs="宋体"/>
                <w:kern w:val="0"/>
                <w:sz w:val="22"/>
                <w:szCs w:val="22"/>
              </w:rPr>
              <w:t>4463</w:t>
            </w:r>
          </w:p>
        </w:tc>
        <w:tc>
          <w:tcPr>
            <w:tcW w:w="4834"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cs="宋体"/>
                <w:kern w:val="0"/>
                <w:sz w:val="22"/>
                <w:szCs w:val="22"/>
              </w:rPr>
              <w:t>50</w:t>
            </w:r>
          </w:p>
        </w:tc>
      </w:tr>
      <w:tr>
        <w:tblPrEx>
          <w:tblCellMar>
            <w:top w:w="0" w:type="dxa"/>
            <w:left w:w="108" w:type="dxa"/>
            <w:bottom w:w="0" w:type="dxa"/>
            <w:right w:w="108" w:type="dxa"/>
          </w:tblCellMar>
        </w:tblPrEx>
        <w:trPr>
          <w:trHeight w:val="645" w:hRule="atLeast"/>
        </w:trPr>
        <w:tc>
          <w:tcPr>
            <w:tcW w:w="3359"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 xml:space="preserve">  </w:t>
            </w:r>
            <w:r>
              <w:rPr>
                <w:rFonts w:hint="eastAsia" w:ascii="宋体" w:hAnsi="宋体" w:cs="宋体"/>
                <w:kern w:val="0"/>
                <w:sz w:val="22"/>
                <w:szCs w:val="22"/>
              </w:rPr>
              <w:t>其中：办公用房（平方米）</w:t>
            </w:r>
          </w:p>
        </w:tc>
        <w:tc>
          <w:tcPr>
            <w:tcW w:w="1995"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cs="宋体"/>
                <w:kern w:val="0"/>
                <w:sz w:val="22"/>
                <w:szCs w:val="22"/>
              </w:rPr>
              <w:t>4463</w:t>
            </w:r>
          </w:p>
        </w:tc>
        <w:tc>
          <w:tcPr>
            <w:tcW w:w="4834"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cs="宋体"/>
                <w:kern w:val="0"/>
                <w:sz w:val="22"/>
                <w:szCs w:val="22"/>
              </w:rPr>
              <w:t>50</w:t>
            </w:r>
          </w:p>
        </w:tc>
      </w:tr>
      <w:tr>
        <w:tblPrEx>
          <w:tblCellMar>
            <w:top w:w="0" w:type="dxa"/>
            <w:left w:w="108" w:type="dxa"/>
            <w:bottom w:w="0" w:type="dxa"/>
            <w:right w:w="108" w:type="dxa"/>
          </w:tblCellMar>
        </w:tblPrEx>
        <w:trPr>
          <w:trHeight w:val="645" w:hRule="atLeast"/>
        </w:trPr>
        <w:tc>
          <w:tcPr>
            <w:tcW w:w="3359"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2</w:t>
            </w:r>
            <w:r>
              <w:rPr>
                <w:rFonts w:hint="eastAsia" w:ascii="宋体" w:hAnsi="宋体" w:cs="宋体"/>
                <w:kern w:val="0"/>
                <w:sz w:val="22"/>
                <w:szCs w:val="22"/>
              </w:rPr>
              <w:t>、车辆（台、辆）</w:t>
            </w:r>
          </w:p>
        </w:tc>
        <w:tc>
          <w:tcPr>
            <w:tcW w:w="1995"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cs="宋体"/>
                <w:kern w:val="0"/>
                <w:sz w:val="22"/>
                <w:szCs w:val="22"/>
              </w:rPr>
              <w:t>9</w:t>
            </w:r>
          </w:p>
        </w:tc>
        <w:tc>
          <w:tcPr>
            <w:tcW w:w="4834"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cs="宋体"/>
                <w:kern w:val="0"/>
                <w:sz w:val="22"/>
                <w:szCs w:val="22"/>
              </w:rPr>
              <w:t>220</w:t>
            </w:r>
          </w:p>
        </w:tc>
      </w:tr>
      <w:tr>
        <w:tblPrEx>
          <w:tblCellMar>
            <w:top w:w="0" w:type="dxa"/>
            <w:left w:w="108" w:type="dxa"/>
            <w:bottom w:w="0" w:type="dxa"/>
            <w:right w:w="108" w:type="dxa"/>
          </w:tblCellMar>
        </w:tblPrEx>
        <w:trPr>
          <w:trHeight w:val="645" w:hRule="atLeast"/>
        </w:trPr>
        <w:tc>
          <w:tcPr>
            <w:tcW w:w="3359"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3</w:t>
            </w:r>
            <w:r>
              <w:rPr>
                <w:rFonts w:hint="eastAsia" w:ascii="宋体" w:hAnsi="宋体" w:cs="宋体"/>
                <w:kern w:val="0"/>
                <w:sz w:val="22"/>
                <w:szCs w:val="22"/>
              </w:rPr>
              <w:t>、单价在</w:t>
            </w:r>
            <w:r>
              <w:rPr>
                <w:rFonts w:ascii="宋体" w:hAnsi="宋体" w:cs="宋体"/>
                <w:kern w:val="0"/>
                <w:sz w:val="22"/>
                <w:szCs w:val="22"/>
              </w:rPr>
              <w:t>20</w:t>
            </w:r>
            <w:r>
              <w:rPr>
                <w:rFonts w:hint="eastAsia" w:ascii="宋体" w:hAnsi="宋体" w:cs="宋体"/>
                <w:kern w:val="0"/>
                <w:sz w:val="22"/>
                <w:szCs w:val="22"/>
              </w:rPr>
              <w:t>万元以上设备</w:t>
            </w:r>
          </w:p>
        </w:tc>
        <w:tc>
          <w:tcPr>
            <w:tcW w:w="1995"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hAnsi="宋体" w:cs="宋体"/>
                <w:kern w:val="0"/>
                <w:sz w:val="22"/>
                <w:szCs w:val="22"/>
              </w:rPr>
              <w:t>——</w:t>
            </w:r>
          </w:p>
        </w:tc>
        <w:tc>
          <w:tcPr>
            <w:tcW w:w="4834" w:type="dxa"/>
            <w:tcBorders>
              <w:top w:val="nil"/>
              <w:left w:val="nil"/>
              <w:bottom w:val="single" w:color="auto" w:sz="4" w:space="0"/>
              <w:right w:val="single" w:color="auto" w:sz="4" w:space="0"/>
            </w:tcBorders>
            <w:vAlign w:val="center"/>
          </w:tcPr>
          <w:p>
            <w:pPr>
              <w:widowControl/>
              <w:jc w:val="center"/>
              <w:rPr>
                <w:rFonts w:ascii="宋体"/>
                <w:kern w:val="0"/>
                <w:sz w:val="22"/>
                <w:szCs w:val="22"/>
              </w:rPr>
            </w:pPr>
          </w:p>
        </w:tc>
      </w:tr>
      <w:tr>
        <w:tblPrEx>
          <w:tblCellMar>
            <w:top w:w="0" w:type="dxa"/>
            <w:left w:w="108" w:type="dxa"/>
            <w:bottom w:w="0" w:type="dxa"/>
            <w:right w:w="108" w:type="dxa"/>
          </w:tblCellMar>
        </w:tblPrEx>
        <w:trPr>
          <w:trHeight w:val="645" w:hRule="atLeast"/>
        </w:trPr>
        <w:tc>
          <w:tcPr>
            <w:tcW w:w="3359"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4</w:t>
            </w:r>
            <w:r>
              <w:rPr>
                <w:rFonts w:hint="eastAsia" w:ascii="宋体" w:hAnsi="宋体" w:cs="宋体"/>
                <w:kern w:val="0"/>
                <w:sz w:val="22"/>
                <w:szCs w:val="22"/>
              </w:rPr>
              <w:t>、其他固定资产</w:t>
            </w:r>
          </w:p>
        </w:tc>
        <w:tc>
          <w:tcPr>
            <w:tcW w:w="1995"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hAnsi="宋体" w:cs="宋体"/>
                <w:kern w:val="0"/>
                <w:sz w:val="22"/>
                <w:szCs w:val="22"/>
              </w:rPr>
              <w:t>——</w:t>
            </w:r>
          </w:p>
        </w:tc>
        <w:tc>
          <w:tcPr>
            <w:tcW w:w="4834"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hint="eastAsia" w:ascii="宋体" w:cs="宋体"/>
                <w:kern w:val="0"/>
                <w:sz w:val="22"/>
                <w:szCs w:val="22"/>
              </w:rPr>
              <w:t>326</w:t>
            </w:r>
          </w:p>
        </w:tc>
      </w:tr>
    </w:tbl>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八、名词解释</w:t>
      </w:r>
    </w:p>
    <w:p>
      <w:pPr>
        <w:ind w:firstLine="720"/>
        <w:rPr>
          <w:rFonts w:ascii="楷体_GB2312" w:hAnsi="楷体_GB2312" w:eastAsia="楷体_GB2312"/>
          <w:b/>
          <w:bCs/>
          <w:sz w:val="32"/>
          <w:szCs w:val="32"/>
        </w:rPr>
      </w:pPr>
      <w:r>
        <w:rPr>
          <w:rFonts w:ascii="楷体_GB2312" w:hAnsi="楷体_GB2312" w:eastAsia="楷体_GB2312" w:cs="楷体_GB2312"/>
          <w:b/>
          <w:bCs/>
          <w:sz w:val="32"/>
          <w:szCs w:val="32"/>
        </w:rPr>
        <w:t>1.</w:t>
      </w:r>
      <w:r>
        <w:rPr>
          <w:rFonts w:hint="eastAsia" w:ascii="楷体_GB2312" w:hAnsi="楷体_GB2312" w:eastAsia="楷体_GB2312" w:cs="楷体_GB2312"/>
          <w:b/>
          <w:bCs/>
          <w:sz w:val="32"/>
          <w:szCs w:val="32"/>
        </w:rPr>
        <w:t>财政拨款收入</w:t>
      </w:r>
    </w:p>
    <w:p>
      <w:pPr>
        <w:ind w:firstLine="720"/>
        <w:rPr>
          <w:rFonts w:ascii="仿宋_GB2312" w:hAnsi="仿宋_GB2312" w:eastAsia="仿宋_GB2312"/>
          <w:sz w:val="32"/>
          <w:szCs w:val="32"/>
        </w:rPr>
      </w:pPr>
      <w:r>
        <w:rPr>
          <w:rFonts w:hint="eastAsia" w:ascii="仿宋_GB2312" w:hAnsi="仿宋_GB2312" w:eastAsia="仿宋_GB2312" w:cs="仿宋_GB2312"/>
          <w:sz w:val="32"/>
          <w:szCs w:val="32"/>
        </w:rPr>
        <w:t>财政拨款收入是指财政部门按照批复的预算核拨给单位的财政预算资金。</w:t>
      </w:r>
    </w:p>
    <w:p>
      <w:pPr>
        <w:ind w:firstLine="720"/>
        <w:rPr>
          <w:rFonts w:ascii="楷体_GB2312" w:hAnsi="楷体_GB2312" w:eastAsia="楷体_GB2312"/>
          <w:b/>
          <w:bCs/>
          <w:sz w:val="32"/>
          <w:szCs w:val="32"/>
        </w:rPr>
      </w:pPr>
      <w:r>
        <w:rPr>
          <w:rFonts w:ascii="楷体_GB2312" w:hAnsi="楷体_GB2312" w:eastAsia="楷体_GB2312" w:cs="楷体_GB2312"/>
          <w:b/>
          <w:bCs/>
          <w:sz w:val="32"/>
          <w:szCs w:val="32"/>
        </w:rPr>
        <w:t>2.</w:t>
      </w:r>
      <w:r>
        <w:rPr>
          <w:rFonts w:hint="eastAsia" w:ascii="楷体_GB2312" w:hAnsi="楷体_GB2312" w:eastAsia="楷体_GB2312" w:cs="楷体_GB2312"/>
          <w:b/>
          <w:bCs/>
          <w:sz w:val="32"/>
          <w:szCs w:val="32"/>
        </w:rPr>
        <w:t>基本支出、项目支出</w:t>
      </w:r>
    </w:p>
    <w:p>
      <w:pPr>
        <w:ind w:firstLine="720"/>
        <w:rPr>
          <w:rFonts w:ascii="仿宋_GB2312" w:hAnsi="仿宋_GB2312" w:eastAsia="仿宋_GB2312"/>
          <w:sz w:val="32"/>
          <w:szCs w:val="32"/>
        </w:rPr>
      </w:pPr>
      <w:r>
        <w:rPr>
          <w:rFonts w:hint="eastAsia" w:ascii="仿宋_GB2312" w:hAnsi="仿宋_GB2312" w:eastAsia="仿宋_GB2312" w:cs="仿宋_GB2312"/>
          <w:sz w:val="32"/>
          <w:szCs w:val="32"/>
        </w:rPr>
        <w:t>基本支出是指预算单位为保障机构正常运转和完成日常工作而发生的各项支出，包括人员经费和日常公用经费。</w:t>
      </w:r>
    </w:p>
    <w:p>
      <w:pPr>
        <w:ind w:firstLine="720"/>
        <w:rPr>
          <w:rFonts w:ascii="仿宋_GB2312" w:hAnsi="仿宋_GB2312" w:eastAsia="仿宋_GB2312"/>
          <w:sz w:val="32"/>
          <w:szCs w:val="32"/>
        </w:rPr>
      </w:pPr>
      <w:r>
        <w:rPr>
          <w:rFonts w:hint="eastAsia" w:ascii="仿宋_GB2312" w:hAnsi="仿宋_GB2312" w:eastAsia="仿宋_GB2312" w:cs="仿宋_GB2312"/>
          <w:sz w:val="32"/>
          <w:szCs w:val="32"/>
        </w:rPr>
        <w:t>项目支出是指在基本支出之外完成特定行政任务和事业发展目标所发生的支出。</w:t>
      </w:r>
    </w:p>
    <w:p>
      <w:pPr>
        <w:ind w:firstLine="720"/>
        <w:rPr>
          <w:rFonts w:ascii="楷体_GB2312" w:hAnsi="楷体_GB2312" w:eastAsia="楷体_GB2312"/>
          <w:b/>
          <w:bCs/>
          <w:sz w:val="32"/>
          <w:szCs w:val="32"/>
        </w:rPr>
      </w:pPr>
      <w:r>
        <w:rPr>
          <w:rFonts w:ascii="楷体_GB2312" w:hAnsi="楷体_GB2312" w:eastAsia="楷体_GB2312" w:cs="楷体_GB2312"/>
          <w:b/>
          <w:bCs/>
          <w:sz w:val="32"/>
          <w:szCs w:val="32"/>
        </w:rPr>
        <w:t>3.</w:t>
      </w:r>
      <w:r>
        <w:rPr>
          <w:rFonts w:hint="eastAsia" w:ascii="楷体_GB2312" w:hAnsi="楷体_GB2312" w:eastAsia="楷体_GB2312" w:cs="楷体_GB2312"/>
          <w:b/>
          <w:bCs/>
          <w:sz w:val="32"/>
          <w:szCs w:val="32"/>
        </w:rPr>
        <w:t>一般公共服务支出</w:t>
      </w:r>
    </w:p>
    <w:p>
      <w:pPr>
        <w:ind w:firstLine="720"/>
        <w:rPr>
          <w:rFonts w:ascii="仿宋_GB2312" w:hAnsi="仿宋_GB2312" w:eastAsia="仿宋_GB2312"/>
          <w:sz w:val="32"/>
          <w:szCs w:val="32"/>
        </w:rPr>
      </w:pPr>
      <w:r>
        <w:rPr>
          <w:rFonts w:hint="eastAsia" w:ascii="仿宋_GB2312" w:hAnsi="仿宋_GB2312" w:eastAsia="仿宋_GB2312" w:cs="仿宋_GB2312"/>
          <w:sz w:val="32"/>
          <w:szCs w:val="32"/>
        </w:rPr>
        <w:t>一般公共服务支出是指反映预算单位一般公共服务的支出。</w:t>
      </w:r>
    </w:p>
    <w:p>
      <w:pPr>
        <w:ind w:firstLine="720"/>
        <w:rPr>
          <w:rFonts w:ascii="楷体_GB2312" w:hAnsi="楷体_GB2312" w:eastAsia="楷体_GB2312"/>
          <w:b/>
          <w:bCs/>
          <w:sz w:val="32"/>
          <w:szCs w:val="32"/>
        </w:rPr>
      </w:pPr>
      <w:r>
        <w:rPr>
          <w:rFonts w:ascii="楷体_GB2312" w:hAnsi="楷体_GB2312" w:eastAsia="楷体_GB2312" w:cs="楷体_GB2312"/>
          <w:b/>
          <w:bCs/>
          <w:sz w:val="32"/>
          <w:szCs w:val="32"/>
        </w:rPr>
        <w:t>4.</w:t>
      </w:r>
      <w:r>
        <w:rPr>
          <w:rFonts w:hint="eastAsia" w:ascii="楷体_GB2312" w:hAnsi="楷体_GB2312" w:eastAsia="楷体_GB2312" w:cs="楷体_GB2312"/>
          <w:b/>
          <w:bCs/>
          <w:sz w:val="32"/>
          <w:szCs w:val="32"/>
        </w:rPr>
        <w:t>文化体育与传媒支出</w:t>
      </w:r>
    </w:p>
    <w:p>
      <w:pPr>
        <w:ind w:firstLine="720"/>
        <w:rPr>
          <w:rFonts w:ascii="仿宋_GB2312" w:hAnsi="仿宋_GB2312" w:eastAsia="仿宋_GB2312"/>
          <w:sz w:val="32"/>
          <w:szCs w:val="32"/>
        </w:rPr>
      </w:pPr>
      <w:r>
        <w:rPr>
          <w:rFonts w:hint="eastAsia" w:ascii="仿宋_GB2312" w:hAnsi="仿宋_GB2312" w:eastAsia="仿宋_GB2312" w:cs="仿宋_GB2312"/>
          <w:sz w:val="32"/>
          <w:szCs w:val="32"/>
        </w:rPr>
        <w:t>文化体育与传媒支出是指反映预算单位在文化、文物、体育、广播影视、新闻出版等方面的支出。</w:t>
      </w:r>
    </w:p>
    <w:p>
      <w:pPr>
        <w:ind w:firstLine="720"/>
        <w:rPr>
          <w:rFonts w:ascii="楷体_GB2312" w:hAnsi="楷体_GB2312" w:eastAsia="楷体_GB2312"/>
          <w:b/>
          <w:bCs/>
          <w:sz w:val="32"/>
          <w:szCs w:val="32"/>
        </w:rPr>
      </w:pPr>
      <w:r>
        <w:rPr>
          <w:rFonts w:ascii="楷体_GB2312" w:hAnsi="楷体_GB2312" w:eastAsia="楷体_GB2312" w:cs="楷体_GB2312"/>
          <w:b/>
          <w:bCs/>
          <w:sz w:val="32"/>
          <w:szCs w:val="32"/>
        </w:rPr>
        <w:t>5.</w:t>
      </w:r>
      <w:r>
        <w:rPr>
          <w:rFonts w:hint="eastAsia" w:ascii="楷体_GB2312" w:hAnsi="楷体_GB2312" w:eastAsia="楷体_GB2312" w:cs="楷体_GB2312"/>
          <w:b/>
          <w:bCs/>
          <w:sz w:val="32"/>
          <w:szCs w:val="32"/>
        </w:rPr>
        <w:t>社会保障和就业支出</w:t>
      </w:r>
    </w:p>
    <w:p>
      <w:pPr>
        <w:ind w:firstLine="720"/>
        <w:rPr>
          <w:rFonts w:ascii="仿宋_GB2312" w:hAnsi="仿宋_GB2312" w:eastAsia="仿宋_GB2312"/>
          <w:sz w:val="32"/>
          <w:szCs w:val="32"/>
        </w:rPr>
      </w:pPr>
      <w:r>
        <w:rPr>
          <w:rFonts w:hint="eastAsia" w:ascii="仿宋_GB2312" w:hAnsi="仿宋_GB2312" w:eastAsia="仿宋_GB2312" w:cs="仿宋_GB2312"/>
          <w:sz w:val="32"/>
          <w:szCs w:val="32"/>
        </w:rPr>
        <w:t>社会保障和就业支出是指预算单位在社会保障和就业方面的支出。</w:t>
      </w:r>
    </w:p>
    <w:p>
      <w:pPr>
        <w:ind w:firstLine="720"/>
        <w:rPr>
          <w:rFonts w:ascii="楷体_GB2312" w:hAnsi="楷体_GB2312" w:eastAsia="楷体_GB2312"/>
          <w:b/>
          <w:bCs/>
          <w:sz w:val="32"/>
          <w:szCs w:val="32"/>
        </w:rPr>
      </w:pPr>
      <w:r>
        <w:rPr>
          <w:rFonts w:ascii="楷体_GB2312" w:hAnsi="楷体_GB2312" w:eastAsia="楷体_GB2312" w:cs="楷体_GB2312"/>
          <w:b/>
          <w:bCs/>
          <w:sz w:val="32"/>
          <w:szCs w:val="32"/>
        </w:rPr>
        <w:t>6.</w:t>
      </w:r>
      <w:r>
        <w:rPr>
          <w:rFonts w:hint="eastAsia" w:ascii="楷体_GB2312" w:hAnsi="楷体_GB2312" w:eastAsia="楷体_GB2312" w:cs="楷体_GB2312"/>
          <w:b/>
          <w:bCs/>
          <w:sz w:val="32"/>
          <w:szCs w:val="32"/>
        </w:rPr>
        <w:t>机关运行经费</w:t>
      </w:r>
    </w:p>
    <w:p>
      <w:pPr>
        <w:ind w:firstLine="720"/>
        <w:rPr>
          <w:rFonts w:ascii="仿宋_GB2312" w:hAnsi="仿宋_GB2312" w:eastAsia="仿宋_GB2312"/>
          <w:sz w:val="32"/>
          <w:szCs w:val="32"/>
        </w:rPr>
      </w:pPr>
      <w:r>
        <w:rPr>
          <w:rFonts w:hint="eastAsia" w:ascii="仿宋_GB2312" w:hAnsi="仿宋_GB2312" w:eastAsia="仿宋_GB2312" w:cs="仿宋_GB2312"/>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numPr>
          <w:ilvl w:val="0"/>
          <w:numId w:val="4"/>
        </w:numPr>
        <w:ind w:firstLine="720"/>
        <w:rPr>
          <w:rFonts w:ascii="楷体_GB2312" w:hAnsi="楷体_GB2312" w:eastAsia="楷体_GB2312"/>
          <w:b/>
          <w:bCs/>
          <w:sz w:val="32"/>
          <w:szCs w:val="32"/>
        </w:rPr>
      </w:pPr>
      <w:r>
        <w:rPr>
          <w:rFonts w:hint="eastAsia" w:ascii="楷体_GB2312" w:hAnsi="楷体_GB2312" w:eastAsia="楷体_GB2312" w:cs="楷体_GB2312"/>
          <w:b/>
          <w:bCs/>
          <w:sz w:val="32"/>
          <w:szCs w:val="32"/>
        </w:rPr>
        <w:t>“三公”经费</w:t>
      </w:r>
    </w:p>
    <w:p>
      <w:pPr>
        <w:ind w:firstLine="640" w:firstLineChars="200"/>
        <w:rPr>
          <w:rFonts w:ascii="仿宋_GB2312" w:hAnsi="仿宋_GB2312" w:eastAsia="仿宋_GB2312"/>
          <w:sz w:val="32"/>
          <w:szCs w:val="32"/>
        </w:rPr>
      </w:pPr>
      <w:r>
        <w:rPr>
          <w:rFonts w:hint="eastAsia" w:ascii="仿宋_GB2312" w:hAnsi="仿宋_GB2312" w:eastAsia="仿宋_GB2312" w:cs="仿宋_GB2312"/>
          <w:sz w:val="32"/>
          <w:szCs w:val="32"/>
        </w:rPr>
        <w:t>“三公”经费是指因公出国（境）费、公务用车购置及运行维护费和公务接待费。</w:t>
      </w:r>
    </w:p>
    <w:p>
      <w:pPr>
        <w:ind w:firstLine="720"/>
        <w:rPr>
          <w:rFonts w:ascii="仿宋_GB2312" w:hAnsi="仿宋_GB2312" w:eastAsia="仿宋_GB2312"/>
          <w:sz w:val="32"/>
          <w:szCs w:val="32"/>
        </w:rPr>
      </w:pPr>
      <w:r>
        <w:rPr>
          <w:rFonts w:hint="eastAsia" w:ascii="仿宋_GB2312" w:hAnsi="仿宋_GB2312" w:eastAsia="仿宋_GB2312" w:cs="仿宋_GB2312"/>
          <w:sz w:val="32"/>
          <w:szCs w:val="32"/>
        </w:rPr>
        <w:t>因公出国（境）费是指单位公务出国（境）的国际旅费、国外城市间交通费、住宿费、伙食费、培训费、公杂费等支出。</w:t>
      </w:r>
    </w:p>
    <w:p>
      <w:pPr>
        <w:ind w:firstLine="720"/>
        <w:rPr>
          <w:rFonts w:ascii="仿宋_GB2312" w:hAnsi="仿宋_GB2312" w:eastAsia="仿宋_GB2312"/>
          <w:sz w:val="32"/>
          <w:szCs w:val="32"/>
        </w:rPr>
      </w:pPr>
      <w:r>
        <w:rPr>
          <w:rFonts w:hint="eastAsia" w:ascii="仿宋_GB2312" w:hAnsi="仿宋_GB2312" w:eastAsia="仿宋_GB2312" w:cs="仿宋_GB2312"/>
          <w:sz w:val="32"/>
          <w:szCs w:val="32"/>
        </w:rPr>
        <w:t>公务用车购置及运行维护费是指单位购置公务用车及公务用车租用费、燃料费、维修费、路桥费、保险费等支出。</w:t>
      </w:r>
    </w:p>
    <w:p>
      <w:pPr>
        <w:ind w:firstLine="720"/>
        <w:rPr>
          <w:rFonts w:ascii="仿宋_GB2312" w:hAnsi="仿宋_GB2312" w:eastAsia="仿宋_GB2312"/>
          <w:sz w:val="32"/>
          <w:szCs w:val="32"/>
        </w:rPr>
      </w:pPr>
      <w:r>
        <w:rPr>
          <w:rFonts w:hint="eastAsia" w:ascii="仿宋_GB2312" w:hAnsi="仿宋_GB2312" w:eastAsia="仿宋_GB2312" w:cs="仿宋_GB2312"/>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九、其他需要说明的事项</w:t>
      </w:r>
    </w:p>
    <w:p>
      <w:pPr>
        <w:ind w:firstLine="688" w:firstLineChars="215"/>
        <w:rPr>
          <w:rFonts w:ascii="??" w:hAnsi="??" w:cs="??"/>
          <w:sz w:val="32"/>
          <w:szCs w:val="32"/>
        </w:rPr>
      </w:pPr>
      <w:r>
        <w:rPr>
          <w:rFonts w:hint="eastAsia" w:ascii="宋体" w:hAnsi="宋体" w:cs="宋体"/>
          <w:sz w:val="32"/>
          <w:szCs w:val="32"/>
        </w:rPr>
        <w:t>我部门无其他需要说明的事项。</w:t>
      </w:r>
    </w:p>
    <w:sectPr>
      <w:headerReference r:id="rId5" w:type="first"/>
      <w:footerReference r:id="rId8" w:type="first"/>
      <w:headerReference r:id="rId3" w:type="default"/>
      <w:footerReference r:id="rId6" w:type="default"/>
      <w:headerReference r:id="rId4" w:type="even"/>
      <w:footerReference r:id="rId7" w:type="even"/>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
    <w:altName w:val="Times New Roman"/>
    <w:panose1 w:val="00000000000000000000"/>
    <w:charset w:val="00"/>
    <w:family w:val="auto"/>
    <w:pitch w:val="default"/>
    <w:sig w:usb0="00000000" w:usb1="00000000" w:usb2="00000000" w:usb3="00000000" w:csb0="0000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_GBK">
    <w:altName w:val="Times New Roman"/>
    <w:panose1 w:val="00000000000000000000"/>
    <w:charset w:val="00"/>
    <w:family w:val="auto"/>
    <w:pitch w:val="default"/>
    <w:sig w:usb0="00000000" w:usb1="00000000" w:usb2="00000000" w:usb3="00000000" w:csb0="00000001" w:csb1="00000000"/>
  </w:font>
  <w:font w:name="方正书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4"/>
    <w:multiLevelType w:val="singleLevel"/>
    <w:tmpl w:val="00000004"/>
    <w:lvl w:ilvl="0" w:tentative="0">
      <w:start w:val="4"/>
      <w:numFmt w:val="chineseCounting"/>
      <w:suff w:val="nothing"/>
      <w:lvlText w:val="%1、"/>
      <w:lvlJc w:val="left"/>
    </w:lvl>
  </w:abstractNum>
  <w:abstractNum w:abstractNumId="1">
    <w:nsid w:val="0000000B"/>
    <w:multiLevelType w:val="singleLevel"/>
    <w:tmpl w:val="0000000B"/>
    <w:lvl w:ilvl="0" w:tentative="0">
      <w:start w:val="1"/>
      <w:numFmt w:val="chineseCounting"/>
      <w:suff w:val="nothing"/>
      <w:lvlText w:val="（%1）"/>
      <w:lvlJc w:val="left"/>
    </w:lvl>
  </w:abstractNum>
  <w:abstractNum w:abstractNumId="2">
    <w:nsid w:val="0000000C"/>
    <w:multiLevelType w:val="singleLevel"/>
    <w:tmpl w:val="0000000C"/>
    <w:lvl w:ilvl="0" w:tentative="0">
      <w:start w:val="2"/>
      <w:numFmt w:val="chineseCounting"/>
      <w:suff w:val="nothing"/>
      <w:lvlText w:val="（%1）"/>
      <w:lvlJc w:val="left"/>
    </w:lvl>
  </w:abstractNum>
  <w:abstractNum w:abstractNumId="3">
    <w:nsid w:val="0000000D"/>
    <w:multiLevelType w:val="singleLevel"/>
    <w:tmpl w:val="0000000D"/>
    <w:lvl w:ilvl="0" w:tentative="0">
      <w:start w:val="7"/>
      <w:numFmt w:val="decimal"/>
      <w:suff w:val="nothing"/>
      <w:lvlText w:val="%1."/>
      <w:lvlJc w:val="left"/>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40573"/>
    <w:rsid w:val="003034E5"/>
    <w:rsid w:val="00820386"/>
    <w:rsid w:val="00B40573"/>
    <w:rsid w:val="322B50D9"/>
    <w:rsid w:val="332D1A09"/>
    <w:rsid w:val="45F70813"/>
    <w:rsid w:val="4B5D0C5B"/>
    <w:rsid w:val="54837CCB"/>
    <w:rsid w:val="54AA5DFF"/>
    <w:rsid w:val="613F4A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6"/>
    <w:qFormat/>
    <w:uiPriority w:val="0"/>
    <w:pPr>
      <w:tabs>
        <w:tab w:val="center" w:pos="4153"/>
        <w:tab w:val="right" w:pos="8306"/>
      </w:tabs>
      <w:snapToGrid w:val="0"/>
      <w:jc w:val="left"/>
    </w:pPr>
    <w:rPr>
      <w:sz w:val="18"/>
      <w:szCs w:val="18"/>
    </w:rPr>
  </w:style>
  <w:style w:type="paragraph" w:styleId="3">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脚 字符"/>
    <w:link w:val="2"/>
    <w:semiHidden/>
    <w:qFormat/>
    <w:uiPriority w:val="0"/>
    <w:rPr>
      <w:rFonts w:ascii="Times New Roman" w:hAnsi="Times New Roman" w:eastAsia="宋体" w:cs="Times New Roman"/>
      <w:sz w:val="18"/>
      <w:szCs w:val="18"/>
    </w:rPr>
  </w:style>
  <w:style w:type="character" w:customStyle="1" w:styleId="7">
    <w:name w:val="页眉 字符"/>
    <w:link w:val="3"/>
    <w:semiHidden/>
    <w:qFormat/>
    <w:uiPriority w:val="0"/>
    <w:rPr>
      <w:rFonts w:ascii="Times New Roman" w:hAnsi="Times New Roman" w:eastAsia="宋体" w:cs="Times New Roman"/>
      <w:sz w:val="18"/>
      <w:szCs w:val="18"/>
    </w:rPr>
  </w:style>
  <w:style w:type="paragraph" w:customStyle="1" w:styleId="8">
    <w:name w:val="List Paragraph1"/>
    <w:basedOn w:val="1"/>
    <w:qFormat/>
    <w:uiPriority w:val="0"/>
    <w:pPr>
      <w:ind w:firstLine="420" w:firstLineChars="200"/>
    </w:pPr>
  </w:style>
  <w:style w:type="paragraph" w:customStyle="1" w:styleId="9">
    <w:name w:val="[Normal]"/>
    <w:qFormat/>
    <w:uiPriority w:val="0"/>
    <w:rPr>
      <w:rFonts w:ascii="宋体" w:hAnsi="宋体" w:eastAsia="宋体" w:cs="宋体"/>
      <w:sz w:val="24"/>
      <w:szCs w:val="2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25</Pages>
  <Words>1687</Words>
  <Characters>9616</Characters>
  <Lines>80</Lines>
  <Paragraphs>22</Paragraphs>
  <TotalTime>2</TotalTime>
  <ScaleCrop>false</ScaleCrop>
  <LinksUpToDate>false</LinksUpToDate>
  <CharactersWithSpaces>11281</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2017-08-22T17:42:00Z</dcterms:created>
  <dc:creator>微软用户</dc:creator>
  <cp:lastModifiedBy>浮生</cp:lastModifiedBy>
  <dcterms:modified xsi:type="dcterms:W3CDTF">2024-12-06T03:22:56Z</dcterms:modified>
  <dc:title>lt</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5052806051FD4D538053B1684A5613F5</vt:lpwstr>
  </property>
</Properties>
</file>