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jc w:val="center"/>
        <w:rPr>
          <w:rFonts w:ascii="宋体" w:hAnsi="宋体" w:cs="宋体"/>
          <w:b/>
          <w:bCs/>
          <w:sz w:val="44"/>
          <w:szCs w:val="44"/>
        </w:rPr>
      </w:pPr>
      <w:r>
        <w:rPr>
          <w:rFonts w:hint="eastAsia" w:ascii="宋体" w:hAnsi="宋体" w:cs="宋体"/>
          <w:b/>
          <w:bCs/>
          <w:sz w:val="44"/>
          <w:szCs w:val="44"/>
        </w:rPr>
        <w:t>中国共产党无极县委员会老干部局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bookmarkStart w:id="0" w:name="_GoBack"/>
      <w:bookmarkEnd w:id="0"/>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、《地方预决算公开操作规程》和《河北省省级预算公开办法》规定，现将中国共产党无极县委员会老干部局2018年部门预算公开如下：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1、贯彻执行党和国家对老干部工作的方针政策及省市关于老干部工作的具体政策规定，结合本县的实际情况，研究制定切合本县实际的具体落实办法和措施。</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2、宣传党和国家对老干部工作的方针政策，宣传老干部的历史功绩和现实贡献。协调有关部门开展尊老敬老活动，弘扬党的优良传统和民族美德。</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3、了解掌握新形势下老干部工作的信息和动态，研究并解决老干部工作中出现的新情况和新问题，提出改进工作的意见和建议。</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4、检查督促全县各部门落实老干部的政治待遇、生活待遇，指导全县离退休干部党支部的建设和老干部思想政治工作，抓好老干部党支部组织建设及思想建设，组织和指导老干部开展政治学习及思想教育活动。</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5、负责全县老干部工作政策业务的指导和检查工作。督促有关部门落实老干部的生活待遇，完善老干部的各项保障机制。</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6、指导全县各部门搞好老干部活动中心的建设管理。组织老干部开展各项有益于身心健康的活动。根据老同志的特长和爱好，积极引导老干部在三个文明建设中继续发挥作用。</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7、不断完善老干部的医疗保障机制，协助有关部门做好老干部的日常保健工作，指导协同有关单位做好老干部丧事办理工作。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8、严格管理和合理使用老干部的各项专用经费，发挥老干部专项经费为老干部服务的作用。</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9、负责老干部工作统计、信息反馈，做好老干部的来信来访的接待和处理、反馈工作；负责上级和各地的老干部和老干部工作部门的领导来我县指导和参观学习的接待工作。</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10、按政策规定做好异地安置离休干部的管理服务工作。</w:t>
      </w:r>
    </w:p>
    <w:p>
      <w:pPr>
        <w:rPr>
          <w:rFonts w:ascii="仿宋" w:hAnsi="仿宋" w:eastAsia="仿宋" w:cs="仿宋"/>
          <w:sz w:val="32"/>
          <w:szCs w:val="32"/>
        </w:rPr>
      </w:pPr>
      <w:r>
        <w:rPr>
          <w:rFonts w:hint="eastAsia" w:ascii="仿宋_GB2312" w:hAnsi="仿宋_GB2312" w:eastAsia="仿宋_GB2312" w:cs="仿宋_GB2312"/>
          <w:sz w:val="32"/>
          <w:szCs w:val="32"/>
        </w:rPr>
        <w:t xml:space="preserve">    11、承办县委、县政府和上级老干部局交办的其它工作事项。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老干部局</w:t>
            </w: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vAlign w:val="center"/>
          </w:tcPr>
          <w:p>
            <w:pPr>
              <w:spacing w:line="300" w:lineRule="exact"/>
              <w:jc w:val="left"/>
              <w:outlineLvl w:val="0"/>
            </w:pPr>
          </w:p>
        </w:tc>
        <w:tc>
          <w:tcPr>
            <w:tcW w:w="1134"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353" w:type="dxa"/>
            <w:vMerge w:val="continue"/>
            <w:vAlign w:val="center"/>
          </w:tcPr>
          <w:p>
            <w:pPr>
              <w:spacing w:line="300" w:lineRule="exact"/>
              <w:jc w:val="left"/>
              <w:outlineLvl w:val="0"/>
            </w:pPr>
          </w:p>
        </w:tc>
        <w:tc>
          <w:tcPr>
            <w:tcW w:w="709" w:type="dxa"/>
            <w:vMerge w:val="continue"/>
            <w:vAlign w:val="center"/>
          </w:tcPr>
          <w:p>
            <w:pPr>
              <w:spacing w:line="300" w:lineRule="exact"/>
              <w:jc w:val="left"/>
              <w:outlineLvl w:val="0"/>
            </w:pP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center"/>
              <w:rPr>
                <w:rFonts w:ascii="方正书宋_GBK" w:eastAsia="方正书宋_GBK"/>
                <w:b/>
              </w:rPr>
            </w:pPr>
          </w:p>
        </w:tc>
        <w:tc>
          <w:tcPr>
            <w:tcW w:w="1276" w:type="dxa"/>
            <w:vAlign w:val="center"/>
          </w:tcPr>
          <w:p>
            <w:pPr>
              <w:spacing w:line="300" w:lineRule="exact"/>
              <w:jc w:val="center"/>
              <w:rPr>
                <w:rFonts w:ascii="方正书宋_GBK" w:eastAsia="方正书宋_GBK"/>
                <w:b/>
              </w:rPr>
            </w:pPr>
          </w:p>
        </w:tc>
        <w:tc>
          <w:tcPr>
            <w:tcW w:w="2353"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14</w:t>
            </w:r>
          </w:p>
        </w:tc>
        <w:tc>
          <w:tcPr>
            <w:tcW w:w="709" w:type="dxa"/>
            <w:vAlign w:val="center"/>
          </w:tcPr>
          <w:p>
            <w:pPr>
              <w:spacing w:line="300" w:lineRule="exact"/>
              <w:jc w:val="center"/>
              <w:rPr>
                <w:rFonts w:ascii="方正书宋_GBK" w:eastAsia="方正书宋_GBK"/>
                <w:b/>
              </w:rPr>
            </w:pPr>
          </w:p>
        </w:tc>
        <w:tc>
          <w:tcPr>
            <w:tcW w:w="709" w:type="dxa"/>
            <w:vAlign w:val="center"/>
          </w:tcPr>
          <w:p>
            <w:pPr>
              <w:spacing w:line="300" w:lineRule="exact"/>
              <w:jc w:val="center"/>
              <w:rPr>
                <w:rFonts w:ascii="方正书宋_GBK" w:eastAsia="方正书宋_GBK"/>
                <w:b/>
              </w:rPr>
            </w:pPr>
            <w:r>
              <w:rPr>
                <w:rFonts w:hint="eastAsia" w:ascii="方正书宋_GBK" w:eastAsia="方正书宋_GBK"/>
                <w:b/>
              </w:rPr>
              <w:t>16</w:t>
            </w:r>
          </w:p>
        </w:tc>
        <w:tc>
          <w:tcPr>
            <w:tcW w:w="709" w:type="dxa"/>
            <w:vAlign w:val="center"/>
          </w:tcPr>
          <w:p>
            <w:pPr>
              <w:spacing w:line="300" w:lineRule="exact"/>
              <w:jc w:val="center"/>
              <w:rPr>
                <w:rFonts w:ascii="方正书宋_GBK" w:eastAsia="方正书宋_GBK"/>
                <w:b/>
              </w:rPr>
            </w:pPr>
            <w:r>
              <w:rPr>
                <w:rFonts w:ascii="方正书宋_GBK" w:eastAsia="方正书宋_GBK"/>
                <w:b/>
              </w:rPr>
              <w:t>9</w:t>
            </w:r>
          </w:p>
        </w:tc>
        <w:tc>
          <w:tcPr>
            <w:tcW w:w="709"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中国共产党无极县委员会老干部局</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hint="eastAsia" w:ascii="方正书宋_GBK" w:eastAsia="方正书宋_GBK"/>
              </w:rPr>
              <w:t>14</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ascii="方正书宋_GBK" w:eastAsia="方正书宋_GBK"/>
              </w:rPr>
              <w:t>9</w:t>
            </w:r>
          </w:p>
        </w:tc>
        <w:tc>
          <w:tcPr>
            <w:tcW w:w="709"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rPr>
            </w:pPr>
            <w:r>
              <w:rPr>
                <w:rFonts w:hint="eastAsia" w:ascii="方正书宋_GBK" w:eastAsia="方正书宋_GBK"/>
              </w:rPr>
              <w:t>中国共产党无极县委员会老干部活动室</w:t>
            </w:r>
          </w:p>
        </w:tc>
        <w:tc>
          <w:tcPr>
            <w:tcW w:w="1134" w:type="dxa"/>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vAlign w:val="center"/>
          </w:tcPr>
          <w:p>
            <w:pPr>
              <w:spacing w:line="300" w:lineRule="exact"/>
              <w:jc w:val="center"/>
              <w:rPr>
                <w:rFonts w:ascii="方正书宋_GBK" w:eastAsia="方正书宋_GBK"/>
              </w:rPr>
            </w:pPr>
            <w:r>
              <w:rPr>
                <w:rFonts w:hint="eastAsia" w:ascii="方正书宋_GBK" w:eastAsia="方正书宋_GBK"/>
              </w:rPr>
              <w:t>其他</w:t>
            </w:r>
          </w:p>
        </w:tc>
        <w:tc>
          <w:tcPr>
            <w:tcW w:w="2353"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r>
              <w:rPr>
                <w:rFonts w:hint="eastAsia" w:ascii="方正书宋_GBK" w:eastAsia="方正书宋_GBK"/>
              </w:rPr>
              <w:t>16</w:t>
            </w:r>
          </w:p>
        </w:tc>
        <w:tc>
          <w:tcPr>
            <w:tcW w:w="709" w:type="dxa"/>
            <w:vAlign w:val="center"/>
          </w:tcPr>
          <w:p>
            <w:pPr>
              <w:spacing w:line="300" w:lineRule="exact"/>
              <w:jc w:val="center"/>
              <w:rPr>
                <w:rFonts w:ascii="方正书宋_GBK" w:eastAsia="方正书宋_GBK"/>
              </w:rPr>
            </w:pPr>
          </w:p>
        </w:tc>
        <w:tc>
          <w:tcPr>
            <w:tcW w:w="709" w:type="dxa"/>
            <w:vAlign w:val="center"/>
          </w:tcPr>
          <w:p>
            <w:pPr>
              <w:spacing w:line="300" w:lineRule="exact"/>
              <w:jc w:val="center"/>
              <w:rPr>
                <w:rFonts w:ascii="方正书宋_GBK" w:eastAsia="方正书宋_GBK"/>
              </w:rPr>
            </w:pP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pStyle w:val="8"/>
        <w:numPr>
          <w:ilvl w:val="0"/>
          <w:numId w:val="1"/>
        </w:numPr>
        <w:ind w:firstLineChars="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无极县老干部局2018年预算收入总计</w:t>
      </w:r>
      <w:r>
        <w:rPr>
          <w:rFonts w:ascii="仿宋" w:hAnsi="仿宋" w:eastAsia="仿宋"/>
          <w:sz w:val="32"/>
          <w:szCs w:val="32"/>
        </w:rPr>
        <w:t>493.78</w:t>
      </w:r>
      <w:r>
        <w:rPr>
          <w:rFonts w:hint="eastAsia" w:ascii="仿宋_GB2312" w:eastAsia="仿宋_GB2312" w:cs="仿宋_GB2312"/>
          <w:bCs/>
          <w:sz w:val="32"/>
          <w:szCs w:val="32"/>
        </w:rPr>
        <w:t>万元。其中，一般公共预算收入493.78万元、政府性基金收入0万元、财政专户核拨收入0万元，其他来源收入0万元。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left="601" w:leftChars="286"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收支预算总表支出栏、基本支出表、项目支出表按经济分类和支出功能分类科目编制，反映年度部门预算中支出预算的总体情况。</w:t>
      </w:r>
      <w:r>
        <w:rPr>
          <w:rFonts w:hint="eastAsia" w:ascii="仿宋_GB2312" w:eastAsia="仿宋_GB2312" w:cs="仿宋_GB2312"/>
          <w:bCs/>
          <w:sz w:val="32"/>
          <w:szCs w:val="32"/>
        </w:rPr>
        <w:t>2018年预算支出493.78万元。其中，人员经费支出246.56万元，正常公用经费18.22万元，项目支出229万元。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left="601" w:leftChars="286" w:firstLine="640" w:firstLineChars="200"/>
        <w:rPr>
          <w:rFonts w:ascii="楷体" w:hAnsi="楷体" w:eastAsia="楷体"/>
          <w:sz w:val="32"/>
          <w:szCs w:val="32"/>
        </w:rPr>
      </w:pPr>
      <w:r>
        <w:rPr>
          <w:rFonts w:hint="eastAsia" w:ascii="仿宋_GB2312" w:hAnsi="仿宋_GB2312" w:eastAsia="仿宋_GB2312" w:cs="仿宋_GB2312"/>
          <w:sz w:val="32"/>
          <w:szCs w:val="32"/>
        </w:rPr>
        <w:t>2018年部门预算较2017年增长49.94万元，其中：基本支出减少6.56万元，主要是老干部离退休服务费调入项目支出；项目支出增加56.5万元，主要是由于项目调整，由基本支出调入项目支出。</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utoSpaceDE w:val="0"/>
        <w:autoSpaceDN w:val="0"/>
        <w:adjustRightInd w:val="0"/>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2018年机关运行经费共计安排18.22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2018年本部门安排“三公”经费 6.8万元，与上年相比一致，无增减变化。其中：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ind w:firstLine="640" w:firstLineChars="200"/>
        <w:outlineLvl w:val="0"/>
        <w:rPr>
          <w:rFonts w:ascii="仿宋" w:hAnsi="仿宋" w:eastAsia="仿宋" w:cs="??"/>
          <w:sz w:val="32"/>
          <w:szCs w:val="32"/>
        </w:rPr>
      </w:pPr>
      <w:r>
        <w:rPr>
          <w:rFonts w:hint="eastAsia" w:ascii="仿宋_GB2312" w:hAnsi="仿宋" w:eastAsia="仿宋_GB2312"/>
          <w:sz w:val="32"/>
          <w:szCs w:val="32"/>
        </w:rPr>
        <w:t>2、公务用车购置及运行维护费 6万元</w:t>
      </w:r>
      <w:r>
        <w:rPr>
          <w:rFonts w:ascii="仿宋" w:hAnsi="仿宋" w:eastAsia="仿宋" w:cs="仿宋_GB2312"/>
          <w:sz w:val="32"/>
          <w:szCs w:val="32"/>
        </w:rPr>
        <w:t>(</w:t>
      </w:r>
      <w:r>
        <w:rPr>
          <w:rFonts w:hint="eastAsia" w:ascii="仿宋" w:hAnsi="仿宋" w:eastAsia="仿宋" w:cs="仿宋_GB2312"/>
          <w:sz w:val="32"/>
          <w:szCs w:val="32"/>
        </w:rPr>
        <w:t>其中公务用车购置</w:t>
      </w:r>
      <w:r>
        <w:rPr>
          <w:rFonts w:ascii="仿宋" w:hAnsi="仿宋" w:eastAsia="仿宋" w:cs="仿宋_GB2312"/>
          <w:sz w:val="32"/>
          <w:szCs w:val="32"/>
        </w:rPr>
        <w:t>0</w:t>
      </w:r>
      <w:r>
        <w:rPr>
          <w:rFonts w:hint="eastAsia" w:ascii="仿宋" w:hAnsi="仿宋" w:eastAsia="仿宋" w:cs="仿宋_GB2312"/>
          <w:sz w:val="32"/>
          <w:szCs w:val="32"/>
        </w:rPr>
        <w:t>万元，公务用车运行维护费</w:t>
      </w:r>
      <w:r>
        <w:rPr>
          <w:rFonts w:ascii="仿宋" w:hAnsi="仿宋" w:eastAsia="仿宋" w:cs="??"/>
          <w:sz w:val="32"/>
          <w:szCs w:val="32"/>
        </w:rPr>
        <w:t>6</w:t>
      </w:r>
      <w:r>
        <w:rPr>
          <w:rFonts w:hint="eastAsia" w:ascii="仿宋" w:hAnsi="仿宋" w:eastAsia="仿宋" w:cs="宋体"/>
          <w:sz w:val="32"/>
          <w:szCs w:val="32"/>
        </w:rPr>
        <w:t>万元，与</w:t>
      </w:r>
      <w:r>
        <w:rPr>
          <w:rFonts w:hint="eastAsia" w:ascii="仿宋" w:hAnsi="仿宋" w:eastAsia="仿宋" w:cs="??"/>
          <w:sz w:val="32"/>
          <w:szCs w:val="32"/>
        </w:rPr>
        <w:t>去</w:t>
      </w:r>
      <w:r>
        <w:rPr>
          <w:rFonts w:hint="eastAsia" w:ascii="仿宋" w:hAnsi="仿宋" w:eastAsia="仿宋" w:cs="宋体"/>
          <w:sz w:val="32"/>
          <w:szCs w:val="32"/>
        </w:rPr>
        <w:t>年相比持平，无增减变化。</w:t>
      </w:r>
      <w:r>
        <w:rPr>
          <w:rFonts w:hint="eastAsia" w:ascii="仿宋" w:hAnsi="仿宋" w:eastAsia="仿宋" w:cs="仿宋_GB2312"/>
          <w:sz w:val="32"/>
          <w:szCs w:val="32"/>
        </w:rPr>
        <w:t>）</w:t>
      </w:r>
    </w:p>
    <w:p>
      <w:pPr>
        <w:ind w:firstLine="640" w:firstLineChars="200"/>
        <w:outlineLvl w:val="0"/>
        <w:rPr>
          <w:rFonts w:ascii="仿宋_GB2312" w:hAnsi="仿宋" w:eastAsia="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仿宋_GB2312" w:hAnsi="仿宋" w:eastAsia="仿宋_GB2312"/>
          <w:sz w:val="32"/>
          <w:szCs w:val="32"/>
        </w:rPr>
        <w:t>3、公务接待费0.8万元，与上年相比一致</w:t>
      </w:r>
      <w:r>
        <w:rPr>
          <w:rFonts w:hint="eastAsia" w:ascii="仿宋" w:hAnsi="仿宋" w:eastAsia="仿宋"/>
          <w:sz w:val="32"/>
          <w:szCs w:val="32"/>
        </w:rPr>
        <w:t>,</w:t>
      </w:r>
      <w:r>
        <w:rPr>
          <w:rFonts w:hint="eastAsia" w:ascii="仿宋_GB2312" w:hAnsi="仿宋" w:eastAsia="仿宋_GB2312"/>
          <w:sz w:val="32"/>
          <w:szCs w:val="32"/>
        </w:rPr>
        <w:t>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eastAsia="仿宋_GB2312"/>
          <w:sz w:val="32"/>
          <w:szCs w:val="32"/>
        </w:rPr>
      </w:pPr>
      <w:r>
        <w:rPr>
          <w:rFonts w:hint="eastAsia" w:ascii="仿宋_GB2312" w:eastAsia="仿宋_GB2312"/>
          <w:sz w:val="32"/>
          <w:szCs w:val="32"/>
        </w:rPr>
        <w:t>2018年，老干部局将重点做好以下工作：办公室：负责机要、保密、督办、建议提案办理、财务、会务、机关政务协调等项工作；管理机关国有资产；局机关后勤保障工作；管理机关的人事劳资；干部教育、机构编制等工作；大事记、计划、总结；请示、批复；规定、制度、职责；老干部统计；各种印信；老干部登记花名册；易地安置接受审批；领发荣誉证、优待证；孤寡老干部安置管理。编制一名。组宣科：负责各种会议的组织、记录工作；老干部政策宣传、解释工作；定期组织老干部学习、及时传达上级文件精神工作；老干部运动会；九九重阳节大会；老干部疗养工作；各种文体活动；各种报刊、杂志的征订、领取、发放工作；老干部典型事迹的采编工作；老干部逝世后的善后处理工作；两费统计落实工作；服务保健；上级有关文件的落实、汇报工作。</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640" w:firstLineChars="200"/>
        <w:rPr>
          <w:rFonts w:ascii="仿宋_GB2312" w:eastAsia="仿宋_GB2312"/>
          <w:sz w:val="32"/>
          <w:szCs w:val="32"/>
        </w:rPr>
      </w:pPr>
      <w:r>
        <w:rPr>
          <w:rFonts w:hint="eastAsia" w:ascii="仿宋_GB2312" w:eastAsia="仿宋_GB2312"/>
          <w:sz w:val="32"/>
          <w:szCs w:val="32"/>
        </w:rPr>
        <w:t>1、全面贯彻执行党和国家关于老干部工作的方针、政策。</w:t>
      </w:r>
    </w:p>
    <w:p>
      <w:pPr>
        <w:ind w:firstLine="640" w:firstLineChars="200"/>
        <w:rPr>
          <w:rFonts w:ascii="仿宋_GB2312" w:eastAsia="仿宋_GB2312"/>
          <w:sz w:val="32"/>
          <w:szCs w:val="32"/>
        </w:rPr>
      </w:pPr>
      <w:r>
        <w:rPr>
          <w:rFonts w:hint="eastAsia" w:ascii="仿宋_GB2312" w:eastAsia="仿宋_GB2312"/>
          <w:sz w:val="32"/>
          <w:szCs w:val="32"/>
        </w:rPr>
        <w:t>2、落实离退休干部的政治、生活待遇。</w:t>
      </w:r>
    </w:p>
    <w:p>
      <w:pPr>
        <w:ind w:firstLine="640" w:firstLineChars="200"/>
        <w:rPr>
          <w:rFonts w:ascii="仿宋_GB2312" w:eastAsia="仿宋_GB2312"/>
          <w:sz w:val="32"/>
          <w:szCs w:val="32"/>
        </w:rPr>
      </w:pPr>
      <w:r>
        <w:rPr>
          <w:rFonts w:hint="eastAsia" w:ascii="仿宋_GB2312" w:eastAsia="仿宋_GB2312"/>
          <w:sz w:val="32"/>
          <w:szCs w:val="32"/>
        </w:rPr>
        <w:t xml:space="preserve">3、定期组织老干部学习、及时传达上级主要文件精神。   </w:t>
      </w:r>
    </w:p>
    <w:p>
      <w:pPr>
        <w:ind w:firstLine="720" w:firstLineChars="225"/>
        <w:rPr>
          <w:rFonts w:ascii="仿宋_GB2312" w:eastAsia="仿宋_GB2312"/>
          <w:sz w:val="32"/>
          <w:szCs w:val="32"/>
        </w:rPr>
      </w:pPr>
      <w:r>
        <w:rPr>
          <w:rFonts w:hint="eastAsia" w:ascii="仿宋_GB2312" w:eastAsia="仿宋_GB2312"/>
          <w:sz w:val="32"/>
          <w:szCs w:val="32"/>
        </w:rPr>
        <w:t>4、搞好老干部文体活动及健康疗养。</w:t>
      </w:r>
    </w:p>
    <w:p>
      <w:pPr>
        <w:ind w:firstLine="640" w:firstLineChars="200"/>
        <w:rPr>
          <w:rFonts w:ascii="仿宋_GB2312" w:eastAsia="仿宋_GB2312"/>
          <w:sz w:val="32"/>
          <w:szCs w:val="32"/>
        </w:rPr>
      </w:pPr>
      <w:r>
        <w:rPr>
          <w:rFonts w:hint="eastAsia" w:ascii="仿宋_GB2312" w:eastAsia="仿宋_GB2312"/>
          <w:sz w:val="32"/>
          <w:szCs w:val="32"/>
        </w:rPr>
        <w:t>5、组织宣传老干部政策，鼓励老干部发挥余热，为全县政治、经济工作服务。</w:t>
      </w:r>
    </w:p>
    <w:p>
      <w:pPr>
        <w:ind w:firstLine="640" w:firstLineChars="200"/>
        <w:rPr>
          <w:rFonts w:ascii="仿宋_GB2312" w:eastAsia="仿宋_GB2312"/>
          <w:sz w:val="32"/>
          <w:szCs w:val="32"/>
        </w:rPr>
      </w:pPr>
      <w:r>
        <w:rPr>
          <w:rFonts w:hint="eastAsia" w:ascii="仿宋_GB2312" w:eastAsia="仿宋_GB2312"/>
          <w:sz w:val="32"/>
          <w:szCs w:val="32"/>
        </w:rPr>
        <w:t>6、为老干部“老有所养，老有所医，老有所为，老有所学，老有所乐”创造良好的条件和环境。</w:t>
      </w:r>
    </w:p>
    <w:p>
      <w:pPr>
        <w:ind w:firstLine="640" w:firstLineChars="200"/>
        <w:rPr>
          <w:rFonts w:ascii="楷体" w:hAnsi="楷体" w:eastAsia="楷体"/>
          <w:sz w:val="32"/>
          <w:szCs w:val="32"/>
        </w:rPr>
      </w:pPr>
      <w:r>
        <w:rPr>
          <w:rFonts w:hint="eastAsia" w:ascii="仿宋_GB2312" w:eastAsia="仿宋_GB2312"/>
          <w:sz w:val="32"/>
          <w:szCs w:val="32"/>
        </w:rPr>
        <w:t>7、承办县委交办的其他事项。</w:t>
      </w:r>
    </w:p>
    <w:p>
      <w:pPr>
        <w:ind w:firstLine="645"/>
        <w:rPr>
          <w:rFonts w:ascii="楷体" w:hAnsi="楷体" w:eastAsia="楷体"/>
          <w:sz w:val="32"/>
          <w:szCs w:val="32"/>
        </w:rPr>
      </w:pPr>
      <w:r>
        <w:rPr>
          <w:rFonts w:hint="eastAsia" w:ascii="楷体" w:hAnsi="楷体" w:eastAsia="楷体"/>
          <w:sz w:val="32"/>
          <w:szCs w:val="32"/>
        </w:rPr>
        <w:t>（三）部门职责-工作活动绩效目标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287</w:t>
            </w:r>
            <w:r>
              <w:rPr>
                <w:rFonts w:hint="eastAsia" w:ascii="方正小标宋_GBK" w:eastAsia="方正小标宋_GBK"/>
                <w:sz w:val="24"/>
              </w:rPr>
              <w:t>老干部局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一、离退休干部政策及服务</w:t>
            </w:r>
          </w:p>
        </w:tc>
        <w:tc>
          <w:tcPr>
            <w:tcW w:w="1276" w:type="dxa"/>
            <w:vAlign w:val="center"/>
          </w:tcPr>
          <w:p>
            <w:pPr>
              <w:spacing w:line="300" w:lineRule="exact"/>
              <w:jc w:val="left"/>
              <w:rPr>
                <w:rFonts w:ascii="方正书宋_GBK" w:eastAsia="方正书宋_GBK"/>
              </w:rPr>
            </w:pPr>
            <w:r>
              <w:rPr>
                <w:rFonts w:ascii="方正书宋_GBK" w:eastAsia="方正书宋_GBK"/>
              </w:rPr>
              <w:t>224.00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贯彻落实国家关于离退休干部的方针政策，组织落实离退休干部的政治、生活待遇</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保障离退休干部各项政策的落实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、落实老干部政治、生活待遇</w:t>
            </w:r>
          </w:p>
        </w:tc>
        <w:tc>
          <w:tcPr>
            <w:tcW w:w="1276" w:type="dxa"/>
            <w:vAlign w:val="center"/>
          </w:tcPr>
          <w:p>
            <w:pPr>
              <w:spacing w:line="300" w:lineRule="exact"/>
              <w:jc w:val="left"/>
              <w:rPr>
                <w:rFonts w:ascii="方正书宋_GBK" w:eastAsia="方正书宋_GBK"/>
              </w:rPr>
            </w:pPr>
            <w:r>
              <w:rPr>
                <w:rFonts w:ascii="方正书宋_GBK" w:eastAsia="方正书宋_GBK"/>
              </w:rPr>
              <w:t>174.00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全面落实老干部政治、生活待遇</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让每位老干部感受到政治上的关心、生活上的爱护。</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老干部生活待遇保障率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、老干部活动、组织建设</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组织老干部参加社会、文体等各项活动，加强老干部基层组织和党支部建设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老干部日常生活活动丰富充实。</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基层组织和党支部建设工作完成率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二、老年活动阵地建设</w:t>
            </w:r>
          </w:p>
        </w:tc>
        <w:tc>
          <w:tcPr>
            <w:tcW w:w="1276" w:type="dxa"/>
            <w:vAlign w:val="center"/>
          </w:tcPr>
          <w:p>
            <w:pPr>
              <w:spacing w:line="300" w:lineRule="exact"/>
              <w:jc w:val="left"/>
              <w:rPr>
                <w:rFonts w:ascii="方正书宋_GBK" w:eastAsia="方正书宋_GBK"/>
              </w:rPr>
            </w:pPr>
            <w:r>
              <w:rPr>
                <w:rFonts w:ascii="方正书宋_GBK" w:eastAsia="方正书宋_GBK"/>
              </w:rPr>
              <w:t>5.00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建设、管理、使用好老年活动阵地，并指导全县阵地建设。</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完善老年阵地建设体系</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贯彻执行老年教育和老干部工作方针，构建终身教育体系；开展全县关心下一代工作，组织老同志参加青少年教育工作。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健全完善与经济社会发展相适应的老年教育体系，充分发挥老干部传帮带作用，传承优良作风，让下一代健康成长。</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老年教育普及率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开展青少年教育活动次数。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老干部管理服务设施维修改造、后勤保障、日常运转。</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确保各项活动、工作正常运行。</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、老年教育及关心下一代</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贯彻执行老年教育和老干部工作方针，构建终身教育体系；开展全县关心下一代工作，组织老同志参加青少年教育工作。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健全完善与经济社会发展相适应的老年教育体系，充分发挥老干部传帮带作用，传承优良作风，让下一代健康成长。</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ind w:firstLine="645"/>
        <w:rPr>
          <w:rFonts w:ascii="楷体" w:hAnsi="楷体" w:eastAsia="楷体"/>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_GB2312" w:hAnsi="黑体" w:eastAsia="仿宋_GB2312" w:cs="仿宋_GB2312"/>
          <w:sz w:val="32"/>
          <w:szCs w:val="32"/>
        </w:rPr>
      </w:pPr>
      <w:r>
        <w:rPr>
          <w:rFonts w:hint="eastAsia" w:ascii="仿宋_GB2312" w:hAnsi="黑体" w:eastAsia="仿宋_GB2312" w:cs="仿宋_GB2312"/>
          <w:sz w:val="32"/>
          <w:szCs w:val="32"/>
        </w:rPr>
        <w:t>2018年本部门安排政府采购预算0元。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widowControl/>
        <w:ind w:firstLine="640"/>
        <w:rPr>
          <w:rFonts w:ascii="仿宋_GB2312" w:eastAsia="仿宋_GB2312" w:cs="宋体"/>
          <w:kern w:val="0"/>
          <w:sz w:val="32"/>
          <w:szCs w:val="32"/>
        </w:rPr>
      </w:pPr>
      <w:r>
        <w:rPr>
          <w:rFonts w:hint="eastAsia" w:ascii="仿宋_GB2312" w:eastAsia="仿宋_GB2312" w:cs="宋体"/>
          <w:kern w:val="0"/>
          <w:sz w:val="32"/>
          <w:szCs w:val="32"/>
        </w:rPr>
        <w:t>无极县老干部局上年末固定资产金额为42.48万元（详见下表）。本年度拟购置的固定资产为0万元。</w:t>
      </w:r>
    </w:p>
    <w:tbl>
      <w:tblPr>
        <w:tblStyle w:val="4"/>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中国共产党无极县委员会老干部局固定资产占用情况表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无极县老干部局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截止时间：2017年12月31日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42.48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862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12.26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862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12.26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2</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16.58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13.64</w:t>
            </w:r>
          </w:p>
        </w:tc>
      </w:tr>
    </w:tbl>
    <w:p>
      <w:pPr>
        <w:autoSpaceDE w:val="0"/>
        <w:autoSpaceDN w:val="0"/>
        <w:adjustRightInd w:val="0"/>
        <w:ind w:firstLine="643" w:firstLineChars="200"/>
        <w:jc w:val="left"/>
        <w:rPr>
          <w:rFonts w:ascii="黑体" w:hAnsi="黑体" w:eastAsia="黑体" w:cs="仿宋_GB2312"/>
          <w:b/>
          <w:sz w:val="32"/>
          <w:szCs w:val="32"/>
        </w:rPr>
      </w:pPr>
      <w:r>
        <w:rPr>
          <w:rFonts w:hint="eastAsia" w:ascii="黑体" w:hAnsi="黑体" w:eastAsia="黑体" w:cs="仿宋_GB2312"/>
          <w:b/>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p>
      <w:pPr>
        <w:ind w:firstLine="688" w:firstLineChars="215"/>
        <w:rPr>
          <w:rFonts w:ascii="仿宋" w:hAnsi="仿宋" w:eastAsia="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
    <w:altName w:val="Times New Roman"/>
    <w:panose1 w:val="00000000000000000000"/>
    <w:charset w:val="00"/>
    <w:family w:val="auto"/>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11B62"/>
    <w:rsid w:val="00511B62"/>
    <w:rsid w:val="005634F4"/>
    <w:rsid w:val="00A15A07"/>
    <w:rsid w:val="715247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脚 字符"/>
    <w:link w:val="2"/>
    <w:semiHidden/>
    <w:uiPriority w:val="0"/>
    <w:rPr>
      <w:rFonts w:ascii="Times New Roman" w:hAnsi="Times New Roman" w:eastAsia="宋体" w:cs="Times New Roman"/>
      <w:sz w:val="18"/>
      <w:szCs w:val="18"/>
    </w:rPr>
  </w:style>
  <w:style w:type="character" w:customStyle="1" w:styleId="7">
    <w:name w:val="页眉 字符"/>
    <w:link w:val="3"/>
    <w:semiHidden/>
    <w:uiPriority w:val="0"/>
    <w:rPr>
      <w:rFonts w:ascii="Times New Roman" w:hAnsi="Times New Roman" w:eastAsia="宋体" w:cs="Times New Roman"/>
      <w:sz w:val="18"/>
      <w:szCs w:val="18"/>
    </w:rPr>
  </w:style>
  <w:style w:type="paragraph" w:customStyle="1" w:styleId="8">
    <w:name w:val="列表段落1"/>
    <w:basedOn w:val="1"/>
    <w:uiPriority w:val="0"/>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620</Words>
  <Characters>3539</Characters>
  <Lines>29</Lines>
  <Paragraphs>8</Paragraphs>
  <TotalTime>4</TotalTime>
  <ScaleCrop>false</ScaleCrop>
  <LinksUpToDate>false</LinksUpToDate>
  <CharactersWithSpaces>4151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2017-08-21T17:42:00Z</dcterms:created>
  <dc:creator>微软用户</dc:creator>
  <cp:lastModifiedBy>Administrator</cp:lastModifiedBy>
  <dcterms:modified xsi:type="dcterms:W3CDTF">2024-01-31T05:50:45Z</dcterms:modified>
  <dc:title>Administrator</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