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14" w:name="_GoBack"/>
      <w:bookmarkEnd w:id="14"/>
      <w:r>
        <w:rPr>
          <w:rFonts w:hint="eastAsia" w:ascii="方正小标宋_GBK" w:hAnsi="Times New Roman" w:eastAsia="方正小标宋_GBK" w:cs="Times New Roman"/>
          <w:bCs/>
          <w:sz w:val="44"/>
          <w:szCs w:val="44"/>
        </w:rPr>
        <w:t>无极县住房和城乡建设局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按照《预算法》、《地方预决算公开操作规程》和《河北省省级预算公开办法》规定，现将无极县住房和城乡建设局2020年部门预算公开如下：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根据《住建局职能配置、内设机构和人员编制规定》， 住建局的主要职责是：</w:t>
      </w:r>
    </w:p>
    <w:p>
      <w:pPr>
        <w:rPr>
          <w:rFonts w:ascii="Times New Roman" w:hAnsi="Times New Roman" w:eastAsia="仿宋" w:cs="Times New Roman"/>
          <w:sz w:val="32"/>
          <w:szCs w:val="32"/>
        </w:rPr>
      </w:pPr>
      <w:r>
        <w:rPr>
          <w:rFonts w:ascii="Times New Roman" w:hAnsi="Times New Roman" w:eastAsia="仿宋" w:cs="Times New Roman"/>
          <w:sz w:val="32"/>
          <w:szCs w:val="32"/>
        </w:rPr>
        <w:t>(一)贯彻执行国家和省、市住房城乡建设工作的方针、政策和法律、法规。起草住房城乡建设方面的政府规章草案；拟订全县城乡建设发展规划并组织实施；研究提出住房城乡建设领域重大问题的政策建议；负责住房城乡建设行业安全生产监管。</w:t>
      </w:r>
    </w:p>
    <w:p>
      <w:pPr>
        <w:rPr>
          <w:rFonts w:ascii="Times New Roman" w:hAnsi="Times New Roman" w:eastAsia="仿宋" w:cs="Times New Roman"/>
          <w:sz w:val="32"/>
          <w:szCs w:val="32"/>
        </w:rPr>
      </w:pPr>
      <w:r>
        <w:rPr>
          <w:rFonts w:ascii="Times New Roman" w:hAnsi="Times New Roman" w:eastAsia="仿宋" w:cs="Times New Roman"/>
          <w:sz w:val="32"/>
          <w:szCs w:val="32"/>
        </w:rPr>
        <w:t>(二)拟订城镇住房保障相关政策并组织实施；组织编制实施城镇住房保障发展规划和年度计划；负责县内保障房配建工作；负责房改房、经济适用住房出售工作；会同有关部门做好中央和省市保障性安居工程资金安排并监督实施。</w:t>
      </w:r>
    </w:p>
    <w:p>
      <w:pPr>
        <w:rPr>
          <w:rFonts w:ascii="Times New Roman" w:hAnsi="Times New Roman" w:eastAsia="仿宋" w:cs="Times New Roman"/>
          <w:sz w:val="32"/>
          <w:szCs w:val="32"/>
        </w:rPr>
      </w:pPr>
      <w:r>
        <w:rPr>
          <w:rFonts w:ascii="Times New Roman" w:hAnsi="Times New Roman" w:eastAsia="仿宋" w:cs="Times New Roman"/>
          <w:sz w:val="32"/>
          <w:szCs w:val="32"/>
        </w:rPr>
        <w:t>(三)负责推进住房制度</w:t>
      </w:r>
      <w:r>
        <w:rPr>
          <w:rFonts w:hint="eastAsia" w:ascii="Times New Roman" w:hAnsi="Times New Roman" w:eastAsia="仿宋" w:cs="Times New Roman"/>
          <w:sz w:val="32"/>
          <w:szCs w:val="32"/>
          <w:lang w:eastAsia="zh-CN"/>
        </w:rPr>
        <w:t>改革</w:t>
      </w:r>
      <w:r>
        <w:rPr>
          <w:rFonts w:ascii="Times New Roman" w:hAnsi="Times New Roman" w:eastAsia="仿宋" w:cs="Times New Roman"/>
          <w:sz w:val="32"/>
          <w:szCs w:val="32"/>
        </w:rPr>
        <w:t>。拟订适合县情的住房政策指导住房建设，推动住房制度改革；拟订住房建设发展规划并组织实施。</w:t>
      </w:r>
    </w:p>
    <w:p>
      <w:pPr>
        <w:rPr>
          <w:rFonts w:ascii="Times New Roman" w:hAnsi="Times New Roman" w:eastAsia="仿宋" w:cs="Times New Roman"/>
          <w:sz w:val="32"/>
          <w:szCs w:val="32"/>
        </w:rPr>
      </w:pPr>
      <w:r>
        <w:rPr>
          <w:rFonts w:ascii="Times New Roman" w:hAnsi="Times New Roman" w:eastAsia="仿宋" w:cs="Times New Roman"/>
          <w:sz w:val="32"/>
          <w:szCs w:val="32"/>
        </w:rP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rPr>
          <w:rFonts w:ascii="Times New Roman" w:hAnsi="Times New Roman" w:eastAsia="仿宋" w:cs="Times New Roman"/>
          <w:sz w:val="32"/>
          <w:szCs w:val="32"/>
        </w:rPr>
      </w:pPr>
      <w:r>
        <w:rPr>
          <w:rFonts w:ascii="Times New Roman" w:hAnsi="Times New Roman" w:eastAsia="仿宋" w:cs="Times New Roman"/>
          <w:sz w:val="32"/>
          <w:szCs w:val="32"/>
        </w:rPr>
        <w:t>(五)负责建筑市场的监督管理。拟订建筑市场发展规划和管理制度并监督实施；负责建筑劳务市场管理；负责建筑业企业、勘察设计企业、造价咨询企业、施工图设计文件审查机构、监理机构、检测机枃和摺投标代理机构的监督指导；负责施工图审查机构的监督管理；负责建设工程消防、人防设计相关工作的监督管理；参与编制地方建设工程量计量规则，收集发布工程材料、人工、机械设备使用等市场价格信息。</w:t>
      </w:r>
    </w:p>
    <w:p>
      <w:pPr>
        <w:rPr>
          <w:rFonts w:ascii="Times New Roman" w:hAnsi="Times New Roman" w:eastAsia="仿宋" w:cs="Times New Roman"/>
          <w:sz w:val="32"/>
          <w:szCs w:val="32"/>
        </w:rPr>
      </w:pPr>
      <w:r>
        <w:rPr>
          <w:rFonts w:ascii="Times New Roman" w:hAnsi="Times New Roman" w:eastAsia="仿宋" w:cs="Times New Roman"/>
          <w:sz w:val="32"/>
          <w:szCs w:val="32"/>
        </w:rPr>
        <w:t>(六)统筹编制县内市政基础设施建设中长期发展规划，会同有关部门拟订县本级城建计划并组织实施；负责组织实施县政府安排的县内市政基础设施建设工作(包括城市路网的新建、改建、扩建工程)。</w:t>
      </w:r>
    </w:p>
    <w:p>
      <w:pPr>
        <w:rPr>
          <w:rFonts w:ascii="Times New Roman" w:hAnsi="Times New Roman" w:eastAsia="仿宋" w:cs="Times New Roman"/>
          <w:sz w:val="32"/>
          <w:szCs w:val="32"/>
        </w:rPr>
      </w:pPr>
      <w:r>
        <w:rPr>
          <w:rFonts w:ascii="Times New Roman" w:hAnsi="Times New Roman" w:eastAsia="仿宋" w:cs="Times New Roman"/>
          <w:sz w:val="32"/>
          <w:szCs w:val="32"/>
        </w:rPr>
        <w:t>(七)指导推进新型城镇化(国家新型城镇化综合试点)和县城建设工作。</w:t>
      </w:r>
    </w:p>
    <w:p>
      <w:pPr>
        <w:rPr>
          <w:rFonts w:ascii="Times New Roman" w:hAnsi="Times New Roman" w:eastAsia="仿宋" w:cs="Times New Roman"/>
          <w:sz w:val="32"/>
          <w:szCs w:val="32"/>
        </w:rPr>
      </w:pPr>
      <w:r>
        <w:rPr>
          <w:rFonts w:ascii="Times New Roman" w:hAnsi="Times New Roman" w:eastAsia="仿宋" w:cs="Times New Roman"/>
          <w:sz w:val="32"/>
          <w:szCs w:val="32"/>
        </w:rPr>
        <w:t>(八)指导村镇建设工作。指导县级以下建制镇、集镇(乡)和村庄建设，指导乡村建筑风貌管控；指导农村住房建设、住房安全及危房改造；指导重点镇和特色小城镇建设工作指导县城城建界以外的建制镇、集镇(乡)和村庄农村生活垃圾处理、生活污水处理工作；指导历史文化名城(镇、村)保护工作。</w:t>
      </w:r>
    </w:p>
    <w:p>
      <w:pPr>
        <w:rPr>
          <w:rFonts w:ascii="Times New Roman" w:hAnsi="Times New Roman" w:eastAsia="仿宋" w:cs="Times New Roman"/>
          <w:sz w:val="32"/>
          <w:szCs w:val="32"/>
        </w:rPr>
      </w:pPr>
      <w:r>
        <w:rPr>
          <w:rFonts w:ascii="Times New Roman" w:hAnsi="Times New Roman" w:eastAsia="仿宋" w:cs="Times New Roman"/>
          <w:sz w:val="32"/>
          <w:szCs w:val="32"/>
        </w:rPr>
        <w:t>(九)负责建筑工程质量安全监督。监督实施建筑工程质量、施工安全、竣工验收政策和规章制度；组织实施工程建设实施阶段的国家标准及国家统一的行业标准；组织或参与工程质量、安全事故的调查处理。</w:t>
      </w:r>
    </w:p>
    <w:p>
      <w:pPr>
        <w:rPr>
          <w:rFonts w:ascii="Times New Roman" w:hAnsi="Times New Roman" w:eastAsia="仿宋" w:cs="Times New Roman"/>
          <w:sz w:val="32"/>
          <w:szCs w:val="32"/>
        </w:rPr>
      </w:pPr>
      <w:r>
        <w:rPr>
          <w:rFonts w:ascii="Times New Roman" w:hAnsi="Times New Roman" w:eastAsia="仿宋" w:cs="Times New Roman"/>
          <w:sz w:val="32"/>
          <w:szCs w:val="32"/>
        </w:rPr>
        <w:t>(十)负责推进建筑节能工作。负责拟订建设行业科技、装配式建筑、绿色建筑发展规划和建筑节能管理制度并组织实施指导和推动全县建筑节能减排、绿色建筑发展、墙体材料革新既有居住建筑节能改造、可再生能源利用等工作。</w:t>
      </w:r>
    </w:p>
    <w:p>
      <w:pPr>
        <w:rPr>
          <w:rFonts w:ascii="Times New Roman" w:hAnsi="Times New Roman" w:eastAsia="仿宋" w:cs="Times New Roman"/>
          <w:sz w:val="32"/>
          <w:szCs w:val="32"/>
        </w:rPr>
      </w:pPr>
      <w:r>
        <w:rPr>
          <w:rFonts w:ascii="Times New Roman" w:hAnsi="Times New Roman" w:eastAsia="仿宋" w:cs="Times New Roman"/>
          <w:sz w:val="32"/>
          <w:szCs w:val="32"/>
        </w:rPr>
        <w:t>(十一)拟订物业行业发展规划并组织实施；拟订物业行业管理办法，负责监督管理住宅专项维修资金的归集、使用工作负责前期物业管理招投标备案及过程监管工作；指导监督全县老旧住宅小区整治工作；指导住宅室内装饰装修工作</w:t>
      </w:r>
    </w:p>
    <w:p>
      <w:pPr>
        <w:rPr>
          <w:rFonts w:ascii="Times New Roman" w:hAnsi="Times New Roman" w:eastAsia="仿宋" w:cs="Times New Roman"/>
          <w:sz w:val="32"/>
          <w:szCs w:val="32"/>
        </w:rPr>
      </w:pPr>
      <w:r>
        <w:rPr>
          <w:rFonts w:ascii="Times New Roman" w:hAnsi="Times New Roman" w:eastAsia="仿宋" w:cs="Times New Roman"/>
          <w:sz w:val="32"/>
          <w:szCs w:val="32"/>
        </w:rPr>
        <w:t>(十二)负责拟订国有土地上房屋征收、城市危房管理政策并组织实施；拟订县内国有土地上房屋征收计划，负责县级房屋征收工作；指导规范县内国有土地上房屋征收工作；负责城市危房管理和城市危房鉴定工作；负责拟订城市棚户区改造规划、年度计划，制定城市棚户区改造政策并贯彻实施；完成县政府交办的“城中村”改造相关工作。</w:t>
      </w:r>
    </w:p>
    <w:p>
      <w:pPr>
        <w:rPr>
          <w:rFonts w:ascii="Times New Roman" w:hAnsi="Times New Roman" w:eastAsia="仿宋" w:cs="Times New Roman"/>
          <w:sz w:val="32"/>
          <w:szCs w:val="32"/>
        </w:rPr>
      </w:pPr>
      <w:r>
        <w:rPr>
          <w:rFonts w:ascii="Times New Roman" w:hAnsi="Times New Roman" w:eastAsia="仿宋" w:cs="Times New Roman"/>
          <w:sz w:val="32"/>
          <w:szCs w:val="32"/>
        </w:rPr>
        <w:t>(十三)拟订地下综合管廊中长期建设计划，制定地下综合管廊运营、维护管理办法和配套政策；督导国家试点地下综合管廊建设工作，指导综合管廊运营和维护管理工作。</w:t>
      </w:r>
    </w:p>
    <w:p>
      <w:pPr>
        <w:rPr>
          <w:rFonts w:ascii="Times New Roman" w:hAnsi="Times New Roman" w:eastAsia="仿宋" w:cs="Times New Roman"/>
          <w:sz w:val="32"/>
          <w:szCs w:val="32"/>
        </w:rPr>
      </w:pPr>
      <w:r>
        <w:rPr>
          <w:rFonts w:ascii="Times New Roman" w:hAnsi="Times New Roman" w:eastAsia="仿宋" w:cs="Times New Roman"/>
          <w:sz w:val="32"/>
          <w:szCs w:val="32"/>
        </w:rPr>
        <w:t>(十四)负责住房城乡建设行业的对外经济技术合作和引进、利用外资工作，指导建筑施工、房地产开发、勤察设计和物业管理等相关企业开拓国内外市场，负责协调建设企业参与对外工程承包、建筑劳务合作，指导全县建筑劳务输出工作。</w:t>
      </w:r>
    </w:p>
    <w:p>
      <w:pPr>
        <w:rPr>
          <w:rFonts w:ascii="Times New Roman" w:hAnsi="Times New Roman" w:eastAsia="仿宋" w:cs="Times New Roman"/>
          <w:sz w:val="32"/>
          <w:szCs w:val="32"/>
        </w:rPr>
      </w:pPr>
      <w:r>
        <w:rPr>
          <w:rFonts w:ascii="Times New Roman" w:hAnsi="Times New Roman" w:eastAsia="仿宋" w:cs="Times New Roman"/>
          <w:sz w:val="32"/>
          <w:szCs w:val="32"/>
        </w:rPr>
        <w:t>(十五)负责住房和城乡建设行业人才队伍建设。</w:t>
      </w:r>
    </w:p>
    <w:p>
      <w:pPr>
        <w:rPr>
          <w:rFonts w:ascii="Times New Roman" w:hAnsi="Times New Roman" w:eastAsia="仿宋" w:cs="Times New Roman"/>
          <w:sz w:val="32"/>
          <w:szCs w:val="32"/>
        </w:rPr>
      </w:pPr>
      <w:r>
        <w:rPr>
          <w:rFonts w:ascii="Times New Roman" w:hAnsi="Times New Roman" w:eastAsia="仿宋" w:cs="Times New Roman"/>
          <w:sz w:val="32"/>
          <w:szCs w:val="32"/>
        </w:rPr>
        <w:t>(十六)负责各类房屋建筑及其附属设施和城市市政设施建设工程的抗震设防监督管理。</w:t>
      </w:r>
    </w:p>
    <w:p>
      <w:pPr>
        <w:rPr>
          <w:rFonts w:ascii="Times New Roman" w:hAnsi="Times New Roman" w:eastAsia="仿宋" w:cs="Times New Roman"/>
          <w:sz w:val="32"/>
          <w:szCs w:val="32"/>
        </w:rPr>
      </w:pPr>
      <w:r>
        <w:rPr>
          <w:rFonts w:ascii="Times New Roman" w:hAnsi="Times New Roman" w:eastAsia="仿宋" w:cs="Times New Roman"/>
          <w:sz w:val="32"/>
          <w:szCs w:val="32"/>
        </w:rPr>
        <w:t>(十七)负责城市建设档案监督管理工作。</w:t>
      </w:r>
    </w:p>
    <w:p>
      <w:pPr>
        <w:rPr>
          <w:rFonts w:ascii="Times New Roman" w:hAnsi="Times New Roman" w:eastAsia="仿宋" w:cs="Times New Roman"/>
          <w:sz w:val="32"/>
          <w:szCs w:val="32"/>
        </w:rPr>
      </w:pPr>
      <w:r>
        <w:rPr>
          <w:rFonts w:ascii="Times New Roman" w:hAnsi="Times New Roman" w:eastAsia="仿宋" w:cs="Times New Roman"/>
          <w:sz w:val="32"/>
          <w:szCs w:val="32"/>
        </w:rPr>
        <w:t>(十八)会同有关部门做好支油、支铁建设协调工作。</w:t>
      </w:r>
    </w:p>
    <w:p>
      <w:pPr>
        <w:rPr>
          <w:rFonts w:ascii="Times New Roman" w:hAnsi="Times New Roman" w:eastAsia="仿宋" w:cs="Times New Roman"/>
          <w:sz w:val="32"/>
          <w:szCs w:val="32"/>
        </w:rPr>
      </w:pPr>
      <w:r>
        <w:rPr>
          <w:rFonts w:ascii="Times New Roman" w:hAnsi="Times New Roman" w:eastAsia="仿宋" w:cs="Times New Roman"/>
          <w:sz w:val="32"/>
          <w:szCs w:val="32"/>
        </w:rPr>
        <w:t>(十九)负责直管公有住房的资产、售房款和售后维修资全的管理工作。</w:t>
      </w:r>
    </w:p>
    <w:p>
      <w:pPr>
        <w:rPr>
          <w:rFonts w:ascii="Times New Roman" w:hAnsi="Times New Roman" w:eastAsia="仿宋" w:cs="Times New Roman"/>
          <w:sz w:val="32"/>
          <w:szCs w:val="32"/>
        </w:rPr>
      </w:pPr>
      <w:r>
        <w:rPr>
          <w:rFonts w:ascii="Times New Roman" w:hAnsi="Times New Roman" w:eastAsia="仿宋" w:cs="Times New Roman"/>
          <w:sz w:val="32"/>
          <w:szCs w:val="32"/>
        </w:rPr>
        <w:t>(二十)会同有关部门，做好城市建设行业涉及本部门的相关专业规划的编制和实施工作。</w:t>
      </w:r>
    </w:p>
    <w:p>
      <w:pPr>
        <w:rPr>
          <w:rFonts w:ascii="Times New Roman" w:hAnsi="Times New Roman" w:eastAsia="仿宋" w:cs="Times New Roman"/>
          <w:sz w:val="32"/>
          <w:szCs w:val="32"/>
        </w:rPr>
      </w:pPr>
      <w:r>
        <w:rPr>
          <w:rFonts w:ascii="Times New Roman" w:hAnsi="Times New Roman" w:eastAsia="仿宋" w:cs="Times New Roman"/>
          <w:sz w:val="32"/>
          <w:szCs w:val="32"/>
        </w:rPr>
        <w:t>(二十一)负责住房城乡建设行业信息采集、整理、统计分析、发布等工作。</w:t>
      </w:r>
    </w:p>
    <w:p>
      <w:pPr>
        <w:rPr>
          <w:rFonts w:ascii="Times New Roman" w:hAnsi="Times New Roman" w:eastAsia="仿宋" w:cs="Times New Roman"/>
          <w:sz w:val="32"/>
          <w:szCs w:val="32"/>
        </w:rPr>
      </w:pPr>
      <w:r>
        <w:rPr>
          <w:rFonts w:ascii="Times New Roman" w:hAnsi="Times New Roman" w:eastAsia="仿宋" w:cs="Times New Roman"/>
          <w:sz w:val="32"/>
          <w:szCs w:val="32"/>
        </w:rPr>
        <w:t>(二十二)负责全县供热、燃气行业管理工作。</w:t>
      </w:r>
    </w:p>
    <w:p>
      <w:pPr>
        <w:rPr>
          <w:rFonts w:ascii="Times New Roman" w:hAnsi="Times New Roman" w:eastAsia="仿宋" w:cs="Times New Roman"/>
          <w:sz w:val="32"/>
          <w:szCs w:val="32"/>
        </w:rPr>
      </w:pPr>
      <w:r>
        <w:rPr>
          <w:rFonts w:ascii="Times New Roman" w:hAnsi="Times New Roman" w:eastAsia="仿宋" w:cs="Times New Roman"/>
          <w:sz w:val="32"/>
          <w:szCs w:val="32"/>
        </w:rPr>
        <w:t>(二十三)负责城市污水处理工作。</w:t>
      </w:r>
    </w:p>
    <w:p>
      <w:pPr>
        <w:rPr>
          <w:rFonts w:ascii="Times New Roman" w:hAnsi="Times New Roman" w:eastAsia="仿宋" w:cs="Times New Roman"/>
          <w:sz w:val="32"/>
          <w:szCs w:val="32"/>
        </w:rPr>
      </w:pPr>
      <w:r>
        <w:rPr>
          <w:rFonts w:ascii="Times New Roman" w:hAnsi="Times New Roman" w:eastAsia="仿宋" w:cs="Times New Roman"/>
          <w:sz w:val="32"/>
          <w:szCs w:val="32"/>
        </w:rPr>
        <w:t>(二十四)负责城市建成区内建筑施工扬尘污染的行政处罚、住房和城乡建设方面法律法规规章规定的行政处罚。</w:t>
      </w:r>
    </w:p>
    <w:p>
      <w:pPr>
        <w:rPr>
          <w:rFonts w:ascii="Times New Roman" w:hAnsi="Times New Roman" w:eastAsia="仿宋" w:cs="Times New Roman"/>
          <w:sz w:val="32"/>
          <w:szCs w:val="32"/>
        </w:rPr>
      </w:pPr>
      <w:r>
        <w:rPr>
          <w:rFonts w:ascii="Times New Roman" w:hAnsi="Times New Roman" w:eastAsia="仿宋" w:cs="Times New Roman"/>
          <w:sz w:val="32"/>
          <w:szCs w:val="32"/>
        </w:rPr>
        <w:t>(二十五)完成县委、县政府交办的其他任务。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781"/>
        <w:gridCol w:w="741"/>
        <w:gridCol w:w="848"/>
        <w:gridCol w:w="1557"/>
        <w:gridCol w:w="750"/>
        <w:gridCol w:w="533"/>
        <w:gridCol w:w="533"/>
        <w:gridCol w:w="587"/>
        <w:gridCol w:w="587"/>
        <w:gridCol w:w="532"/>
        <w:gridCol w:w="533"/>
        <w:gridCol w:w="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tblHeader/>
          <w:jc w:val="center"/>
        </w:trPr>
        <w:tc>
          <w:tcPr>
            <w:tcW w:w="0" w:type="auto"/>
            <w:gridSpan w:val="6"/>
            <w:tcBorders>
              <w:top w:val="single" w:color="FFFFFF" w:sz="6" w:space="0"/>
              <w:left w:val="single" w:color="FFFFFF" w:sz="6" w:space="0"/>
              <w:right w:val="single" w:color="FFFFFF" w:sz="6" w:space="0"/>
            </w:tcBorders>
            <w:shd w:val="clear" w:color="auto" w:fill="auto"/>
            <w:vAlign w:val="center"/>
          </w:tcPr>
          <w:p>
            <w:r>
              <w:t>333</w:t>
            </w:r>
            <w:r>
              <w:rPr>
                <w:rFonts w:hint="eastAsia"/>
              </w:rPr>
              <w:t>住建局</w:t>
            </w:r>
          </w:p>
        </w:tc>
        <w:tc>
          <w:tcPr>
            <w:tcW w:w="0" w:type="auto"/>
            <w:gridSpan w:val="6"/>
            <w:tcBorders>
              <w:top w:val="single" w:color="FFFFFF" w:sz="6" w:space="0"/>
              <w:left w:val="single" w:color="FFFFFF" w:sz="6" w:space="0"/>
              <w:right w:val="single" w:color="FFFFFF" w:sz="6" w:space="0"/>
            </w:tcBorders>
            <w:shd w:val="clear" w:color="auto" w:fill="auto"/>
            <w:vAlign w:val="center"/>
          </w:tcPr>
          <w:p>
            <w:r>
              <w:rPr>
                <w:rFonts w:hint="eastAsia"/>
              </w:rPr>
              <w:t>单位：人（辆）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tblHeader/>
          <w:jc w:val="center"/>
        </w:trPr>
        <w:tc>
          <w:tcPr>
            <w:tcW w:w="0" w:type="auto"/>
            <w:vMerge w:val="restart"/>
            <w:shd w:val="clear" w:color="auto" w:fill="auto"/>
            <w:vAlign w:val="center"/>
          </w:tcPr>
          <w:p>
            <w:pPr>
              <w:rPr>
                <w:b/>
              </w:rPr>
            </w:pPr>
            <w:r>
              <w:rPr>
                <w:rFonts w:hint="eastAsia"/>
                <w:b/>
              </w:rPr>
              <w:t>单位名称</w:t>
            </w:r>
          </w:p>
        </w:tc>
        <w:tc>
          <w:tcPr>
            <w:tcW w:w="0" w:type="auto"/>
            <w:vMerge w:val="restart"/>
            <w:shd w:val="clear" w:color="auto" w:fill="auto"/>
            <w:vAlign w:val="center"/>
          </w:tcPr>
          <w:p>
            <w:pPr>
              <w:rPr>
                <w:b/>
              </w:rPr>
            </w:pPr>
            <w:r>
              <w:rPr>
                <w:rFonts w:hint="eastAsia"/>
                <w:b/>
              </w:rPr>
              <w:t>单位性质</w:t>
            </w:r>
          </w:p>
        </w:tc>
        <w:tc>
          <w:tcPr>
            <w:tcW w:w="849" w:type="dxa"/>
            <w:vMerge w:val="restart"/>
            <w:shd w:val="clear" w:color="auto" w:fill="auto"/>
            <w:vAlign w:val="center"/>
          </w:tcPr>
          <w:p>
            <w:pPr>
              <w:rPr>
                <w:b/>
              </w:rPr>
            </w:pPr>
            <w:r>
              <w:rPr>
                <w:rFonts w:hint="eastAsia"/>
                <w:b/>
              </w:rPr>
              <w:t>单位规格</w:t>
            </w:r>
          </w:p>
        </w:tc>
        <w:tc>
          <w:tcPr>
            <w:tcW w:w="1559" w:type="dxa"/>
            <w:vMerge w:val="restart"/>
            <w:shd w:val="clear" w:color="auto" w:fill="auto"/>
            <w:vAlign w:val="center"/>
          </w:tcPr>
          <w:p>
            <w:pPr>
              <w:rPr>
                <w:b/>
              </w:rPr>
            </w:pPr>
            <w:r>
              <w:rPr>
                <w:rFonts w:hint="eastAsia"/>
                <w:b/>
              </w:rPr>
              <w:t>经费保障形式</w:t>
            </w:r>
          </w:p>
        </w:tc>
        <w:tc>
          <w:tcPr>
            <w:tcW w:w="751" w:type="dxa"/>
            <w:vMerge w:val="restart"/>
            <w:shd w:val="clear" w:color="auto" w:fill="auto"/>
            <w:vAlign w:val="center"/>
          </w:tcPr>
          <w:p>
            <w:pPr>
              <w:rPr>
                <w:b/>
              </w:rPr>
            </w:pPr>
            <w:r>
              <w:rPr>
                <w:rFonts w:hint="eastAsia"/>
                <w:b/>
              </w:rPr>
              <w:t>车辆实有数</w:t>
            </w:r>
          </w:p>
        </w:tc>
        <w:tc>
          <w:tcPr>
            <w:tcW w:w="0" w:type="auto"/>
            <w:gridSpan w:val="2"/>
            <w:shd w:val="clear" w:color="auto" w:fill="auto"/>
            <w:vAlign w:val="center"/>
          </w:tcPr>
          <w:p>
            <w:pPr>
              <w:rPr>
                <w:b/>
              </w:rPr>
            </w:pPr>
            <w:r>
              <w:rPr>
                <w:rFonts w:hint="eastAsia"/>
                <w:b/>
              </w:rPr>
              <w:t>编制人数</w:t>
            </w:r>
          </w:p>
        </w:tc>
        <w:tc>
          <w:tcPr>
            <w:tcW w:w="0" w:type="auto"/>
            <w:gridSpan w:val="2"/>
            <w:shd w:val="clear" w:color="auto" w:fill="auto"/>
            <w:vAlign w:val="center"/>
          </w:tcPr>
          <w:p>
            <w:pPr>
              <w:rPr>
                <w:b/>
              </w:rPr>
            </w:pPr>
            <w:r>
              <w:rPr>
                <w:rFonts w:hint="eastAsia"/>
                <w:b/>
              </w:rPr>
              <w:t>在职人数</w:t>
            </w:r>
          </w:p>
        </w:tc>
        <w:tc>
          <w:tcPr>
            <w:tcW w:w="0" w:type="auto"/>
            <w:gridSpan w:val="3"/>
            <w:shd w:val="clear" w:color="auto" w:fill="auto"/>
            <w:vAlign w:val="center"/>
          </w:tcPr>
          <w:p>
            <w:pPr>
              <w:rPr>
                <w:b/>
              </w:rPr>
            </w:pPr>
            <w:r>
              <w:rPr>
                <w:rFonts w:hint="eastAsia"/>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tblHeader/>
          <w:jc w:val="center"/>
        </w:trPr>
        <w:tc>
          <w:tcPr>
            <w:tcW w:w="0" w:type="auto"/>
            <w:vMerge w:val="continue"/>
            <w:shd w:val="clear" w:color="auto" w:fill="auto"/>
            <w:vAlign w:val="center"/>
          </w:tcPr>
          <w:p/>
        </w:tc>
        <w:tc>
          <w:tcPr>
            <w:tcW w:w="0" w:type="auto"/>
            <w:vMerge w:val="continue"/>
            <w:shd w:val="clear" w:color="auto" w:fill="auto"/>
            <w:vAlign w:val="center"/>
          </w:tcPr>
          <w:p/>
        </w:tc>
        <w:tc>
          <w:tcPr>
            <w:tcW w:w="849" w:type="dxa"/>
            <w:vMerge w:val="continue"/>
            <w:shd w:val="clear" w:color="auto" w:fill="auto"/>
            <w:vAlign w:val="center"/>
          </w:tcPr>
          <w:p/>
        </w:tc>
        <w:tc>
          <w:tcPr>
            <w:tcW w:w="1559" w:type="dxa"/>
            <w:vMerge w:val="continue"/>
            <w:shd w:val="clear" w:color="auto" w:fill="auto"/>
            <w:vAlign w:val="center"/>
          </w:tcPr>
          <w:p/>
        </w:tc>
        <w:tc>
          <w:tcPr>
            <w:tcW w:w="751" w:type="dxa"/>
            <w:vMerge w:val="continue"/>
            <w:shd w:val="clear" w:color="auto" w:fill="auto"/>
            <w:vAlign w:val="center"/>
          </w:tcPr>
          <w:p/>
        </w:tc>
        <w:tc>
          <w:tcPr>
            <w:tcW w:w="0" w:type="auto"/>
            <w:shd w:val="clear" w:color="auto" w:fill="auto"/>
            <w:vAlign w:val="center"/>
          </w:tcPr>
          <w:p>
            <w:pPr>
              <w:rPr>
                <w:b/>
              </w:rPr>
            </w:pPr>
            <w:r>
              <w:rPr>
                <w:rFonts w:hint="eastAsia"/>
                <w:b/>
              </w:rPr>
              <w:t>行政</w:t>
            </w:r>
          </w:p>
        </w:tc>
        <w:tc>
          <w:tcPr>
            <w:tcW w:w="0" w:type="auto"/>
            <w:shd w:val="clear" w:color="auto" w:fill="auto"/>
            <w:vAlign w:val="center"/>
          </w:tcPr>
          <w:p>
            <w:pPr>
              <w:rPr>
                <w:b/>
              </w:rPr>
            </w:pPr>
            <w:r>
              <w:rPr>
                <w:rFonts w:hint="eastAsia"/>
                <w:b/>
              </w:rPr>
              <w:t>事业</w:t>
            </w:r>
          </w:p>
        </w:tc>
        <w:tc>
          <w:tcPr>
            <w:tcW w:w="0" w:type="auto"/>
            <w:shd w:val="clear" w:color="auto" w:fill="auto"/>
            <w:vAlign w:val="center"/>
          </w:tcPr>
          <w:p>
            <w:pPr>
              <w:rPr>
                <w:b/>
              </w:rPr>
            </w:pPr>
            <w:r>
              <w:rPr>
                <w:rFonts w:hint="eastAsia"/>
                <w:b/>
              </w:rPr>
              <w:t>行政</w:t>
            </w:r>
          </w:p>
        </w:tc>
        <w:tc>
          <w:tcPr>
            <w:tcW w:w="0" w:type="auto"/>
            <w:shd w:val="clear" w:color="auto" w:fill="auto"/>
            <w:vAlign w:val="center"/>
          </w:tcPr>
          <w:p>
            <w:pPr>
              <w:rPr>
                <w:b/>
              </w:rPr>
            </w:pPr>
            <w:r>
              <w:rPr>
                <w:rFonts w:hint="eastAsia"/>
                <w:b/>
              </w:rPr>
              <w:t>事业</w:t>
            </w:r>
          </w:p>
        </w:tc>
        <w:tc>
          <w:tcPr>
            <w:tcW w:w="0" w:type="auto"/>
            <w:shd w:val="clear" w:color="auto" w:fill="auto"/>
            <w:vAlign w:val="center"/>
          </w:tcPr>
          <w:p>
            <w:pPr>
              <w:rPr>
                <w:b/>
              </w:rPr>
            </w:pPr>
            <w:r>
              <w:rPr>
                <w:rFonts w:hint="eastAsia"/>
                <w:b/>
              </w:rPr>
              <w:t>离休</w:t>
            </w:r>
          </w:p>
        </w:tc>
        <w:tc>
          <w:tcPr>
            <w:tcW w:w="0" w:type="auto"/>
            <w:shd w:val="clear" w:color="auto" w:fill="auto"/>
            <w:vAlign w:val="center"/>
          </w:tcPr>
          <w:p>
            <w:pPr>
              <w:rPr>
                <w:b/>
              </w:rPr>
            </w:pPr>
            <w:r>
              <w:rPr>
                <w:rFonts w:hint="eastAsia"/>
                <w:b/>
              </w:rPr>
              <w:t>退休</w:t>
            </w:r>
          </w:p>
        </w:tc>
        <w:tc>
          <w:tcPr>
            <w:tcW w:w="0" w:type="auto"/>
            <w:shd w:val="clear" w:color="auto" w:fill="auto"/>
            <w:vAlign w:val="center"/>
          </w:tcPr>
          <w:p>
            <w:pPr>
              <w:rPr>
                <w:b/>
              </w:rPr>
            </w:pPr>
            <w:r>
              <w:rPr>
                <w:rFonts w:hint="eastAsia"/>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0" w:type="auto"/>
            <w:shd w:val="clear" w:color="auto" w:fill="auto"/>
            <w:vAlign w:val="center"/>
          </w:tcPr>
          <w:p>
            <w:pPr>
              <w:rPr>
                <w:b/>
              </w:rPr>
            </w:pPr>
            <w:r>
              <w:rPr>
                <w:rFonts w:hint="eastAsia"/>
                <w:b/>
              </w:rPr>
              <w:t>合</w:t>
            </w:r>
            <w:r>
              <w:rPr>
                <w:b/>
              </w:rPr>
              <w:t xml:space="preserve">    </w:t>
            </w:r>
            <w:r>
              <w:rPr>
                <w:rFonts w:hint="eastAsia"/>
                <w:b/>
              </w:rPr>
              <w:t>计</w:t>
            </w:r>
          </w:p>
        </w:tc>
        <w:tc>
          <w:tcPr>
            <w:tcW w:w="0" w:type="auto"/>
            <w:shd w:val="clear" w:color="auto" w:fill="auto"/>
            <w:vAlign w:val="center"/>
          </w:tcPr>
          <w:p>
            <w:pPr>
              <w:rPr>
                <w:b/>
              </w:rPr>
            </w:pPr>
          </w:p>
        </w:tc>
        <w:tc>
          <w:tcPr>
            <w:tcW w:w="849" w:type="dxa"/>
            <w:shd w:val="clear" w:color="auto" w:fill="auto"/>
            <w:vAlign w:val="center"/>
          </w:tcPr>
          <w:p>
            <w:pPr>
              <w:rPr>
                <w:b/>
              </w:rPr>
            </w:pPr>
          </w:p>
        </w:tc>
        <w:tc>
          <w:tcPr>
            <w:tcW w:w="1559" w:type="dxa"/>
            <w:shd w:val="clear" w:color="auto" w:fill="auto"/>
            <w:vAlign w:val="center"/>
          </w:tcPr>
          <w:p>
            <w:pPr>
              <w:rPr>
                <w:b/>
              </w:rPr>
            </w:pPr>
          </w:p>
        </w:tc>
        <w:tc>
          <w:tcPr>
            <w:tcW w:w="751" w:type="dxa"/>
            <w:shd w:val="clear" w:color="auto" w:fill="auto"/>
            <w:vAlign w:val="center"/>
          </w:tcPr>
          <w:p>
            <w:pPr>
              <w:rPr>
                <w:b/>
              </w:rPr>
            </w:pPr>
            <w:r>
              <w:rPr>
                <w:b/>
              </w:rPr>
              <w:t>2</w:t>
            </w:r>
          </w:p>
        </w:tc>
        <w:tc>
          <w:tcPr>
            <w:tcW w:w="0" w:type="auto"/>
            <w:shd w:val="clear" w:color="auto" w:fill="auto"/>
            <w:vAlign w:val="center"/>
          </w:tcPr>
          <w:p>
            <w:pPr>
              <w:rPr>
                <w:b/>
              </w:rPr>
            </w:pPr>
            <w:r>
              <w:rPr>
                <w:b/>
              </w:rPr>
              <w:t>10</w:t>
            </w:r>
          </w:p>
        </w:tc>
        <w:tc>
          <w:tcPr>
            <w:tcW w:w="0" w:type="auto"/>
            <w:shd w:val="clear" w:color="auto" w:fill="auto"/>
            <w:vAlign w:val="center"/>
          </w:tcPr>
          <w:p>
            <w:pPr>
              <w:rPr>
                <w:b/>
              </w:rPr>
            </w:pPr>
            <w:r>
              <w:rPr>
                <w:b/>
              </w:rPr>
              <w:t>42</w:t>
            </w:r>
          </w:p>
        </w:tc>
        <w:tc>
          <w:tcPr>
            <w:tcW w:w="0" w:type="auto"/>
            <w:shd w:val="clear" w:color="auto" w:fill="auto"/>
            <w:vAlign w:val="center"/>
          </w:tcPr>
          <w:p>
            <w:pPr>
              <w:rPr>
                <w:b/>
              </w:rPr>
            </w:pPr>
            <w:r>
              <w:rPr>
                <w:b/>
              </w:rPr>
              <w:t>152</w:t>
            </w:r>
          </w:p>
        </w:tc>
        <w:tc>
          <w:tcPr>
            <w:tcW w:w="0" w:type="auto"/>
            <w:shd w:val="clear" w:color="auto" w:fill="auto"/>
            <w:vAlign w:val="center"/>
          </w:tcPr>
          <w:p>
            <w:pPr>
              <w:rPr>
                <w:b/>
              </w:rPr>
            </w:pPr>
            <w:r>
              <w:rPr>
                <w:b/>
              </w:rPr>
              <w:t>154</w:t>
            </w:r>
          </w:p>
        </w:tc>
        <w:tc>
          <w:tcPr>
            <w:tcW w:w="0" w:type="auto"/>
            <w:shd w:val="clear" w:color="auto" w:fill="auto"/>
            <w:vAlign w:val="center"/>
          </w:tcPr>
          <w:p>
            <w:pPr>
              <w:rPr>
                <w:b/>
              </w:rPr>
            </w:pPr>
          </w:p>
        </w:tc>
        <w:tc>
          <w:tcPr>
            <w:tcW w:w="0" w:type="auto"/>
            <w:shd w:val="clear" w:color="auto" w:fill="auto"/>
            <w:vAlign w:val="center"/>
          </w:tcPr>
          <w:p>
            <w:pPr>
              <w:rPr>
                <w:b/>
              </w:rPr>
            </w:pPr>
            <w:r>
              <w:rPr>
                <w:b/>
              </w:rPr>
              <w:t>49</w:t>
            </w:r>
          </w:p>
        </w:tc>
        <w:tc>
          <w:tcPr>
            <w:tcW w:w="0" w:type="auto"/>
            <w:shd w:val="clear" w:color="auto" w:fill="auto"/>
            <w:vAlign w:val="center"/>
          </w:tcPr>
          <w:p>
            <w:pPr>
              <w:rPr>
                <w:b/>
              </w:rPr>
            </w:pPr>
            <w:r>
              <w:rPr>
                <w:b/>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0" w:type="auto"/>
            <w:shd w:val="clear" w:color="auto" w:fill="auto"/>
            <w:vAlign w:val="center"/>
          </w:tcPr>
          <w:p>
            <w:r>
              <w:rPr>
                <w:rFonts w:hint="eastAsia"/>
              </w:rPr>
              <w:t>无极县住房和城乡建设局</w:t>
            </w:r>
          </w:p>
        </w:tc>
        <w:tc>
          <w:tcPr>
            <w:tcW w:w="0" w:type="auto"/>
            <w:shd w:val="clear" w:color="auto" w:fill="auto"/>
            <w:vAlign w:val="center"/>
          </w:tcPr>
          <w:p>
            <w:r>
              <w:rPr>
                <w:rFonts w:hint="eastAsia"/>
              </w:rPr>
              <w:t>行政</w:t>
            </w:r>
          </w:p>
        </w:tc>
        <w:tc>
          <w:tcPr>
            <w:tcW w:w="849" w:type="dxa"/>
            <w:shd w:val="clear" w:color="auto" w:fill="auto"/>
            <w:vAlign w:val="center"/>
          </w:tcPr>
          <w:p>
            <w:r>
              <w:rPr>
                <w:rFonts w:hint="eastAsia"/>
              </w:rPr>
              <w:t>正科级</w:t>
            </w:r>
          </w:p>
        </w:tc>
        <w:tc>
          <w:tcPr>
            <w:tcW w:w="1559" w:type="dxa"/>
            <w:shd w:val="clear" w:color="auto" w:fill="auto"/>
            <w:vAlign w:val="center"/>
          </w:tcPr>
          <w:p>
            <w:r>
              <w:rPr>
                <w:rFonts w:hint="eastAsia"/>
              </w:rPr>
              <w:t>财政性资金基本保证</w:t>
            </w:r>
          </w:p>
        </w:tc>
        <w:tc>
          <w:tcPr>
            <w:tcW w:w="751" w:type="dxa"/>
            <w:shd w:val="clear" w:color="auto" w:fill="auto"/>
            <w:vAlign w:val="center"/>
          </w:tcPr>
          <w:p>
            <w:r>
              <w:t>1</w:t>
            </w:r>
          </w:p>
        </w:tc>
        <w:tc>
          <w:tcPr>
            <w:tcW w:w="0" w:type="auto"/>
            <w:shd w:val="clear" w:color="auto" w:fill="auto"/>
            <w:vAlign w:val="center"/>
          </w:tcPr>
          <w:p>
            <w:r>
              <w:t>10</w:t>
            </w:r>
          </w:p>
        </w:tc>
        <w:tc>
          <w:tcPr>
            <w:tcW w:w="0" w:type="auto"/>
            <w:shd w:val="clear" w:color="auto" w:fill="auto"/>
            <w:vAlign w:val="center"/>
          </w:tcPr>
          <w:p/>
        </w:tc>
        <w:tc>
          <w:tcPr>
            <w:tcW w:w="0" w:type="auto"/>
            <w:shd w:val="clear" w:color="auto" w:fill="auto"/>
            <w:vAlign w:val="center"/>
          </w:tcPr>
          <w:p>
            <w:r>
              <w:t>152</w:t>
            </w:r>
          </w:p>
        </w:tc>
        <w:tc>
          <w:tcPr>
            <w:tcW w:w="0" w:type="auto"/>
            <w:shd w:val="clear" w:color="auto" w:fill="auto"/>
            <w:vAlign w:val="center"/>
          </w:tcPr>
          <w:p/>
        </w:tc>
        <w:tc>
          <w:tcPr>
            <w:tcW w:w="0" w:type="auto"/>
            <w:shd w:val="clear" w:color="auto" w:fill="auto"/>
            <w:vAlign w:val="center"/>
          </w:tcPr>
          <w:p/>
        </w:tc>
        <w:tc>
          <w:tcPr>
            <w:tcW w:w="0" w:type="auto"/>
            <w:shd w:val="clear" w:color="auto" w:fill="auto"/>
            <w:vAlign w:val="center"/>
          </w:tcPr>
          <w:p>
            <w:r>
              <w:t>49</w:t>
            </w:r>
          </w:p>
        </w:tc>
        <w:tc>
          <w:tcPr>
            <w:tcW w:w="0" w:type="auto"/>
            <w:shd w:val="clear" w:color="auto" w:fill="auto"/>
            <w:vAlign w:val="center"/>
          </w:tcPr>
          <w:p>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0" w:type="auto"/>
            <w:shd w:val="clear" w:color="auto" w:fill="auto"/>
            <w:vAlign w:val="center"/>
          </w:tcPr>
          <w:p>
            <w:r>
              <w:rPr>
                <w:rFonts w:hint="eastAsia"/>
              </w:rPr>
              <w:t>无极县建筑工程质量监督站</w:t>
            </w:r>
          </w:p>
        </w:tc>
        <w:tc>
          <w:tcPr>
            <w:tcW w:w="0" w:type="auto"/>
            <w:shd w:val="clear" w:color="auto" w:fill="auto"/>
            <w:vAlign w:val="center"/>
          </w:tcPr>
          <w:p>
            <w:r>
              <w:rPr>
                <w:rFonts w:hint="eastAsia"/>
              </w:rPr>
              <w:t>事业</w:t>
            </w:r>
          </w:p>
        </w:tc>
        <w:tc>
          <w:tcPr>
            <w:tcW w:w="849" w:type="dxa"/>
            <w:shd w:val="clear" w:color="auto" w:fill="auto"/>
            <w:vAlign w:val="center"/>
          </w:tcPr>
          <w:p>
            <w:r>
              <w:rPr>
                <w:rFonts w:hint="eastAsia"/>
              </w:rPr>
              <w:t>正股级</w:t>
            </w:r>
          </w:p>
        </w:tc>
        <w:tc>
          <w:tcPr>
            <w:tcW w:w="1559" w:type="dxa"/>
            <w:shd w:val="clear" w:color="auto" w:fill="auto"/>
            <w:vAlign w:val="center"/>
          </w:tcPr>
          <w:p>
            <w:r>
              <w:rPr>
                <w:rFonts w:hint="eastAsia"/>
              </w:rPr>
              <w:t>财政性资金零补助</w:t>
            </w:r>
          </w:p>
        </w:tc>
        <w:tc>
          <w:tcPr>
            <w:tcW w:w="751" w:type="dxa"/>
            <w:shd w:val="clear" w:color="auto" w:fill="auto"/>
            <w:vAlign w:val="center"/>
          </w:tcPr>
          <w:p>
            <w:r>
              <w:t>1</w:t>
            </w:r>
          </w:p>
        </w:tc>
        <w:tc>
          <w:tcPr>
            <w:tcW w:w="0" w:type="auto"/>
            <w:shd w:val="clear" w:color="auto" w:fill="auto"/>
            <w:vAlign w:val="center"/>
          </w:tcPr>
          <w:p/>
        </w:tc>
        <w:tc>
          <w:tcPr>
            <w:tcW w:w="0" w:type="auto"/>
            <w:shd w:val="clear" w:color="auto" w:fill="auto"/>
            <w:vAlign w:val="center"/>
          </w:tcPr>
          <w:p>
            <w:r>
              <w:t>22</w:t>
            </w:r>
          </w:p>
        </w:tc>
        <w:tc>
          <w:tcPr>
            <w:tcW w:w="0" w:type="auto"/>
            <w:shd w:val="clear" w:color="auto" w:fill="auto"/>
            <w:vAlign w:val="center"/>
          </w:tcPr>
          <w:p/>
        </w:tc>
        <w:tc>
          <w:tcPr>
            <w:tcW w:w="0" w:type="auto"/>
            <w:shd w:val="clear" w:color="auto" w:fill="auto"/>
            <w:vAlign w:val="center"/>
          </w:tcPr>
          <w:p>
            <w:r>
              <w:t>27</w:t>
            </w:r>
          </w:p>
        </w:tc>
        <w:tc>
          <w:tcPr>
            <w:tcW w:w="0" w:type="auto"/>
            <w:shd w:val="clear" w:color="auto" w:fill="auto"/>
            <w:vAlign w:val="center"/>
          </w:tcPr>
          <w:p/>
        </w:tc>
        <w:tc>
          <w:tcPr>
            <w:tcW w:w="0" w:type="auto"/>
            <w:shd w:val="clear" w:color="auto" w:fill="auto"/>
            <w:vAlign w:val="center"/>
          </w:tcPr>
          <w:p/>
        </w:tc>
        <w:tc>
          <w:tcPr>
            <w:tcW w:w="0" w:type="auto"/>
            <w:shd w:val="clear" w:color="auto" w:fill="auto"/>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0" w:type="auto"/>
            <w:shd w:val="clear" w:color="auto" w:fill="auto"/>
            <w:vAlign w:val="center"/>
          </w:tcPr>
          <w:p>
            <w:r>
              <w:rPr>
                <w:rFonts w:hint="eastAsia"/>
              </w:rPr>
              <w:t>无极县住房保障和房产服务中心</w:t>
            </w:r>
          </w:p>
        </w:tc>
        <w:tc>
          <w:tcPr>
            <w:tcW w:w="0" w:type="auto"/>
            <w:shd w:val="clear" w:color="auto" w:fill="auto"/>
            <w:vAlign w:val="center"/>
          </w:tcPr>
          <w:p>
            <w:r>
              <w:rPr>
                <w:rFonts w:hint="eastAsia"/>
              </w:rPr>
              <w:t>事业</w:t>
            </w:r>
          </w:p>
        </w:tc>
        <w:tc>
          <w:tcPr>
            <w:tcW w:w="849" w:type="dxa"/>
            <w:shd w:val="clear" w:color="auto" w:fill="auto"/>
            <w:vAlign w:val="center"/>
          </w:tcPr>
          <w:p>
            <w:r>
              <w:rPr>
                <w:rFonts w:hint="eastAsia"/>
              </w:rPr>
              <w:t>正股级</w:t>
            </w:r>
          </w:p>
        </w:tc>
        <w:tc>
          <w:tcPr>
            <w:tcW w:w="1559" w:type="dxa"/>
            <w:shd w:val="clear" w:color="auto" w:fill="auto"/>
            <w:vAlign w:val="center"/>
          </w:tcPr>
          <w:p>
            <w:r>
              <w:rPr>
                <w:rFonts w:hint="eastAsia"/>
              </w:rPr>
              <w:t>财政性资金定额或定项补助</w:t>
            </w:r>
          </w:p>
        </w:tc>
        <w:tc>
          <w:tcPr>
            <w:tcW w:w="751" w:type="dxa"/>
            <w:shd w:val="clear" w:color="auto" w:fill="auto"/>
            <w:vAlign w:val="center"/>
          </w:tcPr>
          <w:p/>
        </w:tc>
        <w:tc>
          <w:tcPr>
            <w:tcW w:w="0" w:type="auto"/>
            <w:shd w:val="clear" w:color="auto" w:fill="auto"/>
            <w:vAlign w:val="center"/>
          </w:tcPr>
          <w:p/>
        </w:tc>
        <w:tc>
          <w:tcPr>
            <w:tcW w:w="0" w:type="auto"/>
            <w:shd w:val="clear" w:color="auto" w:fill="auto"/>
            <w:vAlign w:val="center"/>
          </w:tcPr>
          <w:p>
            <w:r>
              <w:t>20</w:t>
            </w:r>
          </w:p>
        </w:tc>
        <w:tc>
          <w:tcPr>
            <w:tcW w:w="0" w:type="auto"/>
            <w:shd w:val="clear" w:color="auto" w:fill="auto"/>
            <w:vAlign w:val="center"/>
          </w:tcPr>
          <w:p/>
        </w:tc>
        <w:tc>
          <w:tcPr>
            <w:tcW w:w="0" w:type="auto"/>
            <w:shd w:val="clear" w:color="auto" w:fill="auto"/>
            <w:vAlign w:val="center"/>
          </w:tcPr>
          <w:p>
            <w:r>
              <w:t>17</w:t>
            </w:r>
          </w:p>
        </w:tc>
        <w:tc>
          <w:tcPr>
            <w:tcW w:w="0" w:type="auto"/>
            <w:shd w:val="clear" w:color="auto" w:fill="auto"/>
            <w:vAlign w:val="center"/>
          </w:tcPr>
          <w:p/>
        </w:tc>
        <w:tc>
          <w:tcPr>
            <w:tcW w:w="0" w:type="auto"/>
            <w:shd w:val="clear" w:color="auto" w:fill="auto"/>
            <w:vAlign w:val="center"/>
          </w:tcPr>
          <w:p/>
        </w:tc>
        <w:tc>
          <w:tcPr>
            <w:tcW w:w="0" w:type="auto"/>
            <w:shd w:val="clear" w:color="auto" w:fill="auto"/>
            <w:vAlign w:val="center"/>
          </w:tc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我部门</w:t>
      </w:r>
      <w:r>
        <w:rPr>
          <w:rFonts w:ascii="Times New Roman" w:hAnsi="Times New Roman" w:eastAsia="仿宋" w:cs="Times New Roman"/>
          <w:sz w:val="32"/>
          <w:szCs w:val="32"/>
        </w:rPr>
        <w:t>及所属单位的收支包含在部门预算中。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反映本部门当年全部收入。2020年预算收入5370.71万元，其中：一般公共预算收入5370.71万元，基金预算收入0万元，财政专户核拨收入0万元，其他来源收入0万元。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2020年部门支出预算为5370.71万元，其中基本支出1771.71万元，包括人员经费1609.29万元和日常公用经费162.42万元；项目支出3599万元，主要为城乡社区支出3283万元，住房保障支出316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2020年部门预算收支安排5370.71万元，较2019年减少8243.11万元，其中：基本支出增加950.29万元，主要是自支人员经费及日常公用支出去年按项目列支，今年在基本支出中列支；项目支出减少9193.4万元，</w:t>
      </w:r>
      <w:r>
        <w:rPr>
          <w:rFonts w:hint="eastAsia" w:ascii="仿宋_GB2312" w:eastAsia="仿宋_GB2312"/>
          <w:sz w:val="32"/>
          <w:szCs w:val="32"/>
        </w:rPr>
        <w:t>主要是由于项目调整减少</w:t>
      </w:r>
      <w:r>
        <w:rPr>
          <w:rFonts w:hint="eastAsia" w:ascii="Times New Roman" w:hAnsi="Times New Roman" w:eastAsia="仿宋" w:cs="Times New Roman"/>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2020年，我部门机关运行经费共计安排162.42万元，主要用于保证机关正常运转的办公及印刷费、邮电费、差旅费、会议费、办公设备购置费、水费、日常维修费、公务车运行维护费等支出。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3.5万元，其中：因公出国（境）费0万元；公务用车购置及运维费3万元（其中：公务用车购置费0万元，公务用车运行维护费3万元)；公务接待费0.5万元。“三公”经费比上年减少0.2万元，主要是响应国家号召，缩减开支。</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一是负责住房城乡建设行业安全生产监管。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二是负责城区保障房配建、分配、维护管理及专项资金监督使用等工作。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三是负责全县房地产市场的监督管理。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四是负责建筑市场的监督管理。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五是负责组织实施县政府安排的城区市政基础设施建设工作。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六是负责城市污水处理工作。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七是负责老旧小区改造工程建设。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八是负责既有建筑节能改造工作，完成约2.3万平方米改造任务。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九是棚户区老旧小区农村危房改造工作。</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继续推进路网及管网提质改造。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绩效目标：不断加大基础设施项目建设力度，完善基础设施，提升城市承载能力。</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绩效指标：一是对老城区</w:t>
      </w:r>
      <w:r>
        <w:rPr>
          <w:rFonts w:hint="eastAsia" w:ascii="Times New Roman" w:hAnsi="Times New Roman" w:eastAsia="仿宋" w:cs="Times New Roman"/>
          <w:sz w:val="32"/>
          <w:szCs w:val="32"/>
          <w:lang w:eastAsia="zh-CN"/>
        </w:rPr>
        <w:t>群众反映</w:t>
      </w:r>
      <w:r>
        <w:rPr>
          <w:rFonts w:ascii="Times New Roman" w:hAnsi="Times New Roman" w:eastAsia="仿宋" w:cs="Times New Roman"/>
          <w:sz w:val="32"/>
          <w:szCs w:val="32"/>
        </w:rPr>
        <w:t>出行难的街巷进行翻修，如华瑞地毯厂家属院道路、芙蓉街、平安街；二是拉大城市框架，将开放路西延、规划五街南延、产业大道北延、中昌路东延；三是启动城北新区的路网建设，计划先修建5条主干路，包括新城路、荣城路、滨河路、向阳街、研学路。</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力推棚户区老旧小区农村危房改造，构建宜居城市。</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绩效目标：促进危房改造工作，加快棚户区改造步伐，推进老旧小区改造工程建设。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大规模启动姚村城中村拆迁、回迁楼建设；启动法院家属院棚户区改造项目的征收及回迁楼建设；谋划花园街沿线几个旧城区地块项目的改造。推进老旧小区改造工程建设，完成邮政家属楼、联社生活区、人行家属楼3个老旧小区改造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抓好生态文明建设，促进高质量发展。</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绩效目标：加快冬季清洁取暖步伐，建筑节能工作持续稳步推进，加强施工扬尘治理。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绩效指标：积极推进宝石花地热能供暖试点建设。完成中国银行家属楼、建行家属楼、基金会家属楼、商业局家属楼、城关家属楼（外墙保温或窗体更换）共计约2.3万平方米改造任务。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w:t>
      </w:r>
      <w:r>
        <w:rPr>
          <w:rFonts w:ascii="Times New Roman" w:hAnsi="Times New Roman" w:eastAsia="仿宋" w:cs="Times New Roman"/>
          <w:sz w:val="32"/>
          <w:szCs w:val="32"/>
        </w:rPr>
        <w:t>保证污水处理厂稳定运行。</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绩效目标：保证污水处理达标运行。</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一是积极协调、沟通污水处理一体化ppp项目中标单位尽快完成项目协议及合同的签订。项目实施当中严格按照PPP实施方案考核内容对污水厂进行监管。二是完成无极县城市综合污水处理厂技术改造工程。三是完成制革废水集中处理厂技术改造工程。四是完成无极县污水处理厂提标改造工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w:t>
      </w:r>
      <w:r>
        <w:rPr>
          <w:rFonts w:ascii="Times New Roman" w:hAnsi="Times New Roman" w:eastAsia="仿宋" w:cs="Times New Roman"/>
          <w:sz w:val="32"/>
          <w:szCs w:val="32"/>
        </w:rPr>
        <w:t>加强监管，住房和建设市场健康有序发展。</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绩效目标：巩固“双违”成果，促进房地产市场健康发展，强化安全生产监管，消除事故隐患。</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绩效指标：加强施工扬尘治理，加强住房和建设市场健康有序发展监管力度，坚持联合执法和专项执法相结合，实行网格化管理，强化安全生产监管，消除事故隐患。</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w:t>
      </w:r>
      <w:r>
        <w:rPr>
          <w:rFonts w:ascii="Times New Roman" w:hAnsi="Times New Roman" w:eastAsia="仿宋" w:cs="Times New Roman"/>
          <w:sz w:val="32"/>
          <w:szCs w:val="32"/>
        </w:rPr>
        <w:t>保障性安居工程。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绩效目标：做好保障性安居工程建设。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绩效指标：一是新开工法院家属院及周边棚户区改造项目，共76套；二是原石油公司家属院棚改项目基本建成，共53套；三是抓好盛世华庭保障房拍卖工作。</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加强支出管理。通过优化支出结构、编细编实预算、加快履行政府采购手续、尽快启动项目、及时支付资金、按规定及时下达资金等多种措施，确保支出进度达标。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加强绩效运行监控。按要求开展绩效运行监控，发现问题及时采取措施，确保绩效目标如期保质实现。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做好绩效自评。按要求开展上年度部门预算绩效自评和重点评价工作，对评价中发现的问题及时整改，调整优化支出结构，提高财政资金使用效益。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规范财务资产管理。完善局财务管理制度，建立财务领导小组，严格各项审批程序，加强局所有固定资产登记、使用和报废处置管理，做到支出合理，物尽其用。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hAnsi="宋体"/>
          <w:b/>
          <w:sz w:val="28"/>
        </w:rPr>
      </w:pPr>
      <w:r>
        <w:rPr>
          <w:rFonts w:hint="eastAsia" w:ascii="方正仿宋_GBK" w:eastAsia="方正仿宋_GBK"/>
          <w:b/>
          <w:sz w:val="28"/>
        </w:rPr>
        <w:t xml:space="preserve">  </w:t>
      </w:r>
      <w:bookmarkEnd w:id="0"/>
      <w:r>
        <w:rPr>
          <w:rFonts w:hint="eastAsia" w:ascii="方正仿宋_GBK" w:eastAsia="方正仿宋_GBK"/>
          <w:b/>
          <w:sz w:val="28"/>
        </w:rPr>
        <w:t>1、PM10检测设备采购绩效目标表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4954589"/>
      <w:r>
        <w:rPr>
          <w:rFonts w:hint="eastAsia" w:ascii="方正仿宋_GBK" w:eastAsia="方正仿宋_GBK"/>
          <w:b/>
          <w:sz w:val="28"/>
        </w:rPr>
        <w:instrText xml:space="preserve">1、PM10检测设备采购绩效目标表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无极县住房和城乡建设局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333-0302-YBN-DBW8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PM10</w:t>
            </w:r>
            <w:r>
              <w:rPr>
                <w:rFonts w:hint="eastAsia" w:ascii="方正书宋_GBK" w:eastAsia="方正书宋_GBK"/>
              </w:rPr>
              <w:t>检测设备采购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购买光散式</w:t>
            </w:r>
            <w:r>
              <w:rPr>
                <w:rFonts w:ascii="方正书宋_GBK" w:eastAsia="方正书宋_GBK"/>
              </w:rPr>
              <w:t>PM10</w:t>
            </w:r>
            <w:r>
              <w:rPr>
                <w:rFonts w:hint="eastAsia" w:ascii="方正书宋_GBK" w:eastAsia="方正书宋_GBK"/>
              </w:rPr>
              <w:t>监测设备</w:t>
            </w:r>
            <w:r>
              <w:rPr>
                <w:rFonts w:ascii="方正书宋_GBK" w:eastAsia="方正书宋_GBK"/>
              </w:rPr>
              <w:t>25</w:t>
            </w:r>
            <w:r>
              <w:rPr>
                <w:rFonts w:hint="eastAsia" w:ascii="方正书宋_GBK" w:eastAsia="方正书宋_GBK"/>
              </w:rPr>
              <w:t>台</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w:t>
            </w:r>
            <w:r>
              <w:rPr>
                <w:rFonts w:ascii="方正书宋_GBK" w:eastAsia="方正书宋_GBK"/>
              </w:rPr>
              <w:t>5000</w:t>
            </w:r>
            <w:r>
              <w:rPr>
                <w:rFonts w:hint="eastAsia" w:ascii="方正书宋_GBK" w:eastAsia="方正书宋_GBK"/>
              </w:rPr>
              <w:t>平方米以上土石方建筑工地全部安装在线监测和视频监控装置</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安装后验收合格设备的比例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监测点正常运转率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监测点正常运转的比例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群众对扬尘治理满意程度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监测点运行持续性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监测点是否持续运行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项目后期管护延续性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相关单位对监测点后期持续管护情况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项目参与人员满意度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单位对监测设备安装满意度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群众对扬尘治理满意度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2、保障房经费绩效目标表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954590"/>
      <w:r>
        <w:rPr>
          <w:rFonts w:hint="eastAsia" w:ascii="方正仿宋_GBK" w:eastAsia="方正仿宋_GBK"/>
          <w:b/>
          <w:sz w:val="28"/>
        </w:rPr>
        <w:instrText xml:space="preserve">2、保障房经费绩效目标表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无极县住房和城乡建设局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333-0101-YBN-9GU8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保障房经费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用于保障性住房相关经费支出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、保证保障性住房相关业务顺利开展</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服务保障性安居人数量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保障性住房满足基本居住功能需要比例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保障房满足基本居住功能的比率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保障房在相当于本地区抗震设防烈度地震中表现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保障房在抗震防裂地震中情况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无严重毁损</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新建房屋保证安全期限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保障性住房安全期限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被调查满意人数占总人数比例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3、差额事业人员工资绩效目标表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4954591"/>
      <w:r>
        <w:rPr>
          <w:rFonts w:hint="eastAsia" w:ascii="方正仿宋_GBK" w:eastAsia="方正仿宋_GBK"/>
          <w:b/>
          <w:sz w:val="28"/>
        </w:rPr>
        <w:instrText xml:space="preserve">3、差额事业人员工资绩效目标表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无极县住房和城乡建设局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333-0601-YBN-AL74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差额事业人员工资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w:t>
            </w:r>
            <w:r>
              <w:rPr>
                <w:rFonts w:ascii="方正书宋_GBK" w:eastAsia="方正书宋_GBK"/>
              </w:rPr>
              <w:t>4</w:t>
            </w:r>
            <w:r>
              <w:rPr>
                <w:rFonts w:hint="eastAsia" w:ascii="方正书宋_GBK" w:eastAsia="方正书宋_GBK"/>
              </w:rPr>
              <w:t>名差额事业在职人员的工资</w:t>
            </w:r>
            <w:r>
              <w:rPr>
                <w:rFonts w:ascii="方正书宋_GBK" w:eastAsia="方正书宋_GBK"/>
              </w:rPr>
              <w:t>,</w:t>
            </w:r>
            <w:r>
              <w:rPr>
                <w:rFonts w:hint="eastAsia" w:ascii="方正书宋_GBK" w:eastAsia="方正书宋_GBK"/>
              </w:rPr>
              <w:t>社保费等支出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、工资及时发放</w:t>
            </w:r>
            <w:r>
              <w:rPr>
                <w:rFonts w:ascii="方正书宋_GBK" w:eastAsia="方正书宋_GBK"/>
              </w:rPr>
              <w:t>,</w:t>
            </w:r>
            <w:r>
              <w:rPr>
                <w:rFonts w:hint="eastAsia" w:ascii="方正书宋_GBK" w:eastAsia="方正书宋_GBK"/>
              </w:rPr>
              <w:t>社保费及时缴纳</w:t>
            </w:r>
            <w:r>
              <w:rPr>
                <w:rFonts w:ascii="方正书宋_GBK" w:eastAsia="方正书宋_GBK"/>
              </w:rPr>
              <w:t>,</w:t>
            </w:r>
            <w:r>
              <w:rPr>
                <w:rFonts w:hint="eastAsia" w:ascii="方正书宋_GBK" w:eastAsia="方正书宋_GBK"/>
              </w:rPr>
              <w:t>公积金及时缴存</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w:t>
            </w:r>
            <w:r>
              <w:rPr>
                <w:rFonts w:ascii="方正书宋_GBK" w:eastAsia="方正书宋_GBK"/>
              </w:rPr>
              <w:t>4</w:t>
            </w:r>
            <w:r>
              <w:rPr>
                <w:rFonts w:hint="eastAsia" w:ascii="方正书宋_GBK" w:eastAsia="方正书宋_GBK"/>
              </w:rPr>
              <w:t>名职工的生活</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工资发放覆盖比率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按月发放工资比率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工资按月及时发放的比例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社保费到位率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缴纳社保费占应缴纳资金的比例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发放物业补贴发放完成率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公积金缴存率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实缴公积金的金额占应缴金额的比例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取暖费发放率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实发取暖费占应发金额的比例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职工对工资满意度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职工对当年工资发放整体满意度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职工对公积金缴存满意度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职工对当年公积金缴存整体满意度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职工对目标绩效奖满意度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职工对当年目标绩效奖发放整体满意度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4、城北厂托管费用绩效目标表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4954592"/>
      <w:r>
        <w:rPr>
          <w:rFonts w:hint="eastAsia" w:ascii="方正仿宋_GBK" w:eastAsia="方正仿宋_GBK"/>
          <w:b/>
          <w:sz w:val="28"/>
        </w:rPr>
        <w:instrText xml:space="preserve">4、城北厂托管费用绩效目标表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无极县住房和城乡建设局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333-0301-YBN-PGEN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城北厂托管费用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用于中信环境公司托管运营污水厂费用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、保证污水厂正常运行</w:t>
            </w:r>
            <w:r>
              <w:rPr>
                <w:rFonts w:ascii="方正书宋_GBK" w:eastAsia="方正书宋_GBK"/>
              </w:rPr>
              <w:t>,</w:t>
            </w:r>
            <w:r>
              <w:rPr>
                <w:rFonts w:hint="eastAsia" w:ascii="方正书宋_GBK" w:eastAsia="方正书宋_GBK"/>
              </w:rPr>
              <w:t>污水得以处理后排放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污水厂处理污水设备正常使用比例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污水经处理后排放的比例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饮水卫生合格率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城乡居民饮水卫生合格的比例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群众对污水处理厂处理污水满意度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污水能够得到处理的时间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群众对污水处理厂处理污水满意度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5、防雷检测绩效目标表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4954593"/>
      <w:r>
        <w:rPr>
          <w:rFonts w:hint="eastAsia" w:ascii="方正仿宋_GBK" w:eastAsia="方正仿宋_GBK"/>
          <w:b/>
          <w:sz w:val="28"/>
        </w:rPr>
        <w:instrText xml:space="preserve">5、防雷检测绩效目标表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无极县住房和城乡建设局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333-0301-YBN-VBB6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防雷检测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该项目资金用于房建工程和市政基础设施工程防雷装置设计审核</w:t>
            </w:r>
            <w:r>
              <w:rPr>
                <w:rFonts w:ascii="方正书宋_GBK" w:eastAsia="方正书宋_GBK"/>
              </w:rPr>
              <w:t>,</w:t>
            </w:r>
            <w:r>
              <w:rPr>
                <w:rFonts w:hint="eastAsia" w:ascii="方正书宋_GBK" w:eastAsia="方正书宋_GBK"/>
              </w:rPr>
              <w:t>竣工验收许可的委托业务费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、由我单位委托相关中介机构开展防雷装置设计审核</w:t>
            </w:r>
            <w:r>
              <w:rPr>
                <w:rFonts w:ascii="方正书宋_GBK" w:eastAsia="方正书宋_GBK"/>
              </w:rPr>
              <w:t>,</w:t>
            </w:r>
            <w:r>
              <w:rPr>
                <w:rFonts w:hint="eastAsia" w:ascii="方正书宋_GBK" w:eastAsia="方正书宋_GBK"/>
              </w:rPr>
              <w:t>竣工验收活动</w:t>
            </w:r>
            <w:r>
              <w:rPr>
                <w:rFonts w:ascii="方正书宋_GBK" w:eastAsia="方正书宋_GBK"/>
              </w:rPr>
              <w:t>.</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防雷装置覆盖率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安装防雷装置的工程数占总工程数的比例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防雷装置正常运转率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防雷装置正常运转比例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满意群众占总调查群众的比例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防雷装置有效性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防雷装置防雷有效性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项目后期管护延续性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防雷装置后期管护延续性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群众对安装防雷装置满意的比例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1"/>
        <w:rPr>
          <w:rFonts w:hAnsi="宋体"/>
          <w:b/>
          <w:sz w:val="28"/>
        </w:rPr>
      </w:pPr>
      <w:r>
        <w:rPr>
          <w:rFonts w:hint="eastAsia" w:ascii="方正仿宋_GBK" w:eastAsia="方正仿宋_GBK"/>
          <w:b/>
          <w:sz w:val="28"/>
        </w:rPr>
        <w:t>6、河北省财政厅关于提前下达2020年省级财政农村危房改造补助资金预算的通知绩效目标表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4954594"/>
      <w:r>
        <w:rPr>
          <w:rFonts w:hint="eastAsia" w:ascii="方正仿宋_GBK" w:eastAsia="方正仿宋_GBK"/>
          <w:b/>
          <w:sz w:val="28"/>
        </w:rPr>
        <w:instrText xml:space="preserve">6、河北省财政厅关于提前下达2020年省级财政农村危房改造补助资金预算的通知绩效目标表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无极县住房和城乡建设局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333-0101-YBN-3CCB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河北省财政厅关于提前下达</w:t>
            </w:r>
            <w:r>
              <w:rPr>
                <w:rFonts w:ascii="方正书宋_GBK" w:eastAsia="方正书宋_GBK"/>
              </w:rPr>
              <w:t>2020</w:t>
            </w:r>
            <w:r>
              <w:rPr>
                <w:rFonts w:hint="eastAsia" w:ascii="方正书宋_GBK" w:eastAsia="方正书宋_GBK"/>
              </w:rPr>
              <w:t>年省级财政农村危房改造补助资金预算的通知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该资金专项用于解决我县建档立卡贫困户、低保户、农村分散供养特困人员、贫困残疾人家庭的危房改造以及其他符合政策规定的农村困难群众基本住房安全保障支出。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、帮助住房最危险、经济最贫困农户解决最基本的安全住房</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★★★建档立卡贫困户危房改造数量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建档立卡贫困户危房改造数量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改造后房屋验收合格比例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改造后房屋满足基本居住功能需要比例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改造后房屋满足基本居住功能比例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当年开工率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开工比例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改造后房屋在相当于本地区抗震设防烈度地震中无严重毁损的比例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改造后房屋在相当于本地区抗震设防烈度地震中的表现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无严重毁损</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改造后房屋人畜分离、卫生厕所等基本卫生条件有基本保障的比例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人畜分离、卫生厕所等基本卫生条件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★改造后房屋入住率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改造后房屋入住比率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★受益建档立卡贫困人口满意度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危房改造户满意度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7、河北省财政厅关于提前下达2020年中央财政农村危房改造补助资金预算的通知绩效目标表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4954595"/>
      <w:r>
        <w:rPr>
          <w:rFonts w:hint="eastAsia" w:ascii="方正仿宋_GBK" w:eastAsia="方正仿宋_GBK"/>
          <w:b/>
          <w:sz w:val="28"/>
        </w:rPr>
        <w:instrText xml:space="preserve">7、河北省财政厅关于提前下达2020年中央财政农村危房改造补助资金预算的通知绩效目标表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无极县住房和城乡建设局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333-0101-YBN-KCCS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河北省财政厅关于提前下达</w:t>
            </w:r>
            <w:r>
              <w:rPr>
                <w:rFonts w:ascii="方正书宋_GBK" w:eastAsia="方正书宋_GBK"/>
              </w:rPr>
              <w:t>2020</w:t>
            </w:r>
            <w:r>
              <w:rPr>
                <w:rFonts w:hint="eastAsia" w:ascii="方正书宋_GBK" w:eastAsia="方正书宋_GBK"/>
              </w:rPr>
              <w:t>年中央财政农村危房改造补助资金预算的通知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该资金专项用于解决我县建档立卡贫困户、低保户、农村分散供养特困人员、贫困残疾人家庭的危房改造以及其他符合政策规定的农村困难群众基本住房安全保障支出。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、帮助住房最危险、经济最贫困农户解决最基本的安全住房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、完成中央、省安排的</w:t>
            </w:r>
            <w:r>
              <w:rPr>
                <w:rFonts w:ascii="方正书宋_GBK" w:eastAsia="方正书宋_GBK"/>
              </w:rPr>
              <w:t>2020-2021</w:t>
            </w:r>
            <w:r>
              <w:rPr>
                <w:rFonts w:hint="eastAsia" w:ascii="方正书宋_GBK" w:eastAsia="方正书宋_GBK"/>
              </w:rPr>
              <w:t>年度农村危房改造任务</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★★★建档立卡贫困户危房改造数量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建档立卡贫困户危房改造数量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改造后房屋验收合格比例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改造后房屋满足基本居住功能需要比例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改造后房屋满足基本居住功能比例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当年开工率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开工比例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改造后房屋在相当于本地区抗震设防烈度地震中无严重毁损的比例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改造后房屋在相当于本地区抗震设防烈度地震中的表现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无严重毁损</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改造后房屋人畜分离、卫生厕所等基本卫生条件有基本保障的比例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人畜分离、卫生厕所等基本卫生条件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★改造后房屋入住率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改造后房屋入住比率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★受益建档立卡贫困人口满意度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危房改造户满意度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8、柳见雨水泵站运转费用绩效目标表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4954596"/>
      <w:r>
        <w:rPr>
          <w:rFonts w:hint="eastAsia" w:ascii="方正仿宋_GBK" w:eastAsia="方正仿宋_GBK"/>
          <w:b/>
          <w:sz w:val="28"/>
        </w:rPr>
        <w:instrText xml:space="preserve">8、柳见雨水泵站运转费用绩效目标表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无极县住房和城乡建设局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333-0301-YBN-G1NP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柳见雨水泵站运转费用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用于柳见泵站电费</w:t>
            </w:r>
            <w:r>
              <w:rPr>
                <w:rFonts w:ascii="方正书宋_GBK" w:eastAsia="方正书宋_GBK"/>
              </w:rPr>
              <w:t>,</w:t>
            </w:r>
            <w:r>
              <w:rPr>
                <w:rFonts w:hint="eastAsia" w:ascii="方正书宋_GBK" w:eastAsia="方正书宋_GBK"/>
              </w:rPr>
              <w:t>值班人员工资</w:t>
            </w:r>
            <w:r>
              <w:rPr>
                <w:rFonts w:ascii="方正书宋_GBK" w:eastAsia="方正书宋_GBK"/>
              </w:rPr>
              <w:t>,</w:t>
            </w:r>
            <w:r>
              <w:rPr>
                <w:rFonts w:hint="eastAsia" w:ascii="方正书宋_GBK" w:eastAsia="方正书宋_GBK"/>
              </w:rPr>
              <w:t>维护费支出</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、保证产业大道及县城东南部管网排水</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值班人员工资发放率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实发金额占应发金额的比率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泵站正常使用比率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雨污水处理率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雨污水处理的比率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被调查满意人数占总人数的比率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设施使用年限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水泵使用年限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群众对泵站排水效果满意的比率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9、暨有建筑节能改造绩效目标表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4954597"/>
      <w:r>
        <w:rPr>
          <w:rFonts w:hint="eastAsia" w:ascii="方正仿宋_GBK" w:eastAsia="方正仿宋_GBK"/>
          <w:b/>
          <w:sz w:val="28"/>
        </w:rPr>
        <w:instrText xml:space="preserve">9、暨有建筑节能改造绩效目标表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无极县住房和城乡建设局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333-0501-YBN-CRB8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暨有建筑节能改造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414.00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414.00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用于中行家属楼</w:t>
            </w:r>
            <w:r>
              <w:rPr>
                <w:rFonts w:ascii="方正书宋_GBK" w:eastAsia="方正书宋_GBK"/>
              </w:rPr>
              <w:t>,</w:t>
            </w:r>
            <w:r>
              <w:rPr>
                <w:rFonts w:hint="eastAsia" w:ascii="方正书宋_GBK" w:eastAsia="方正书宋_GBK"/>
              </w:rPr>
              <w:t>建行家属楼</w:t>
            </w:r>
            <w:r>
              <w:rPr>
                <w:rFonts w:ascii="方正书宋_GBK" w:eastAsia="方正书宋_GBK"/>
              </w:rPr>
              <w:t>,</w:t>
            </w:r>
            <w:r>
              <w:rPr>
                <w:rFonts w:hint="eastAsia" w:ascii="方正书宋_GBK" w:eastAsia="方正书宋_GBK"/>
              </w:rPr>
              <w:t>基金会家属楼</w:t>
            </w:r>
            <w:r>
              <w:rPr>
                <w:rFonts w:ascii="方正书宋_GBK" w:eastAsia="方正书宋_GBK"/>
              </w:rPr>
              <w:t>,</w:t>
            </w:r>
            <w:r>
              <w:rPr>
                <w:rFonts w:hint="eastAsia" w:ascii="方正书宋_GBK" w:eastAsia="方正书宋_GBK"/>
              </w:rPr>
              <w:t>城关家属楼</w:t>
            </w:r>
            <w:r>
              <w:rPr>
                <w:rFonts w:ascii="方正书宋_GBK" w:eastAsia="方正书宋_GBK"/>
              </w:rPr>
              <w:t>,</w:t>
            </w:r>
            <w:r>
              <w:rPr>
                <w:rFonts w:hint="eastAsia" w:ascii="方正书宋_GBK" w:eastAsia="方正书宋_GBK"/>
              </w:rPr>
              <w:t>外墙保温或窗体更换支出</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、保质保量按时完成既有建筑节能改造任务</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、建筑保温节能效果显著</w:t>
            </w:r>
            <w:r>
              <w:rPr>
                <w:rFonts w:ascii="方正书宋_GBK" w:eastAsia="方正书宋_GBK"/>
              </w:rPr>
              <w:t>,</w:t>
            </w:r>
            <w:r>
              <w:rPr>
                <w:rFonts w:hint="eastAsia" w:ascii="方正书宋_GBK" w:eastAsia="方正书宋_GBK"/>
              </w:rPr>
              <w:t>群众生活幸福感提升</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改造数量比例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实际改造小区数量占应改造小区数量的比例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改造面积比例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实际改造面积占应改造面积的比例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验收合格的小区数量占总改造小区数量的比例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★改造后房屋入住率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改造后房屋入住的比率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改造房屋的受益人数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节约能源比例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节约能源比例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改造任务完情况满意度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群众对当年改造任务完成满意度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改造效果满意度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群众对改造后效果的满意比例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改造效率满意度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群众对改造效率满意的比例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按往年经验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10、老旧小区改造工程款绩效目标表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4954598"/>
      <w:r>
        <w:rPr>
          <w:rFonts w:hint="eastAsia" w:ascii="方正仿宋_GBK" w:eastAsia="方正仿宋_GBK"/>
          <w:b/>
          <w:sz w:val="28"/>
        </w:rPr>
        <w:instrText xml:space="preserve">10、老旧小区改造工程款绩效目标表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333005</w:t>
            </w:r>
            <w:r>
              <w:rPr>
                <w:rFonts w:hint="eastAsia" w:ascii="方正书宋_GBK" w:eastAsia="方正书宋_GBK"/>
                <w:b/>
              </w:rPr>
              <w:t>无极县住房保障和房产服务中心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333-0402-JXN-GKKF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老旧小区改造工程款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、完成老旧小区改造，完善小区环境及配套设施。</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小区初步改造后物业进驻</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以后按计划改造</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逐步完善小区环境及配套</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小区初步改造后物业进驻</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按计划进行改造</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逐步完善小区环境及配套</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按文件要求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jc w:val="left"/>
        <w:rPr>
          <w:rFonts w:ascii="仿宋_GB2312" w:eastAsia="仿宋_GB2312"/>
          <w:sz w:val="32"/>
          <w:szCs w:val="32"/>
        </w:rPr>
      </w:pPr>
      <w:r>
        <w:rPr>
          <w:rFonts w:hint="eastAsia" w:ascii="仿宋_GB2312" w:eastAsia="仿宋_GB2312"/>
          <w:sz w:val="32"/>
          <w:szCs w:val="32"/>
        </w:rPr>
        <w:t>2020年我部门安排政府采购预算0万元。</w:t>
      </w: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88" w:firstLineChars="215"/>
        <w:rPr>
          <w:rFonts w:ascii="Times New Roman" w:hAnsi="Times New Roman" w:eastAsia="仿宋" w:cs="Times New Roman"/>
          <w:sz w:val="32"/>
          <w:szCs w:val="32"/>
        </w:rPr>
      </w:pPr>
      <w:r>
        <w:rPr>
          <w:rFonts w:hint="eastAsia" w:ascii="仿宋" w:hAnsi="仿宋" w:eastAsia="仿宋" w:cs="仿宋"/>
          <w:sz w:val="32"/>
          <w:szCs w:val="32"/>
        </w:rPr>
        <w:t>无极县住建局上年末固定资产金额为 462.17万元（详见下表）</w:t>
      </w:r>
      <w:r>
        <w:rPr>
          <w:rFonts w:ascii="Times New Roman" w:hAnsi="Times New Roman" w:eastAsia="仿宋" w:cs="Times New Roman"/>
          <w:sz w:val="32"/>
          <w:szCs w:val="32"/>
        </w:rPr>
        <w:t>，</w:t>
      </w:r>
      <w:r>
        <w:rPr>
          <w:rFonts w:hint="eastAsia" w:ascii="仿宋" w:hAnsi="仿宋" w:eastAsia="仿宋" w:cs="仿宋"/>
          <w:sz w:val="32"/>
          <w:szCs w:val="32"/>
        </w:rPr>
        <w:t>本年度拟购置固定资产金额为1万元。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无极县住建局固定资产占用情况表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bCs/>
                <w:kern w:val="0"/>
                <w:sz w:val="22"/>
              </w:rPr>
              <w:t>无极县住建局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462.17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4600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258.51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4600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258.51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27</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67.25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136.41</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22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EE71BA"/>
    <w:rsid w:val="000715EB"/>
    <w:rsid w:val="000C7140"/>
    <w:rsid w:val="0012173A"/>
    <w:rsid w:val="001352C4"/>
    <w:rsid w:val="001E0BF4"/>
    <w:rsid w:val="001E57EB"/>
    <w:rsid w:val="0020159F"/>
    <w:rsid w:val="00280CB6"/>
    <w:rsid w:val="002C41FA"/>
    <w:rsid w:val="00323B29"/>
    <w:rsid w:val="0033044C"/>
    <w:rsid w:val="00385A61"/>
    <w:rsid w:val="0039059E"/>
    <w:rsid w:val="003A05C4"/>
    <w:rsid w:val="003A0DE9"/>
    <w:rsid w:val="003A4E0B"/>
    <w:rsid w:val="003C53FF"/>
    <w:rsid w:val="003E007F"/>
    <w:rsid w:val="00451BBA"/>
    <w:rsid w:val="005C1C53"/>
    <w:rsid w:val="005F0B90"/>
    <w:rsid w:val="006F125E"/>
    <w:rsid w:val="006F7A76"/>
    <w:rsid w:val="007F0341"/>
    <w:rsid w:val="00816C56"/>
    <w:rsid w:val="00817C28"/>
    <w:rsid w:val="00862EE6"/>
    <w:rsid w:val="00882995"/>
    <w:rsid w:val="00885130"/>
    <w:rsid w:val="008B5F02"/>
    <w:rsid w:val="00937E7C"/>
    <w:rsid w:val="00993CDB"/>
    <w:rsid w:val="009A521C"/>
    <w:rsid w:val="00A33574"/>
    <w:rsid w:val="00AD34EA"/>
    <w:rsid w:val="00AD5769"/>
    <w:rsid w:val="00C45A17"/>
    <w:rsid w:val="00C643B7"/>
    <w:rsid w:val="00CB649B"/>
    <w:rsid w:val="00D4185F"/>
    <w:rsid w:val="00D607DA"/>
    <w:rsid w:val="00D763F7"/>
    <w:rsid w:val="00DB2AB2"/>
    <w:rsid w:val="00DC6EE5"/>
    <w:rsid w:val="00EB31DD"/>
    <w:rsid w:val="00EE71BA"/>
    <w:rsid w:val="00F867E4"/>
    <w:rsid w:val="056D17C0"/>
    <w:rsid w:val="2BBC71B9"/>
    <w:rsid w:val="4E7468A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basedOn w:val="8"/>
    <w:qFormat/>
    <w:uiPriority w:val="0"/>
  </w:style>
  <w:style w:type="character" w:styleId="10">
    <w:name w:val="Hyperlink"/>
    <w:basedOn w:val="8"/>
    <w:uiPriority w:val="0"/>
    <w:rPr>
      <w:color w:val="0000FF"/>
      <w:u w:val="single"/>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qFormat/>
    <w:uiPriority w:val="0"/>
    <w:rPr>
      <w:rFonts w:ascii="Times New Roman" w:hAnsi="Times New Roman" w:eastAsia="宋体" w:cs="Times New Roman"/>
      <w:sz w:val="18"/>
      <w:szCs w:val="18"/>
    </w:rPr>
  </w:style>
  <w:style w:type="character" w:customStyle="1" w:styleId="15">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20773C-7D82-43BD-AD59-BE9B6D088924}">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24</Pages>
  <Words>1806</Words>
  <Characters>10296</Characters>
  <Lines>85</Lines>
  <Paragraphs>24</Paragraphs>
  <TotalTime>774</TotalTime>
  <ScaleCrop>false</ScaleCrop>
  <LinksUpToDate>false</LinksUpToDate>
  <CharactersWithSpaces>12078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2020-02-03T02:29:00Z</dcterms:created>
  <dc:creator>guest</dc:creator>
  <cp:lastModifiedBy>Administrator</cp:lastModifiedBy>
  <cp:lastPrinted>2020-01-10T15:53:00Z</cp:lastPrinted>
  <dcterms:modified xsi:type="dcterms:W3CDTF">2024-06-20T15:25:17Z</dcterms:modified>
  <dc:title>o</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F9D247B0F31546B6B1EB4C591FA184AD</vt:lpwstr>
  </property>
</Properties>
</file>