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一、无极县财政局本级收支预算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318001无极县财政局本级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2235.75</w:t>
            </w:r>
          </w:p>
        </w:tc>
        <w:tc>
          <w:tcPr>
            <w:tcW w:w="4535" w:type="dxa"/>
            <w:vAlign w:val="center"/>
          </w:tcPr>
          <w:p>
            <w:pPr>
              <w:pStyle w:val="12"/>
            </w:pPr>
            <w:r>
              <w:t>一、一般公共服务支出</w:t>
            </w:r>
          </w:p>
        </w:tc>
        <w:tc>
          <w:tcPr>
            <w:tcW w:w="2126" w:type="dxa"/>
            <w:vAlign w:val="center"/>
          </w:tcPr>
          <w:p>
            <w:pPr>
              <w:pStyle w:val="11"/>
            </w:pPr>
            <w:r>
              <w:t>2016.50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2235.75</w:t>
            </w:r>
          </w:p>
        </w:tc>
        <w:tc>
          <w:tcPr>
            <w:tcW w:w="4535" w:type="dxa"/>
            <w:vAlign w:val="center"/>
          </w:tcPr>
          <w:p>
            <w:pPr>
              <w:pStyle w:val="14"/>
            </w:pPr>
            <w:r>
              <w:t>本年支出合计</w:t>
            </w:r>
          </w:p>
        </w:tc>
        <w:tc>
          <w:tcPr>
            <w:tcW w:w="2126" w:type="dxa"/>
            <w:vAlign w:val="center"/>
          </w:tcPr>
          <w:p>
            <w:pPr>
              <w:pStyle w:val="15"/>
            </w:pPr>
            <w:r>
              <w:t>2235.75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2235.75</w:t>
            </w:r>
          </w:p>
        </w:tc>
        <w:tc>
          <w:tcPr>
            <w:tcW w:w="4535" w:type="dxa"/>
            <w:vAlign w:val="center"/>
          </w:tcPr>
          <w:p>
            <w:pPr>
              <w:pStyle w:val="14"/>
            </w:pPr>
            <w:r>
              <w:t>支出总计</w:t>
            </w:r>
          </w:p>
        </w:tc>
        <w:tc>
          <w:tcPr>
            <w:tcW w:w="2126" w:type="dxa"/>
            <w:vAlign w:val="center"/>
          </w:tcPr>
          <w:p>
            <w:pPr>
              <w:pStyle w:val="15"/>
            </w:pPr>
            <w:r>
              <w:t>2235.75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318001无极县财政局本级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2235.75</w:t>
            </w:r>
          </w:p>
        </w:tc>
        <w:tc>
          <w:tcPr>
            <w:tcW w:w="1134" w:type="dxa"/>
            <w:vAlign w:val="center"/>
          </w:tcPr>
          <w:p>
            <w:pPr>
              <w:pStyle w:val="15"/>
            </w:pPr>
            <w:r>
              <w:t>2235.75</w:t>
            </w:r>
          </w:p>
        </w:tc>
        <w:tc>
          <w:tcPr>
            <w:tcW w:w="1134" w:type="dxa"/>
            <w:vAlign w:val="center"/>
          </w:tcPr>
          <w:p>
            <w:pPr>
              <w:pStyle w:val="15"/>
            </w:pPr>
            <w:r>
              <w:t>2235.75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2016.50</w:t>
            </w:r>
          </w:p>
        </w:tc>
        <w:tc>
          <w:tcPr>
            <w:tcW w:w="1134" w:type="dxa"/>
            <w:vAlign w:val="center"/>
          </w:tcPr>
          <w:p>
            <w:pPr>
              <w:pStyle w:val="11"/>
            </w:pPr>
            <w:r>
              <w:t>2016.50</w:t>
            </w:r>
          </w:p>
        </w:tc>
        <w:tc>
          <w:tcPr>
            <w:tcW w:w="1134" w:type="dxa"/>
            <w:vAlign w:val="center"/>
          </w:tcPr>
          <w:p>
            <w:pPr>
              <w:pStyle w:val="11"/>
            </w:pPr>
            <w:r>
              <w:t>2016.50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2016.50</w:t>
            </w:r>
          </w:p>
        </w:tc>
        <w:tc>
          <w:tcPr>
            <w:tcW w:w="1134" w:type="dxa"/>
            <w:vAlign w:val="center"/>
          </w:tcPr>
          <w:p>
            <w:pPr>
              <w:pStyle w:val="11"/>
            </w:pPr>
            <w:r>
              <w:t>2016.50</w:t>
            </w:r>
          </w:p>
        </w:tc>
        <w:tc>
          <w:tcPr>
            <w:tcW w:w="1134" w:type="dxa"/>
            <w:vAlign w:val="center"/>
          </w:tcPr>
          <w:p>
            <w:pPr>
              <w:pStyle w:val="11"/>
            </w:pPr>
            <w:r>
              <w:t>2016.50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1176.50</w:t>
            </w:r>
          </w:p>
        </w:tc>
        <w:tc>
          <w:tcPr>
            <w:tcW w:w="1134" w:type="dxa"/>
            <w:vAlign w:val="center"/>
          </w:tcPr>
          <w:p>
            <w:pPr>
              <w:pStyle w:val="11"/>
            </w:pPr>
            <w:r>
              <w:t>1176.50</w:t>
            </w:r>
          </w:p>
        </w:tc>
        <w:tc>
          <w:tcPr>
            <w:tcW w:w="1134" w:type="dxa"/>
            <w:vAlign w:val="center"/>
          </w:tcPr>
          <w:p>
            <w:pPr>
              <w:pStyle w:val="11"/>
            </w:pPr>
            <w:r>
              <w:t>1176.50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2010604</w:t>
            </w:r>
          </w:p>
        </w:tc>
        <w:tc>
          <w:tcPr>
            <w:tcW w:w="1559" w:type="dxa"/>
            <w:vAlign w:val="center"/>
          </w:tcPr>
          <w:p>
            <w:pPr>
              <w:pStyle w:val="12"/>
            </w:pPr>
            <w:r>
              <w:t>预算改革业务</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2010605</w:t>
            </w:r>
          </w:p>
        </w:tc>
        <w:tc>
          <w:tcPr>
            <w:tcW w:w="1559" w:type="dxa"/>
            <w:vAlign w:val="center"/>
          </w:tcPr>
          <w:p>
            <w:pPr>
              <w:pStyle w:val="12"/>
            </w:pPr>
            <w:r>
              <w:t>财政国库业务</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450.00</w:t>
            </w:r>
          </w:p>
        </w:tc>
        <w:tc>
          <w:tcPr>
            <w:tcW w:w="1134" w:type="dxa"/>
            <w:vAlign w:val="center"/>
          </w:tcPr>
          <w:p>
            <w:pPr>
              <w:pStyle w:val="11"/>
            </w:pPr>
            <w:r>
              <w:t>450.00</w:t>
            </w:r>
          </w:p>
        </w:tc>
        <w:tc>
          <w:tcPr>
            <w:tcW w:w="1134" w:type="dxa"/>
            <w:vAlign w:val="center"/>
          </w:tcPr>
          <w:p>
            <w:pPr>
              <w:pStyle w:val="11"/>
            </w:pPr>
            <w:r>
              <w:t>450.00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2010699</w:t>
            </w:r>
          </w:p>
        </w:tc>
        <w:tc>
          <w:tcPr>
            <w:tcW w:w="1559" w:type="dxa"/>
            <w:vAlign w:val="center"/>
          </w:tcPr>
          <w:p>
            <w:pPr>
              <w:pStyle w:val="12"/>
            </w:pPr>
            <w:r>
              <w:t>其他财政事务支出</w:t>
            </w:r>
          </w:p>
        </w:tc>
        <w:tc>
          <w:tcPr>
            <w:tcW w:w="1134" w:type="dxa"/>
            <w:vAlign w:val="center"/>
          </w:tcPr>
          <w:p>
            <w:pPr>
              <w:pStyle w:val="11"/>
            </w:pPr>
            <w:r>
              <w:t>147.00</w:t>
            </w:r>
          </w:p>
        </w:tc>
        <w:tc>
          <w:tcPr>
            <w:tcW w:w="1134" w:type="dxa"/>
            <w:vAlign w:val="center"/>
          </w:tcPr>
          <w:p>
            <w:pPr>
              <w:pStyle w:val="11"/>
            </w:pPr>
            <w:r>
              <w:t>147.00</w:t>
            </w:r>
          </w:p>
        </w:tc>
        <w:tc>
          <w:tcPr>
            <w:tcW w:w="1134" w:type="dxa"/>
            <w:vAlign w:val="center"/>
          </w:tcPr>
          <w:p>
            <w:pPr>
              <w:pStyle w:val="11"/>
            </w:pPr>
            <w:r>
              <w:t>147.00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153.75</w:t>
            </w:r>
          </w:p>
        </w:tc>
        <w:tc>
          <w:tcPr>
            <w:tcW w:w="1134" w:type="dxa"/>
            <w:vAlign w:val="center"/>
          </w:tcPr>
          <w:p>
            <w:pPr>
              <w:pStyle w:val="11"/>
            </w:pPr>
            <w:r>
              <w:t>153.75</w:t>
            </w:r>
          </w:p>
        </w:tc>
        <w:tc>
          <w:tcPr>
            <w:tcW w:w="1134" w:type="dxa"/>
            <w:vAlign w:val="center"/>
          </w:tcPr>
          <w:p>
            <w:pPr>
              <w:pStyle w:val="11"/>
            </w:pPr>
            <w:r>
              <w:t>153.75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153.75</w:t>
            </w:r>
          </w:p>
        </w:tc>
        <w:tc>
          <w:tcPr>
            <w:tcW w:w="1134" w:type="dxa"/>
            <w:vAlign w:val="center"/>
          </w:tcPr>
          <w:p>
            <w:pPr>
              <w:pStyle w:val="11"/>
            </w:pPr>
            <w:r>
              <w:t>153.75</w:t>
            </w:r>
          </w:p>
        </w:tc>
        <w:tc>
          <w:tcPr>
            <w:tcW w:w="1134" w:type="dxa"/>
            <w:vAlign w:val="center"/>
          </w:tcPr>
          <w:p>
            <w:pPr>
              <w:pStyle w:val="11"/>
            </w:pPr>
            <w:r>
              <w:t>153.75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130.36</w:t>
            </w:r>
          </w:p>
        </w:tc>
        <w:tc>
          <w:tcPr>
            <w:tcW w:w="1134" w:type="dxa"/>
            <w:vAlign w:val="center"/>
          </w:tcPr>
          <w:p>
            <w:pPr>
              <w:pStyle w:val="11"/>
            </w:pPr>
            <w:r>
              <w:t>130.36</w:t>
            </w:r>
          </w:p>
        </w:tc>
        <w:tc>
          <w:tcPr>
            <w:tcW w:w="1134" w:type="dxa"/>
            <w:vAlign w:val="center"/>
          </w:tcPr>
          <w:p>
            <w:pPr>
              <w:pStyle w:val="11"/>
            </w:pPr>
            <w:r>
              <w:t>130.36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23.39</w:t>
            </w:r>
          </w:p>
        </w:tc>
        <w:tc>
          <w:tcPr>
            <w:tcW w:w="1134" w:type="dxa"/>
            <w:vAlign w:val="center"/>
          </w:tcPr>
          <w:p>
            <w:pPr>
              <w:pStyle w:val="11"/>
            </w:pPr>
            <w:r>
              <w:t>23.39</w:t>
            </w:r>
          </w:p>
        </w:tc>
        <w:tc>
          <w:tcPr>
            <w:tcW w:w="1134" w:type="dxa"/>
            <w:vAlign w:val="center"/>
          </w:tcPr>
          <w:p>
            <w:pPr>
              <w:pStyle w:val="11"/>
            </w:pPr>
            <w:r>
              <w:t>23.39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58.50</w:t>
            </w:r>
          </w:p>
        </w:tc>
        <w:tc>
          <w:tcPr>
            <w:tcW w:w="1134" w:type="dxa"/>
            <w:vAlign w:val="center"/>
          </w:tcPr>
          <w:p>
            <w:pPr>
              <w:pStyle w:val="11"/>
            </w:pPr>
            <w:r>
              <w:t>58.50</w:t>
            </w:r>
          </w:p>
        </w:tc>
        <w:tc>
          <w:tcPr>
            <w:tcW w:w="1134" w:type="dxa"/>
            <w:vAlign w:val="center"/>
          </w:tcPr>
          <w:p>
            <w:pPr>
              <w:pStyle w:val="11"/>
            </w:pPr>
            <w:r>
              <w:t>58.50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58.50</w:t>
            </w:r>
          </w:p>
        </w:tc>
        <w:tc>
          <w:tcPr>
            <w:tcW w:w="1134" w:type="dxa"/>
            <w:vAlign w:val="center"/>
          </w:tcPr>
          <w:p>
            <w:pPr>
              <w:pStyle w:val="11"/>
            </w:pPr>
            <w:r>
              <w:t>58.50</w:t>
            </w:r>
          </w:p>
        </w:tc>
        <w:tc>
          <w:tcPr>
            <w:tcW w:w="1134" w:type="dxa"/>
            <w:vAlign w:val="center"/>
          </w:tcPr>
          <w:p>
            <w:pPr>
              <w:pStyle w:val="11"/>
            </w:pPr>
            <w:r>
              <w:t>58.50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58.50</w:t>
            </w:r>
          </w:p>
        </w:tc>
        <w:tc>
          <w:tcPr>
            <w:tcW w:w="1134" w:type="dxa"/>
            <w:vAlign w:val="center"/>
          </w:tcPr>
          <w:p>
            <w:pPr>
              <w:pStyle w:val="11"/>
            </w:pPr>
            <w:r>
              <w:t>58.50</w:t>
            </w:r>
          </w:p>
        </w:tc>
        <w:tc>
          <w:tcPr>
            <w:tcW w:w="1134" w:type="dxa"/>
            <w:vAlign w:val="center"/>
          </w:tcPr>
          <w:p>
            <w:pPr>
              <w:pStyle w:val="11"/>
            </w:pPr>
            <w:r>
              <w:t>58.50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2235.75</w:t>
            </w:r>
          </w:p>
        </w:tc>
        <w:tc>
          <w:tcPr>
            <w:tcW w:w="1361" w:type="dxa"/>
            <w:vAlign w:val="center"/>
          </w:tcPr>
          <w:p>
            <w:pPr>
              <w:pStyle w:val="15"/>
            </w:pPr>
            <w:r>
              <w:t>1335.75</w:t>
            </w:r>
          </w:p>
        </w:tc>
        <w:tc>
          <w:tcPr>
            <w:tcW w:w="1361" w:type="dxa"/>
            <w:vAlign w:val="center"/>
          </w:tcPr>
          <w:p>
            <w:pPr>
              <w:pStyle w:val="15"/>
            </w:pPr>
            <w:r>
              <w:t>900.00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2016.50</w:t>
            </w:r>
          </w:p>
        </w:tc>
        <w:tc>
          <w:tcPr>
            <w:tcW w:w="1361" w:type="dxa"/>
            <w:vAlign w:val="center"/>
          </w:tcPr>
          <w:p>
            <w:pPr>
              <w:pStyle w:val="11"/>
            </w:pPr>
            <w:r>
              <w:t>1123.50</w:t>
            </w:r>
          </w:p>
        </w:tc>
        <w:tc>
          <w:tcPr>
            <w:tcW w:w="1361" w:type="dxa"/>
            <w:vAlign w:val="center"/>
          </w:tcPr>
          <w:p>
            <w:pPr>
              <w:pStyle w:val="11"/>
            </w:pPr>
            <w:r>
              <w:t>893.00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2016.50</w:t>
            </w:r>
          </w:p>
        </w:tc>
        <w:tc>
          <w:tcPr>
            <w:tcW w:w="1361" w:type="dxa"/>
            <w:vAlign w:val="center"/>
          </w:tcPr>
          <w:p>
            <w:pPr>
              <w:pStyle w:val="11"/>
            </w:pPr>
            <w:r>
              <w:t>1123.50</w:t>
            </w:r>
          </w:p>
        </w:tc>
        <w:tc>
          <w:tcPr>
            <w:tcW w:w="1361" w:type="dxa"/>
            <w:vAlign w:val="center"/>
          </w:tcPr>
          <w:p>
            <w:pPr>
              <w:pStyle w:val="11"/>
            </w:pPr>
            <w:r>
              <w:t>893.00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1176.50</w:t>
            </w:r>
          </w:p>
        </w:tc>
        <w:tc>
          <w:tcPr>
            <w:tcW w:w="1361" w:type="dxa"/>
            <w:vAlign w:val="center"/>
          </w:tcPr>
          <w:p>
            <w:pPr>
              <w:pStyle w:val="11"/>
            </w:pPr>
            <w:r>
              <w:t>1123.50</w:t>
            </w:r>
          </w:p>
        </w:tc>
        <w:tc>
          <w:tcPr>
            <w:tcW w:w="1361" w:type="dxa"/>
            <w:vAlign w:val="center"/>
          </w:tcPr>
          <w:p>
            <w:pPr>
              <w:pStyle w:val="11"/>
            </w:pPr>
            <w:r>
              <w:t>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2010604</w:t>
            </w:r>
          </w:p>
        </w:tc>
        <w:tc>
          <w:tcPr>
            <w:tcW w:w="4535" w:type="dxa"/>
            <w:vAlign w:val="center"/>
          </w:tcPr>
          <w:p>
            <w:pPr>
              <w:pStyle w:val="12"/>
            </w:pPr>
            <w:r>
              <w:t>预算改革业务</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2010605</w:t>
            </w:r>
          </w:p>
        </w:tc>
        <w:tc>
          <w:tcPr>
            <w:tcW w:w="4535" w:type="dxa"/>
            <w:vAlign w:val="center"/>
          </w:tcPr>
          <w:p>
            <w:pPr>
              <w:pStyle w:val="12"/>
            </w:pPr>
            <w:r>
              <w:t>财政国库业务</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2010699</w:t>
            </w:r>
          </w:p>
        </w:tc>
        <w:tc>
          <w:tcPr>
            <w:tcW w:w="4535" w:type="dxa"/>
            <w:vAlign w:val="center"/>
          </w:tcPr>
          <w:p>
            <w:pPr>
              <w:pStyle w:val="12"/>
            </w:pPr>
            <w:r>
              <w:t>其他财政事务支出</w:t>
            </w:r>
          </w:p>
        </w:tc>
        <w:tc>
          <w:tcPr>
            <w:tcW w:w="1361" w:type="dxa"/>
            <w:vAlign w:val="center"/>
          </w:tcPr>
          <w:p>
            <w:pPr>
              <w:pStyle w:val="11"/>
            </w:pPr>
            <w:r>
              <w:t>147.00</w:t>
            </w:r>
          </w:p>
        </w:tc>
        <w:tc>
          <w:tcPr>
            <w:tcW w:w="1361" w:type="dxa"/>
            <w:vAlign w:val="center"/>
          </w:tcPr>
          <w:p>
            <w:pPr>
              <w:pStyle w:val="11"/>
            </w:pPr>
          </w:p>
        </w:tc>
        <w:tc>
          <w:tcPr>
            <w:tcW w:w="1361" w:type="dxa"/>
            <w:vAlign w:val="center"/>
          </w:tcPr>
          <w:p>
            <w:pPr>
              <w:pStyle w:val="11"/>
            </w:pPr>
            <w:r>
              <w:t>147.00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153.75</w:t>
            </w:r>
          </w:p>
        </w:tc>
        <w:tc>
          <w:tcPr>
            <w:tcW w:w="1361" w:type="dxa"/>
            <w:vAlign w:val="center"/>
          </w:tcPr>
          <w:p>
            <w:pPr>
              <w:pStyle w:val="11"/>
            </w:pPr>
            <w:r>
              <w:t>153.75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153.75</w:t>
            </w:r>
          </w:p>
        </w:tc>
        <w:tc>
          <w:tcPr>
            <w:tcW w:w="1361" w:type="dxa"/>
            <w:vAlign w:val="center"/>
          </w:tcPr>
          <w:p>
            <w:pPr>
              <w:pStyle w:val="11"/>
            </w:pPr>
            <w:r>
              <w:t>153.75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130.36</w:t>
            </w:r>
          </w:p>
        </w:tc>
        <w:tc>
          <w:tcPr>
            <w:tcW w:w="1361" w:type="dxa"/>
            <w:vAlign w:val="center"/>
          </w:tcPr>
          <w:p>
            <w:pPr>
              <w:pStyle w:val="11"/>
            </w:pPr>
            <w:r>
              <w:t>130.36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23.39</w:t>
            </w:r>
          </w:p>
        </w:tc>
        <w:tc>
          <w:tcPr>
            <w:tcW w:w="1361" w:type="dxa"/>
            <w:vAlign w:val="center"/>
          </w:tcPr>
          <w:p>
            <w:pPr>
              <w:pStyle w:val="11"/>
            </w:pPr>
            <w:r>
              <w:t>23.39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58.50</w:t>
            </w:r>
          </w:p>
        </w:tc>
        <w:tc>
          <w:tcPr>
            <w:tcW w:w="1361" w:type="dxa"/>
            <w:vAlign w:val="center"/>
          </w:tcPr>
          <w:p>
            <w:pPr>
              <w:pStyle w:val="11"/>
            </w:pPr>
            <w:r>
              <w:t>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58.50</w:t>
            </w:r>
          </w:p>
        </w:tc>
        <w:tc>
          <w:tcPr>
            <w:tcW w:w="1361" w:type="dxa"/>
            <w:vAlign w:val="center"/>
          </w:tcPr>
          <w:p>
            <w:pPr>
              <w:pStyle w:val="11"/>
            </w:pPr>
            <w:r>
              <w:t>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58.50</w:t>
            </w:r>
          </w:p>
        </w:tc>
        <w:tc>
          <w:tcPr>
            <w:tcW w:w="1361" w:type="dxa"/>
            <w:vAlign w:val="center"/>
          </w:tcPr>
          <w:p>
            <w:pPr>
              <w:pStyle w:val="11"/>
            </w:pPr>
            <w:r>
              <w:t>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2235.75</w:t>
            </w:r>
          </w:p>
        </w:tc>
        <w:tc>
          <w:tcPr>
            <w:tcW w:w="3402" w:type="dxa"/>
            <w:vAlign w:val="center"/>
          </w:tcPr>
          <w:p>
            <w:pPr>
              <w:pStyle w:val="12"/>
            </w:pPr>
            <w:r>
              <w:t>一、一般公共服务支出</w:t>
            </w:r>
          </w:p>
        </w:tc>
        <w:tc>
          <w:tcPr>
            <w:tcW w:w="1474" w:type="dxa"/>
            <w:vAlign w:val="center"/>
          </w:tcPr>
          <w:p>
            <w:pPr>
              <w:pStyle w:val="11"/>
            </w:pPr>
            <w:r>
              <w:t>2016.50</w:t>
            </w:r>
          </w:p>
        </w:tc>
        <w:tc>
          <w:tcPr>
            <w:tcW w:w="1474" w:type="dxa"/>
            <w:vAlign w:val="center"/>
          </w:tcPr>
          <w:p>
            <w:pPr>
              <w:pStyle w:val="11"/>
            </w:pPr>
            <w:r>
              <w:t>2016.50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153.75</w:t>
            </w:r>
          </w:p>
        </w:tc>
        <w:tc>
          <w:tcPr>
            <w:tcW w:w="1474" w:type="dxa"/>
            <w:vAlign w:val="center"/>
          </w:tcPr>
          <w:p>
            <w:pPr>
              <w:pStyle w:val="11"/>
            </w:pPr>
            <w:r>
              <w:t>153.75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58.50</w:t>
            </w:r>
          </w:p>
        </w:tc>
        <w:tc>
          <w:tcPr>
            <w:tcW w:w="1474" w:type="dxa"/>
            <w:vAlign w:val="center"/>
          </w:tcPr>
          <w:p>
            <w:pPr>
              <w:pStyle w:val="11"/>
            </w:pPr>
            <w:r>
              <w:t>58.50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7.00</w:t>
            </w:r>
          </w:p>
        </w:tc>
        <w:tc>
          <w:tcPr>
            <w:tcW w:w="1474" w:type="dxa"/>
            <w:vAlign w:val="center"/>
          </w:tcPr>
          <w:p>
            <w:pPr>
              <w:pStyle w:val="11"/>
            </w:pPr>
            <w:r>
              <w:t>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2235.75</w:t>
            </w:r>
          </w:p>
        </w:tc>
        <w:tc>
          <w:tcPr>
            <w:tcW w:w="3402" w:type="dxa"/>
            <w:vAlign w:val="center"/>
          </w:tcPr>
          <w:p>
            <w:pPr>
              <w:pStyle w:val="14"/>
            </w:pPr>
            <w:r>
              <w:t>本年支出合计</w:t>
            </w:r>
          </w:p>
        </w:tc>
        <w:tc>
          <w:tcPr>
            <w:tcW w:w="1474" w:type="dxa"/>
            <w:vAlign w:val="center"/>
          </w:tcPr>
          <w:p>
            <w:pPr>
              <w:pStyle w:val="15"/>
            </w:pPr>
            <w:r>
              <w:t>2235.75</w:t>
            </w:r>
          </w:p>
        </w:tc>
        <w:tc>
          <w:tcPr>
            <w:tcW w:w="1474" w:type="dxa"/>
            <w:vAlign w:val="center"/>
          </w:tcPr>
          <w:p>
            <w:pPr>
              <w:pStyle w:val="15"/>
            </w:pPr>
            <w:r>
              <w:t>2235.75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2235.75</w:t>
            </w:r>
          </w:p>
        </w:tc>
        <w:tc>
          <w:tcPr>
            <w:tcW w:w="3402" w:type="dxa"/>
            <w:vAlign w:val="center"/>
          </w:tcPr>
          <w:p>
            <w:pPr>
              <w:pStyle w:val="14"/>
            </w:pPr>
            <w:r>
              <w:t>支出总计</w:t>
            </w:r>
          </w:p>
        </w:tc>
        <w:tc>
          <w:tcPr>
            <w:tcW w:w="1474" w:type="dxa"/>
            <w:vAlign w:val="center"/>
          </w:tcPr>
          <w:p>
            <w:pPr>
              <w:pStyle w:val="15"/>
            </w:pPr>
            <w:r>
              <w:t>2235.75</w:t>
            </w:r>
          </w:p>
        </w:tc>
        <w:tc>
          <w:tcPr>
            <w:tcW w:w="1474" w:type="dxa"/>
            <w:vAlign w:val="center"/>
          </w:tcPr>
          <w:p>
            <w:pPr>
              <w:pStyle w:val="15"/>
            </w:pPr>
            <w:r>
              <w:t>2235.75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2235.75</w:t>
            </w:r>
          </w:p>
        </w:tc>
        <w:tc>
          <w:tcPr>
            <w:tcW w:w="2551" w:type="dxa"/>
            <w:vAlign w:val="center"/>
          </w:tcPr>
          <w:p>
            <w:pPr>
              <w:pStyle w:val="15"/>
            </w:pPr>
            <w:r>
              <w:t>1335.75</w:t>
            </w:r>
          </w:p>
        </w:tc>
        <w:tc>
          <w:tcPr>
            <w:tcW w:w="2551" w:type="dxa"/>
            <w:vAlign w:val="center"/>
          </w:tcPr>
          <w:p>
            <w:pPr>
              <w:pStyle w:val="15"/>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2016.50</w:t>
            </w:r>
          </w:p>
        </w:tc>
        <w:tc>
          <w:tcPr>
            <w:tcW w:w="2551" w:type="dxa"/>
            <w:vAlign w:val="center"/>
          </w:tcPr>
          <w:p>
            <w:pPr>
              <w:pStyle w:val="11"/>
            </w:pPr>
            <w:r>
              <w:t>1123.50</w:t>
            </w:r>
          </w:p>
        </w:tc>
        <w:tc>
          <w:tcPr>
            <w:tcW w:w="2551" w:type="dxa"/>
            <w:vAlign w:val="center"/>
          </w:tcPr>
          <w:p>
            <w:pPr>
              <w:pStyle w:val="11"/>
            </w:pPr>
            <w:r>
              <w:t>893.00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2016.50</w:t>
            </w:r>
          </w:p>
        </w:tc>
        <w:tc>
          <w:tcPr>
            <w:tcW w:w="2551" w:type="dxa"/>
            <w:vAlign w:val="center"/>
          </w:tcPr>
          <w:p>
            <w:pPr>
              <w:pStyle w:val="11"/>
            </w:pPr>
            <w:r>
              <w:t>1123.50</w:t>
            </w:r>
          </w:p>
        </w:tc>
        <w:tc>
          <w:tcPr>
            <w:tcW w:w="2551" w:type="dxa"/>
            <w:vAlign w:val="center"/>
          </w:tcPr>
          <w:p>
            <w:pPr>
              <w:pStyle w:val="11"/>
            </w:pPr>
            <w:r>
              <w:t>893.00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1176.50</w:t>
            </w:r>
          </w:p>
        </w:tc>
        <w:tc>
          <w:tcPr>
            <w:tcW w:w="2551" w:type="dxa"/>
            <w:vAlign w:val="center"/>
          </w:tcPr>
          <w:p>
            <w:pPr>
              <w:pStyle w:val="11"/>
            </w:pPr>
            <w:r>
              <w:t>1123.50</w:t>
            </w:r>
          </w:p>
        </w:tc>
        <w:tc>
          <w:tcPr>
            <w:tcW w:w="2551" w:type="dxa"/>
            <w:vAlign w:val="center"/>
          </w:tcPr>
          <w:p>
            <w:pPr>
              <w:pStyle w:val="11"/>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2010604</w:t>
            </w:r>
          </w:p>
        </w:tc>
        <w:tc>
          <w:tcPr>
            <w:tcW w:w="4535" w:type="dxa"/>
            <w:vAlign w:val="center"/>
          </w:tcPr>
          <w:p>
            <w:pPr>
              <w:pStyle w:val="12"/>
            </w:pPr>
            <w:r>
              <w:t>预算改革业务</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2010605</w:t>
            </w:r>
          </w:p>
        </w:tc>
        <w:tc>
          <w:tcPr>
            <w:tcW w:w="4535" w:type="dxa"/>
            <w:vAlign w:val="center"/>
          </w:tcPr>
          <w:p>
            <w:pPr>
              <w:pStyle w:val="12"/>
            </w:pPr>
            <w:r>
              <w:t>财政国库业务</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180.00</w:t>
            </w:r>
          </w:p>
        </w:tc>
        <w:tc>
          <w:tcPr>
            <w:tcW w:w="2551" w:type="dxa"/>
            <w:vAlign w:val="center"/>
          </w:tcPr>
          <w:p>
            <w:pPr>
              <w:pStyle w:val="11"/>
            </w:pPr>
          </w:p>
        </w:tc>
        <w:tc>
          <w:tcPr>
            <w:tcW w:w="2551"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450.00</w:t>
            </w:r>
          </w:p>
        </w:tc>
        <w:tc>
          <w:tcPr>
            <w:tcW w:w="2551" w:type="dxa"/>
            <w:vAlign w:val="center"/>
          </w:tcPr>
          <w:p>
            <w:pPr>
              <w:pStyle w:val="11"/>
            </w:pPr>
          </w:p>
        </w:tc>
        <w:tc>
          <w:tcPr>
            <w:tcW w:w="2551"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2010699</w:t>
            </w:r>
          </w:p>
        </w:tc>
        <w:tc>
          <w:tcPr>
            <w:tcW w:w="4535" w:type="dxa"/>
            <w:vAlign w:val="center"/>
          </w:tcPr>
          <w:p>
            <w:pPr>
              <w:pStyle w:val="12"/>
            </w:pPr>
            <w:r>
              <w:t>其他财政事务支出</w:t>
            </w:r>
          </w:p>
        </w:tc>
        <w:tc>
          <w:tcPr>
            <w:tcW w:w="2551" w:type="dxa"/>
            <w:vAlign w:val="center"/>
          </w:tcPr>
          <w:p>
            <w:pPr>
              <w:pStyle w:val="11"/>
            </w:pPr>
            <w:r>
              <w:t>147.00</w:t>
            </w:r>
          </w:p>
        </w:tc>
        <w:tc>
          <w:tcPr>
            <w:tcW w:w="2551" w:type="dxa"/>
            <w:vAlign w:val="center"/>
          </w:tcPr>
          <w:p>
            <w:pPr>
              <w:pStyle w:val="11"/>
            </w:pPr>
          </w:p>
        </w:tc>
        <w:tc>
          <w:tcPr>
            <w:tcW w:w="2551" w:type="dxa"/>
            <w:vAlign w:val="center"/>
          </w:tcPr>
          <w:p>
            <w:pPr>
              <w:pStyle w:val="11"/>
            </w:pPr>
            <w:r>
              <w:t>147.00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153.75</w:t>
            </w:r>
          </w:p>
        </w:tc>
        <w:tc>
          <w:tcPr>
            <w:tcW w:w="2551" w:type="dxa"/>
            <w:vAlign w:val="center"/>
          </w:tcPr>
          <w:p>
            <w:pPr>
              <w:pStyle w:val="11"/>
            </w:pPr>
            <w:r>
              <w:t>153.75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153.75</w:t>
            </w:r>
          </w:p>
        </w:tc>
        <w:tc>
          <w:tcPr>
            <w:tcW w:w="2551" w:type="dxa"/>
            <w:vAlign w:val="center"/>
          </w:tcPr>
          <w:p>
            <w:pPr>
              <w:pStyle w:val="11"/>
            </w:pPr>
            <w:r>
              <w:t>153.75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130.36</w:t>
            </w:r>
          </w:p>
        </w:tc>
        <w:tc>
          <w:tcPr>
            <w:tcW w:w="2551" w:type="dxa"/>
            <w:vAlign w:val="center"/>
          </w:tcPr>
          <w:p>
            <w:pPr>
              <w:pStyle w:val="11"/>
            </w:pPr>
            <w:r>
              <w:t>130.36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23.39</w:t>
            </w:r>
          </w:p>
        </w:tc>
        <w:tc>
          <w:tcPr>
            <w:tcW w:w="2551" w:type="dxa"/>
            <w:vAlign w:val="center"/>
          </w:tcPr>
          <w:p>
            <w:pPr>
              <w:pStyle w:val="11"/>
            </w:pPr>
            <w:r>
              <w:t>23.39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58.50</w:t>
            </w:r>
          </w:p>
        </w:tc>
        <w:tc>
          <w:tcPr>
            <w:tcW w:w="2551" w:type="dxa"/>
            <w:vAlign w:val="center"/>
          </w:tcPr>
          <w:p>
            <w:pPr>
              <w:pStyle w:val="11"/>
            </w:pPr>
            <w:r>
              <w:t>58.50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58.50</w:t>
            </w:r>
          </w:p>
        </w:tc>
        <w:tc>
          <w:tcPr>
            <w:tcW w:w="2551" w:type="dxa"/>
            <w:vAlign w:val="center"/>
          </w:tcPr>
          <w:p>
            <w:pPr>
              <w:pStyle w:val="11"/>
            </w:pPr>
            <w:r>
              <w:t>58.50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58.50</w:t>
            </w:r>
          </w:p>
        </w:tc>
        <w:tc>
          <w:tcPr>
            <w:tcW w:w="2551" w:type="dxa"/>
            <w:vAlign w:val="center"/>
          </w:tcPr>
          <w:p>
            <w:pPr>
              <w:pStyle w:val="11"/>
            </w:pPr>
            <w:r>
              <w:t>58.50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1335.75</w:t>
            </w:r>
          </w:p>
        </w:tc>
        <w:tc>
          <w:tcPr>
            <w:tcW w:w="2551" w:type="dxa"/>
            <w:vAlign w:val="center"/>
          </w:tcPr>
          <w:p>
            <w:pPr>
              <w:pStyle w:val="15"/>
            </w:pPr>
            <w:r>
              <w:t>1171.65</w:t>
            </w:r>
          </w:p>
        </w:tc>
        <w:tc>
          <w:tcPr>
            <w:tcW w:w="2551" w:type="dxa"/>
            <w:vAlign w:val="center"/>
          </w:tcPr>
          <w:p>
            <w:pPr>
              <w:pStyle w:val="15"/>
            </w:pPr>
            <w:r>
              <w:t>164.10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1053.23</w:t>
            </w:r>
          </w:p>
        </w:tc>
        <w:tc>
          <w:tcPr>
            <w:tcW w:w="2551" w:type="dxa"/>
            <w:vAlign w:val="center"/>
          </w:tcPr>
          <w:p>
            <w:pPr>
              <w:pStyle w:val="11"/>
            </w:pPr>
            <w:r>
              <w:t>1053.23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520.42</w:t>
            </w:r>
          </w:p>
        </w:tc>
        <w:tc>
          <w:tcPr>
            <w:tcW w:w="2551" w:type="dxa"/>
            <w:vAlign w:val="center"/>
          </w:tcPr>
          <w:p>
            <w:pPr>
              <w:pStyle w:val="11"/>
            </w:pPr>
            <w:r>
              <w:t>520.42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107.23</w:t>
            </w:r>
          </w:p>
        </w:tc>
        <w:tc>
          <w:tcPr>
            <w:tcW w:w="2551" w:type="dxa"/>
            <w:vAlign w:val="center"/>
          </w:tcPr>
          <w:p>
            <w:pPr>
              <w:pStyle w:val="11"/>
            </w:pPr>
            <w:r>
              <w:t>107.23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104.18</w:t>
            </w:r>
          </w:p>
        </w:tc>
        <w:tc>
          <w:tcPr>
            <w:tcW w:w="2551" w:type="dxa"/>
            <w:vAlign w:val="center"/>
          </w:tcPr>
          <w:p>
            <w:pPr>
              <w:pStyle w:val="11"/>
            </w:pPr>
            <w:r>
              <w:t>104.18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103.35</w:t>
            </w:r>
          </w:p>
        </w:tc>
        <w:tc>
          <w:tcPr>
            <w:tcW w:w="2551" w:type="dxa"/>
            <w:vAlign w:val="center"/>
          </w:tcPr>
          <w:p>
            <w:pPr>
              <w:pStyle w:val="11"/>
            </w:pPr>
            <w:r>
              <w:t>103.35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130.36</w:t>
            </w:r>
          </w:p>
        </w:tc>
        <w:tc>
          <w:tcPr>
            <w:tcW w:w="2551" w:type="dxa"/>
            <w:vAlign w:val="center"/>
          </w:tcPr>
          <w:p>
            <w:pPr>
              <w:pStyle w:val="11"/>
            </w:pPr>
            <w:r>
              <w:t>130.36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23.39</w:t>
            </w:r>
          </w:p>
        </w:tc>
        <w:tc>
          <w:tcPr>
            <w:tcW w:w="2551" w:type="dxa"/>
            <w:vAlign w:val="center"/>
          </w:tcPr>
          <w:p>
            <w:pPr>
              <w:pStyle w:val="11"/>
            </w:pPr>
            <w:r>
              <w:t>23.39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58.50</w:t>
            </w:r>
          </w:p>
        </w:tc>
        <w:tc>
          <w:tcPr>
            <w:tcW w:w="2551" w:type="dxa"/>
            <w:vAlign w:val="center"/>
          </w:tcPr>
          <w:p>
            <w:pPr>
              <w:pStyle w:val="11"/>
            </w:pPr>
            <w:r>
              <w:t>58.50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164.10</w:t>
            </w:r>
          </w:p>
        </w:tc>
        <w:tc>
          <w:tcPr>
            <w:tcW w:w="2551" w:type="dxa"/>
            <w:vAlign w:val="center"/>
          </w:tcPr>
          <w:p>
            <w:pPr>
              <w:pStyle w:val="11"/>
            </w:pPr>
          </w:p>
        </w:tc>
        <w:tc>
          <w:tcPr>
            <w:tcW w:w="2551" w:type="dxa"/>
            <w:vAlign w:val="center"/>
          </w:tcPr>
          <w:p>
            <w:pPr>
              <w:pStyle w:val="11"/>
            </w:pPr>
            <w:r>
              <w:t>164.10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46.00</w:t>
            </w:r>
          </w:p>
        </w:tc>
        <w:tc>
          <w:tcPr>
            <w:tcW w:w="2551" w:type="dxa"/>
            <w:vAlign w:val="center"/>
          </w:tcPr>
          <w:p>
            <w:pPr>
              <w:pStyle w:val="11"/>
            </w:pPr>
          </w:p>
        </w:tc>
        <w:tc>
          <w:tcPr>
            <w:tcW w:w="2551" w:type="dxa"/>
            <w:vAlign w:val="center"/>
          </w:tcPr>
          <w:p>
            <w:pPr>
              <w:pStyle w:val="11"/>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17.92</w:t>
            </w:r>
          </w:p>
        </w:tc>
        <w:tc>
          <w:tcPr>
            <w:tcW w:w="2551" w:type="dxa"/>
            <w:vAlign w:val="center"/>
          </w:tcPr>
          <w:p>
            <w:pPr>
              <w:pStyle w:val="11"/>
            </w:pPr>
          </w:p>
        </w:tc>
        <w:tc>
          <w:tcPr>
            <w:tcW w:w="2551" w:type="dxa"/>
            <w:vAlign w:val="center"/>
          </w:tcPr>
          <w:p>
            <w:pPr>
              <w:pStyle w:val="11"/>
            </w:pPr>
            <w:r>
              <w:t>17.92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77.04</w:t>
            </w:r>
          </w:p>
        </w:tc>
        <w:tc>
          <w:tcPr>
            <w:tcW w:w="2551" w:type="dxa"/>
            <w:vAlign w:val="center"/>
          </w:tcPr>
          <w:p>
            <w:pPr>
              <w:pStyle w:val="11"/>
            </w:pPr>
          </w:p>
        </w:tc>
        <w:tc>
          <w:tcPr>
            <w:tcW w:w="2551" w:type="dxa"/>
            <w:vAlign w:val="center"/>
          </w:tcPr>
          <w:p>
            <w:pPr>
              <w:pStyle w:val="11"/>
            </w:pPr>
            <w:r>
              <w:t>77.04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23.14</w:t>
            </w:r>
          </w:p>
        </w:tc>
        <w:tc>
          <w:tcPr>
            <w:tcW w:w="2551" w:type="dxa"/>
            <w:vAlign w:val="center"/>
          </w:tcPr>
          <w:p>
            <w:pPr>
              <w:pStyle w:val="11"/>
            </w:pPr>
          </w:p>
        </w:tc>
        <w:tc>
          <w:tcPr>
            <w:tcW w:w="2551" w:type="dxa"/>
            <w:vAlign w:val="center"/>
          </w:tcPr>
          <w:p>
            <w:pPr>
              <w:pStyle w:val="11"/>
            </w:pPr>
            <w:r>
              <w:t>23.14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118.43</w:t>
            </w:r>
          </w:p>
        </w:tc>
        <w:tc>
          <w:tcPr>
            <w:tcW w:w="2551" w:type="dxa"/>
            <w:vAlign w:val="center"/>
          </w:tcPr>
          <w:p>
            <w:pPr>
              <w:pStyle w:val="11"/>
            </w:pPr>
            <w:r>
              <w:t>118.43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118.43</w:t>
            </w:r>
          </w:p>
        </w:tc>
        <w:tc>
          <w:tcPr>
            <w:tcW w:w="2551" w:type="dxa"/>
            <w:vAlign w:val="center"/>
          </w:tcPr>
          <w:p>
            <w:pPr>
              <w:pStyle w:val="11"/>
            </w:pPr>
            <w:r>
              <w:t>118.43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318001无极县财政局本级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7.00</w:t>
            </w:r>
          </w:p>
        </w:tc>
        <w:tc>
          <w:tcPr>
            <w:tcW w:w="2381" w:type="dxa"/>
            <w:vAlign w:val="center"/>
          </w:tcPr>
          <w:p>
            <w:pPr>
              <w:pStyle w:val="15"/>
            </w:pPr>
            <w:r>
              <w:t>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r>
              <w:t>7.00</w:t>
            </w:r>
          </w:p>
        </w:tc>
        <w:tc>
          <w:tcPr>
            <w:tcW w:w="2381" w:type="dxa"/>
            <w:vAlign w:val="center"/>
          </w:tcPr>
          <w:p>
            <w:pPr>
              <w:pStyle w:val="11"/>
            </w:pPr>
            <w:r>
              <w:t>7.00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无极县财政局本级2024年单位预算信息公开情况说明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按照《中华人民共和国预算法》、《地方预决算公开操作规程》和《关于进一步推进预算公开工作的实施意见》规定，现将无极县财政局本级2024年单位预算公开如下：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7"/>
      </w:pPr>
      <w:r>
        <w:t>（二）贯彻执行关于财政、税收、财务、会计管理方面的法律、法规、规章。</w:t>
      </w:r>
    </w:p>
    <w:p>
      <w:pPr>
        <w:pStyle w:val="17"/>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7"/>
      </w:pPr>
      <w:r>
        <w:t>（四）提出上级授权税目税率调整、减免和地方税收政策等重大事项的建议。组织推进税收制度改革。</w:t>
      </w:r>
    </w:p>
    <w:p>
      <w:pPr>
        <w:pStyle w:val="17"/>
      </w:pPr>
      <w:r>
        <w:t>（五）按分工负责政府非税收入管理。负责政府性基金管理，按规定管理行政事业性收费。管理财政票据。贯彻实施彩票管理政策和有关办法，参与管理彩票市场，按规定管理彩票资金。</w:t>
      </w:r>
    </w:p>
    <w:p>
      <w:pPr>
        <w:pStyle w:val="17"/>
      </w:pPr>
      <w:r>
        <w:t>（六）研究制定国库管理制度、国库集中收付制度，按规定开展国库资金现金管理工作。制定政府财务报告编制办法并组织实施。制定政府采购制度并监督管理。</w:t>
      </w:r>
    </w:p>
    <w:p>
      <w:pPr>
        <w:pStyle w:val="17"/>
      </w:pPr>
      <w:r>
        <w:t>（七）拟订政府债务管理制度和办法并组织实施。负责政府债务限额管理，按规定组织政府债券申报、转贷和还本付息等工作。执行国家外债管理政策，管理县政府国外债务。开展对外财经交流。</w:t>
      </w:r>
    </w:p>
    <w:p>
      <w:pPr>
        <w:pStyle w:val="17"/>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2235.75万元，其中：一般公共预算收入2235.75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财政局本级年度单位预算中支出预算的总体情况。2024年支出预算2235.75万元，其中基本支出1335.75万元，包括人员经费1171.65万元和日常公用经费164.10万元；项目支出900.00万元，主要为全县项目建设评审费350万元，财政信息化建设180万元，预算绩效第三方评估100万元，协同平台建设85万元，综合治税20万元，资产评估费10万元，资产管理系统运营维护费3万元，部门决算软件维护费3万元，办公楼保温及维修50万元，两会材料27万元，财政预算改革业务费45万元，国库专项经费15万元，银行手续费3万元，票据款2万元，农业农村培训费7万元。</w:t>
      </w:r>
    </w:p>
    <w:p>
      <w:pPr>
        <w:pStyle w:val="18"/>
      </w:pPr>
      <w:r>
        <w:t>3、比上年增减情况</w:t>
      </w:r>
    </w:p>
    <w:p>
      <w:pPr>
        <w:pStyle w:val="18"/>
      </w:pPr>
      <w:r>
        <w:t>2024年预算收支安排2235.75万元，较2023年预算减少241.25万元，其中：基本支出减少60.25万元，主要为人员经费减少99.85万元，公用经费增加39.6万元。项目支出减少181.00万元，主要为全县项目建设评审费减少23万元，预算绩效第三方评估减少59万元，协同平台建设增加5万元，综合治税减少20万元，财政预算改革业务费增加22万元，农村综改项目评审费减少15万元，农业保险监督检查评价费减少15万元，房租返还减少35万元，日常公用经费减少41万元。</w:t>
      </w:r>
    </w:p>
    <w:p>
      <w:pPr>
        <w:pStyle w:val="19"/>
        <w:keepNext w:val="0"/>
        <w:keepLines w:val="0"/>
        <w:pageBreakBefore w:val="0"/>
        <w:widowControl/>
        <w:kinsoku/>
        <w:wordWrap/>
        <w:overflowPunct/>
        <w:topLinePunct w:val="0"/>
        <w:autoSpaceDE/>
        <w:autoSpaceDN/>
        <w:bidi w:val="0"/>
        <w:adjustRightInd/>
        <w:snapToGrid/>
        <w:spacing w:before="0" w:after="0" w:line="500" w:lineRule="exact"/>
        <w:ind w:firstLine="561"/>
        <w:textAlignment w:val="auto"/>
      </w:pPr>
      <w:bookmarkStart w:id="1" w:name="_Toc_3_3_0000000012"/>
      <w:r>
        <w:rPr>
          <w:rFonts w:ascii="黑体" w:hAnsi="黑体" w:eastAsia="黑体" w:cs="黑体"/>
          <w:color w:val="000000"/>
          <w:sz w:val="32"/>
          <w:szCs w:val="24"/>
          <w:lang w:val="en-US" w:eastAsia="uk-UA" w:bidi="ar-SA"/>
        </w:rPr>
        <w:t>三、机关运行经费安排情况</w:t>
      </w:r>
      <w:bookmarkEnd w:id="1"/>
      <w:r>
        <w:rPr>
          <w:rFonts w:ascii="微软雅黑" w:hAnsi="微软雅黑" w:eastAsia="微软雅黑" w:cs="微软雅黑"/>
          <w:i w:val="0"/>
          <w:iCs w:val="0"/>
          <w:caps w:val="0"/>
          <w:color w:val="212529"/>
          <w:spacing w:val="0"/>
          <w:sz w:val="21"/>
          <w:szCs w:val="21"/>
          <w:shd w:val="clear" w:fill="F3FCFD"/>
        </w:rPr>
        <w:br w:type="textWrapping"/>
      </w:r>
      <w:r>
        <w:rPr>
          <w:rFonts w:ascii="宋体" w:hAnsi="宋体" w:eastAsia="宋体" w:cs="宋体"/>
          <w:sz w:val="24"/>
          <w:szCs w:val="24"/>
        </w:rPr>
        <w:t> </w:t>
      </w:r>
      <w:r>
        <w:rPr>
          <w:rFonts w:hint="eastAsia" w:ascii="宋体" w:hAnsi="宋体" w:eastAsia="宋体" w:cs="宋体"/>
          <w:sz w:val="24"/>
          <w:szCs w:val="24"/>
          <w:lang w:val="en-US" w:eastAsia="zh-CN"/>
        </w:rPr>
        <w:t xml:space="preserve">  </w:t>
      </w:r>
      <w:r>
        <w:rPr>
          <w:rFonts w:hint="eastAsia"/>
          <w:lang w:val="en-US" w:eastAsia="zh-CN"/>
        </w:rPr>
        <w:t>2024年我部门机关运行经费共计安排146.1万元，主要用于日常维修、办公用房水电费、办公用房取暖。办公用房物业管理费等日常运行支出。</w:t>
      </w:r>
    </w:p>
    <w:p>
      <w:pPr>
        <w:spacing w:before="10" w:after="10" w:line="360" w:lineRule="auto"/>
        <w:ind w:firstLine="640"/>
        <w:jc w:val="left"/>
        <w:outlineLvl w:val="2"/>
        <w:rPr>
          <w:rFonts w:ascii="黑体" w:hAnsi="黑体" w:eastAsia="黑体" w:cs="黑体"/>
          <w:color w:val="000000"/>
          <w:sz w:val="32"/>
        </w:rPr>
      </w:pPr>
      <w:bookmarkStart w:id="2" w:name="_Toc_3_3_0000000013"/>
      <w:r>
        <w:rPr>
          <w:rFonts w:ascii="黑体" w:hAnsi="黑体" w:eastAsia="黑体" w:cs="黑体"/>
          <w:color w:val="000000"/>
          <w:sz w:val="32"/>
        </w:rPr>
        <w:t>四、财政拨款“三公”经费预算情况及增减变化原因</w:t>
      </w:r>
      <w:bookmarkEnd w:id="2"/>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减少3.00万元，增减变化的主要原因是本年度未安排三公经费预算。</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1、2024年办公楼保温及维修绩效目标表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13013024P00003610176N</w:t>
            </w:r>
          </w:p>
        </w:tc>
        <w:tc>
          <w:tcPr>
            <w:tcW w:w="2835" w:type="dxa"/>
            <w:vAlign w:val="center"/>
          </w:tcPr>
          <w:p>
            <w:pPr>
              <w:pStyle w:val="10"/>
            </w:pPr>
            <w:r>
              <w:t>项目名称</w:t>
            </w:r>
          </w:p>
        </w:tc>
        <w:tc>
          <w:tcPr>
            <w:tcW w:w="6094" w:type="dxa"/>
            <w:gridSpan w:val="3"/>
            <w:vAlign w:val="center"/>
          </w:tcPr>
          <w:p>
            <w:pPr>
              <w:pStyle w:val="12"/>
            </w:pPr>
            <w:r>
              <w:t>2024年办公楼保温及维修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用于办公楼外墙保温维修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1.保障正常办公条件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项目完成情况</w:t>
            </w:r>
          </w:p>
          <w:p>
            <w:pPr>
              <w:pStyle w:val="12"/>
            </w:pPr>
          </w:p>
        </w:tc>
        <w:tc>
          <w:tcPr>
            <w:tcW w:w="5386" w:type="dxa"/>
            <w:vAlign w:val="center"/>
          </w:tcPr>
          <w:p>
            <w:pPr>
              <w:pStyle w:val="12"/>
            </w:pPr>
            <w:r>
              <w:t>项目完成情况</w:t>
            </w:r>
          </w:p>
          <w:p>
            <w:pPr>
              <w:pStyle w:val="12"/>
            </w:pPr>
          </w:p>
        </w:tc>
        <w:tc>
          <w:tcPr>
            <w:tcW w:w="2268" w:type="dxa"/>
            <w:vAlign w:val="center"/>
          </w:tcPr>
          <w:p>
            <w:pPr>
              <w:pStyle w:val="12"/>
            </w:pPr>
            <w:r>
              <w:t>100</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对各单位目标任务，工程质量，工程进度，安全生产，技术创新，文明施工，科学管理，廉政建设，营造氛围，组织领导进行考核</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2268" w:type="dxa"/>
            <w:vAlign w:val="center"/>
          </w:tcPr>
          <w:p>
            <w:pPr>
              <w:pStyle w:val="12"/>
            </w:pPr>
            <w:r>
              <w:t>100</w:t>
            </w:r>
          </w:p>
        </w:tc>
        <w:tc>
          <w:tcPr>
            <w:tcW w:w="1276" w:type="dxa"/>
            <w:vAlign w:val="center"/>
          </w:tcPr>
          <w:p>
            <w:pPr>
              <w:pStyle w:val="12"/>
            </w:pPr>
            <w:r>
              <w:t>根据工作需要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工作人员对办公场所的满意程度</w:t>
            </w:r>
          </w:p>
        </w:tc>
        <w:tc>
          <w:tcPr>
            <w:tcW w:w="2268" w:type="dxa"/>
            <w:vAlign w:val="center"/>
          </w:tcPr>
          <w:p>
            <w:pPr>
              <w:pStyle w:val="12"/>
            </w:pPr>
            <w:r>
              <w:t>≥98%</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2、2024年部门决算软件维护费绩效目标表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13013024P000036101753</w:t>
            </w:r>
          </w:p>
        </w:tc>
        <w:tc>
          <w:tcPr>
            <w:tcW w:w="2835" w:type="dxa"/>
            <w:vAlign w:val="center"/>
          </w:tcPr>
          <w:p>
            <w:pPr>
              <w:pStyle w:val="10"/>
            </w:pPr>
            <w:r>
              <w:t>项目名称</w:t>
            </w:r>
          </w:p>
        </w:tc>
        <w:tc>
          <w:tcPr>
            <w:tcW w:w="6094" w:type="dxa"/>
            <w:gridSpan w:val="3"/>
            <w:vAlign w:val="center"/>
          </w:tcPr>
          <w:p>
            <w:pPr>
              <w:pStyle w:val="12"/>
            </w:pPr>
            <w:r>
              <w:t>2024年部门决算软件维护费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保证正常工作开展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1.财政部门决算软件运行维护费，保证正常业务开展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按时支付各项信息化费用</w:t>
            </w:r>
          </w:p>
        </w:tc>
        <w:tc>
          <w:tcPr>
            <w:tcW w:w="5386" w:type="dxa"/>
            <w:vAlign w:val="center"/>
          </w:tcPr>
          <w:p>
            <w:pPr>
              <w:pStyle w:val="12"/>
            </w:pPr>
            <w:r>
              <w:t>按时支付费用</w:t>
            </w:r>
          </w:p>
        </w:tc>
        <w:tc>
          <w:tcPr>
            <w:tcW w:w="2268" w:type="dxa"/>
            <w:vAlign w:val="center"/>
          </w:tcPr>
          <w:p>
            <w:pPr>
              <w:pStyle w:val="12"/>
            </w:pPr>
            <w:r>
              <w:t>按时支付</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财政拨款专款专用情况</w:t>
            </w:r>
          </w:p>
        </w:tc>
        <w:tc>
          <w:tcPr>
            <w:tcW w:w="2268" w:type="dxa"/>
            <w:vAlign w:val="center"/>
          </w:tcPr>
          <w:p>
            <w:pPr>
              <w:pStyle w:val="12"/>
            </w:pPr>
            <w:r>
              <w:t>≥100%</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完成正常业务</w:t>
            </w:r>
          </w:p>
        </w:tc>
        <w:tc>
          <w:tcPr>
            <w:tcW w:w="5386" w:type="dxa"/>
            <w:vAlign w:val="center"/>
          </w:tcPr>
          <w:p>
            <w:pPr>
              <w:pStyle w:val="12"/>
            </w:pPr>
            <w:r>
              <w:t>正常财政业务完成及时率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项目预算金额</w:t>
            </w:r>
          </w:p>
        </w:tc>
        <w:tc>
          <w:tcPr>
            <w:tcW w:w="2268" w:type="dxa"/>
            <w:vAlign w:val="center"/>
          </w:tcPr>
          <w:p>
            <w:pPr>
              <w:pStyle w:val="12"/>
            </w:pPr>
            <w:r>
              <w:t>保障正常财政业务正常进行</w:t>
            </w:r>
          </w:p>
        </w:tc>
        <w:tc>
          <w:tcPr>
            <w:tcW w:w="1276"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服务对象对系统的满意程度</w:t>
            </w:r>
          </w:p>
        </w:tc>
        <w:tc>
          <w:tcPr>
            <w:tcW w:w="5386" w:type="dxa"/>
            <w:vAlign w:val="center"/>
          </w:tcPr>
          <w:p>
            <w:pPr>
              <w:pStyle w:val="12"/>
            </w:pPr>
            <w:r>
              <w:t>服务对象对系统的满意程度</w:t>
            </w:r>
          </w:p>
        </w:tc>
        <w:tc>
          <w:tcPr>
            <w:tcW w:w="2268" w:type="dxa"/>
            <w:vAlign w:val="center"/>
          </w:tcPr>
          <w:p>
            <w:pPr>
              <w:pStyle w:val="12"/>
            </w:pPr>
            <w:r>
              <w:t>≥95%</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3、2024年财政票据款绩效目标表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13013024P00003610181G</w:t>
            </w:r>
          </w:p>
        </w:tc>
        <w:tc>
          <w:tcPr>
            <w:tcW w:w="2835" w:type="dxa"/>
            <w:vAlign w:val="center"/>
          </w:tcPr>
          <w:p>
            <w:pPr>
              <w:pStyle w:val="10"/>
            </w:pPr>
            <w:r>
              <w:t>项目名称</w:t>
            </w:r>
          </w:p>
        </w:tc>
        <w:tc>
          <w:tcPr>
            <w:tcW w:w="6094" w:type="dxa"/>
            <w:gridSpan w:val="3"/>
            <w:vAlign w:val="center"/>
          </w:tcPr>
          <w:p>
            <w:pPr>
              <w:pStyle w:val="12"/>
            </w:pPr>
            <w:r>
              <w:t>2024年财政票据款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购买财政票据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1.购买非税收入票据，免费提供非税收入票据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票据领用率</w:t>
            </w:r>
          </w:p>
        </w:tc>
        <w:tc>
          <w:tcPr>
            <w:tcW w:w="5386" w:type="dxa"/>
            <w:vAlign w:val="center"/>
          </w:tcPr>
          <w:p>
            <w:pPr>
              <w:pStyle w:val="12"/>
            </w:pPr>
            <w:r>
              <w:t>财政非税收入票据领用</w:t>
            </w:r>
          </w:p>
        </w:tc>
        <w:tc>
          <w:tcPr>
            <w:tcW w:w="2268" w:type="dxa"/>
            <w:vAlign w:val="center"/>
          </w:tcPr>
          <w:p>
            <w:pPr>
              <w:pStyle w:val="12"/>
            </w:pPr>
            <w:r>
              <w:t>100%</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发票损耗率</w:t>
            </w:r>
          </w:p>
        </w:tc>
        <w:tc>
          <w:tcPr>
            <w:tcW w:w="5386" w:type="dxa"/>
            <w:vAlign w:val="center"/>
          </w:tcPr>
          <w:p>
            <w:pPr>
              <w:pStyle w:val="12"/>
            </w:pPr>
            <w:r>
              <w:t>发票损耗率</w:t>
            </w:r>
          </w:p>
        </w:tc>
        <w:tc>
          <w:tcPr>
            <w:tcW w:w="2268" w:type="dxa"/>
            <w:vAlign w:val="center"/>
          </w:tcPr>
          <w:p>
            <w:pPr>
              <w:pStyle w:val="12"/>
            </w:pPr>
            <w:r>
              <w:t>&lt;10%</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项目预算金额</w:t>
            </w:r>
          </w:p>
        </w:tc>
        <w:tc>
          <w:tcPr>
            <w:tcW w:w="2268" w:type="dxa"/>
            <w:vAlign w:val="center"/>
          </w:tcPr>
          <w:p>
            <w:pPr>
              <w:pStyle w:val="12"/>
            </w:pPr>
            <w:r>
              <w:t>保障非税收入票据正常领用</w:t>
            </w:r>
          </w:p>
        </w:tc>
        <w:tc>
          <w:tcPr>
            <w:tcW w:w="1276"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4、2024年财政协同平台建设绩效目标表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13013024P00003610171L</w:t>
            </w:r>
          </w:p>
        </w:tc>
        <w:tc>
          <w:tcPr>
            <w:tcW w:w="2835" w:type="dxa"/>
            <w:vAlign w:val="center"/>
          </w:tcPr>
          <w:p>
            <w:pPr>
              <w:pStyle w:val="10"/>
            </w:pPr>
            <w:r>
              <w:t>项目名称</w:t>
            </w:r>
          </w:p>
        </w:tc>
        <w:tc>
          <w:tcPr>
            <w:tcW w:w="6094" w:type="dxa"/>
            <w:gridSpan w:val="3"/>
            <w:vAlign w:val="center"/>
          </w:tcPr>
          <w:p>
            <w:pPr>
              <w:pStyle w:val="12"/>
            </w:pPr>
            <w:r>
              <w:t>2024年财政协同平台建设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用于财政协同管理平台建设项目使用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1.保障财政协同管理平台建设项目正常开展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及时支付各项平台建设费用</w:t>
            </w:r>
          </w:p>
        </w:tc>
        <w:tc>
          <w:tcPr>
            <w:tcW w:w="5386" w:type="dxa"/>
            <w:vAlign w:val="center"/>
          </w:tcPr>
          <w:p>
            <w:pPr>
              <w:pStyle w:val="12"/>
            </w:pPr>
            <w:r>
              <w:t>按时支付各项平台建设费用</w:t>
            </w:r>
          </w:p>
        </w:tc>
        <w:tc>
          <w:tcPr>
            <w:tcW w:w="2268" w:type="dxa"/>
            <w:vAlign w:val="center"/>
          </w:tcPr>
          <w:p>
            <w:pPr>
              <w:pStyle w:val="12"/>
            </w:pPr>
            <w:r>
              <w:t>按时支付</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财政拨款专款专用情况</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完成正常业务</w:t>
            </w:r>
          </w:p>
        </w:tc>
        <w:tc>
          <w:tcPr>
            <w:tcW w:w="5386" w:type="dxa"/>
            <w:vAlign w:val="center"/>
          </w:tcPr>
          <w:p>
            <w:pPr>
              <w:pStyle w:val="12"/>
            </w:pPr>
            <w:r>
              <w:t>正常财政业务完成及时率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项目预算金额</w:t>
            </w:r>
          </w:p>
        </w:tc>
        <w:tc>
          <w:tcPr>
            <w:tcW w:w="2268" w:type="dxa"/>
            <w:vAlign w:val="center"/>
          </w:tcPr>
          <w:p>
            <w:pPr>
              <w:pStyle w:val="12"/>
            </w:pPr>
            <w:r>
              <w:t>保障正常财政业务正常进行</w:t>
            </w:r>
          </w:p>
        </w:tc>
        <w:tc>
          <w:tcPr>
            <w:tcW w:w="1276"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服务对象对系统的满意程度</w:t>
            </w:r>
          </w:p>
        </w:tc>
        <w:tc>
          <w:tcPr>
            <w:tcW w:w="5386" w:type="dxa"/>
            <w:vAlign w:val="center"/>
          </w:tcPr>
          <w:p>
            <w:pPr>
              <w:pStyle w:val="12"/>
            </w:pPr>
            <w:r>
              <w:t>服务对象对系统的满意程度</w:t>
            </w:r>
          </w:p>
        </w:tc>
        <w:tc>
          <w:tcPr>
            <w:tcW w:w="2268" w:type="dxa"/>
            <w:vAlign w:val="center"/>
          </w:tcPr>
          <w:p>
            <w:pPr>
              <w:pStyle w:val="12"/>
            </w:pPr>
            <w:r>
              <w:t>≥95%</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5、2024年财政信息化建设项目绩效目标表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13013024P00003610169M</w:t>
            </w:r>
          </w:p>
        </w:tc>
        <w:tc>
          <w:tcPr>
            <w:tcW w:w="2835" w:type="dxa"/>
            <w:vAlign w:val="center"/>
          </w:tcPr>
          <w:p>
            <w:pPr>
              <w:pStyle w:val="10"/>
            </w:pPr>
            <w:r>
              <w:t>项目名称</w:t>
            </w:r>
          </w:p>
        </w:tc>
        <w:tc>
          <w:tcPr>
            <w:tcW w:w="6094" w:type="dxa"/>
            <w:gridSpan w:val="3"/>
            <w:vAlign w:val="center"/>
          </w:tcPr>
          <w:p>
            <w:pPr>
              <w:pStyle w:val="12"/>
            </w:pPr>
            <w:r>
              <w:t>2024年财政信息化建设项目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用于财政信息化建设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1.保障财政信息系统高效、平稳运行，满足财政工作需要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按时支付各项信息化费用</w:t>
            </w:r>
          </w:p>
        </w:tc>
        <w:tc>
          <w:tcPr>
            <w:tcW w:w="5386" w:type="dxa"/>
            <w:vAlign w:val="center"/>
          </w:tcPr>
          <w:p>
            <w:pPr>
              <w:pStyle w:val="12"/>
            </w:pPr>
            <w:r>
              <w:t>按时支付各项信息化费用</w:t>
            </w:r>
          </w:p>
        </w:tc>
        <w:tc>
          <w:tcPr>
            <w:tcW w:w="2268" w:type="dxa"/>
            <w:vAlign w:val="center"/>
          </w:tcPr>
          <w:p>
            <w:pPr>
              <w:pStyle w:val="12"/>
            </w:pPr>
            <w:r>
              <w:t>按时支付</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财政拨款专款专用情况</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完成正常业务</w:t>
            </w:r>
          </w:p>
        </w:tc>
        <w:tc>
          <w:tcPr>
            <w:tcW w:w="5386" w:type="dxa"/>
            <w:vAlign w:val="center"/>
          </w:tcPr>
          <w:p>
            <w:pPr>
              <w:pStyle w:val="12"/>
            </w:pPr>
            <w:r>
              <w:t>正常财政业务完成及时率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项目预算金额</w:t>
            </w:r>
          </w:p>
        </w:tc>
        <w:tc>
          <w:tcPr>
            <w:tcW w:w="2268" w:type="dxa"/>
            <w:vAlign w:val="center"/>
          </w:tcPr>
          <w:p>
            <w:pPr>
              <w:pStyle w:val="12"/>
            </w:pPr>
            <w:r>
              <w:t>保障正常财政业务正常进行</w:t>
            </w:r>
          </w:p>
        </w:tc>
        <w:tc>
          <w:tcPr>
            <w:tcW w:w="1276"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机关工作人员满意度</w:t>
            </w:r>
          </w:p>
        </w:tc>
        <w:tc>
          <w:tcPr>
            <w:tcW w:w="5386" w:type="dxa"/>
            <w:vAlign w:val="center"/>
          </w:tcPr>
          <w:p>
            <w:pPr>
              <w:pStyle w:val="12"/>
            </w:pPr>
            <w:r>
              <w:t>调查中满意和较满意的人数占调查总人数胡比率</w:t>
            </w:r>
          </w:p>
        </w:tc>
        <w:tc>
          <w:tcPr>
            <w:tcW w:w="2268" w:type="dxa"/>
            <w:vAlign w:val="center"/>
          </w:tcPr>
          <w:p>
            <w:pPr>
              <w:pStyle w:val="12"/>
            </w:pPr>
            <w:r>
              <w:t>≥95%</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6、2024年财政预算改革业务费绩效目标表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13013024P00003610178X</w:t>
            </w:r>
          </w:p>
        </w:tc>
        <w:tc>
          <w:tcPr>
            <w:tcW w:w="2835" w:type="dxa"/>
            <w:vAlign w:val="center"/>
          </w:tcPr>
          <w:p>
            <w:pPr>
              <w:pStyle w:val="10"/>
            </w:pPr>
            <w:r>
              <w:t>项目名称</w:t>
            </w:r>
          </w:p>
        </w:tc>
        <w:tc>
          <w:tcPr>
            <w:tcW w:w="6094" w:type="dxa"/>
            <w:gridSpan w:val="3"/>
            <w:vAlign w:val="center"/>
          </w:tcPr>
          <w:p>
            <w:pPr>
              <w:pStyle w:val="12"/>
            </w:pPr>
            <w:r>
              <w:t>2024年财政预算改革业务费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用于财政预算改革业务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1.用于财政预算改革业务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及时支付各项平台建设费用</w:t>
            </w:r>
          </w:p>
        </w:tc>
        <w:tc>
          <w:tcPr>
            <w:tcW w:w="5386" w:type="dxa"/>
            <w:vAlign w:val="center"/>
          </w:tcPr>
          <w:p>
            <w:pPr>
              <w:pStyle w:val="12"/>
            </w:pPr>
            <w:r>
              <w:t>按时支付各项平台建设费用</w:t>
            </w:r>
          </w:p>
        </w:tc>
        <w:tc>
          <w:tcPr>
            <w:tcW w:w="2268" w:type="dxa"/>
            <w:vAlign w:val="center"/>
          </w:tcPr>
          <w:p>
            <w:pPr>
              <w:pStyle w:val="12"/>
            </w:pPr>
            <w:r>
              <w:t>按时支付</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财政拨款专款专用情况</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完成正常业务</w:t>
            </w:r>
          </w:p>
        </w:tc>
        <w:tc>
          <w:tcPr>
            <w:tcW w:w="5386" w:type="dxa"/>
            <w:vAlign w:val="center"/>
          </w:tcPr>
          <w:p>
            <w:pPr>
              <w:pStyle w:val="12"/>
            </w:pPr>
            <w:r>
              <w:t>正常财政业务完成及时率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项目预算金额</w:t>
            </w:r>
          </w:p>
        </w:tc>
        <w:tc>
          <w:tcPr>
            <w:tcW w:w="2268" w:type="dxa"/>
            <w:vAlign w:val="center"/>
          </w:tcPr>
          <w:p>
            <w:pPr>
              <w:pStyle w:val="12"/>
            </w:pPr>
            <w:r>
              <w:t>保障正常财政业务正常进行</w:t>
            </w:r>
          </w:p>
        </w:tc>
        <w:tc>
          <w:tcPr>
            <w:tcW w:w="1276"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机关工作人员满意度（%）</w:t>
            </w:r>
          </w:p>
        </w:tc>
        <w:tc>
          <w:tcPr>
            <w:tcW w:w="5386" w:type="dxa"/>
            <w:vAlign w:val="center"/>
          </w:tcPr>
          <w:p>
            <w:pPr>
              <w:pStyle w:val="12"/>
            </w:pPr>
            <w:r>
              <w:t>机关工作人员满意度（%）</w:t>
            </w:r>
          </w:p>
        </w:tc>
        <w:tc>
          <w:tcPr>
            <w:tcW w:w="2268" w:type="dxa"/>
            <w:vAlign w:val="center"/>
          </w:tcPr>
          <w:p>
            <w:pPr>
              <w:pStyle w:val="12"/>
            </w:pPr>
            <w:r>
              <w:t>≥95%</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7、2024年财政资产管理系统运营服务费绩效目标表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13013024P00003610174F</w:t>
            </w:r>
          </w:p>
        </w:tc>
        <w:tc>
          <w:tcPr>
            <w:tcW w:w="2835" w:type="dxa"/>
            <w:vAlign w:val="center"/>
          </w:tcPr>
          <w:p>
            <w:pPr>
              <w:pStyle w:val="10"/>
            </w:pPr>
            <w:r>
              <w:t>项目名称</w:t>
            </w:r>
          </w:p>
        </w:tc>
        <w:tc>
          <w:tcPr>
            <w:tcW w:w="6094" w:type="dxa"/>
            <w:gridSpan w:val="3"/>
            <w:vAlign w:val="center"/>
          </w:tcPr>
          <w:p>
            <w:pPr>
              <w:pStyle w:val="12"/>
            </w:pPr>
            <w:r>
              <w:t>2024年财政资产管理系统运营服务费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财政资产管理系统运行维护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1.财政资产管理系统运行维护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及时支付各项平台建设费用</w:t>
            </w:r>
          </w:p>
        </w:tc>
        <w:tc>
          <w:tcPr>
            <w:tcW w:w="5386" w:type="dxa"/>
            <w:vAlign w:val="center"/>
          </w:tcPr>
          <w:p>
            <w:pPr>
              <w:pStyle w:val="12"/>
            </w:pPr>
            <w:r>
              <w:t>按时支付各项平台建设费用</w:t>
            </w:r>
          </w:p>
        </w:tc>
        <w:tc>
          <w:tcPr>
            <w:tcW w:w="2268" w:type="dxa"/>
            <w:vAlign w:val="center"/>
          </w:tcPr>
          <w:p>
            <w:pPr>
              <w:pStyle w:val="12"/>
            </w:pPr>
            <w:r>
              <w:t>按时支付</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财政拨款专款专用情况</w:t>
            </w:r>
          </w:p>
        </w:tc>
        <w:tc>
          <w:tcPr>
            <w:tcW w:w="2268" w:type="dxa"/>
            <w:vAlign w:val="center"/>
          </w:tcPr>
          <w:p>
            <w:pPr>
              <w:pStyle w:val="12"/>
            </w:pPr>
            <w:r>
              <w:t>100%</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完成正常业务</w:t>
            </w:r>
          </w:p>
        </w:tc>
        <w:tc>
          <w:tcPr>
            <w:tcW w:w="5386" w:type="dxa"/>
            <w:vAlign w:val="center"/>
          </w:tcPr>
          <w:p>
            <w:pPr>
              <w:pStyle w:val="12"/>
            </w:pPr>
            <w:r>
              <w:t>正常财政业务完成及时率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项目预算金额</w:t>
            </w:r>
          </w:p>
        </w:tc>
        <w:tc>
          <w:tcPr>
            <w:tcW w:w="2268" w:type="dxa"/>
            <w:vAlign w:val="center"/>
          </w:tcPr>
          <w:p>
            <w:pPr>
              <w:pStyle w:val="12"/>
            </w:pPr>
            <w:r>
              <w:t>保障正常财政业务正常进行</w:t>
            </w:r>
          </w:p>
        </w:tc>
        <w:tc>
          <w:tcPr>
            <w:tcW w:w="1276"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8、2024年财政资产评估费绩效目标表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13013024P00003610173U</w:t>
            </w:r>
          </w:p>
        </w:tc>
        <w:tc>
          <w:tcPr>
            <w:tcW w:w="2835" w:type="dxa"/>
            <w:vAlign w:val="center"/>
          </w:tcPr>
          <w:p>
            <w:pPr>
              <w:pStyle w:val="10"/>
            </w:pPr>
            <w:r>
              <w:t>项目名称</w:t>
            </w:r>
          </w:p>
        </w:tc>
        <w:tc>
          <w:tcPr>
            <w:tcW w:w="6094" w:type="dxa"/>
            <w:gridSpan w:val="3"/>
            <w:vAlign w:val="center"/>
          </w:tcPr>
          <w:p>
            <w:pPr>
              <w:pStyle w:val="12"/>
            </w:pPr>
            <w:r>
              <w:t>2024年财政资产评估费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用于财政资产评估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1.评估处置转让及拍卖行政事业单位资产</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开展评估处置转让拍卖项目个数</w:t>
            </w:r>
          </w:p>
        </w:tc>
        <w:tc>
          <w:tcPr>
            <w:tcW w:w="5386" w:type="dxa"/>
            <w:vAlign w:val="center"/>
          </w:tcPr>
          <w:p>
            <w:pPr>
              <w:pStyle w:val="12"/>
            </w:pPr>
            <w:r>
              <w:t>开展评估处置转让拍卖项目个数</w:t>
            </w:r>
          </w:p>
        </w:tc>
        <w:tc>
          <w:tcPr>
            <w:tcW w:w="2268" w:type="dxa"/>
            <w:vAlign w:val="center"/>
          </w:tcPr>
          <w:p>
            <w:pPr>
              <w:pStyle w:val="12"/>
            </w:pPr>
            <w:r>
              <w:t>相关行政事业单位</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开展评估处置转让拍卖完成率</w:t>
            </w:r>
          </w:p>
        </w:tc>
        <w:tc>
          <w:tcPr>
            <w:tcW w:w="5386" w:type="dxa"/>
            <w:vAlign w:val="center"/>
          </w:tcPr>
          <w:p>
            <w:pPr>
              <w:pStyle w:val="12"/>
            </w:pPr>
            <w:r>
              <w:t>开展评估处置转让拍卖完成率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开展评估处置转让拍卖完成及时率</w:t>
            </w:r>
          </w:p>
        </w:tc>
        <w:tc>
          <w:tcPr>
            <w:tcW w:w="5386" w:type="dxa"/>
            <w:vAlign w:val="center"/>
          </w:tcPr>
          <w:p>
            <w:pPr>
              <w:pStyle w:val="12"/>
            </w:pPr>
            <w:r>
              <w:t>开展评估处置转让拍卖完成及时率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项目预算金额</w:t>
            </w:r>
          </w:p>
        </w:tc>
        <w:tc>
          <w:tcPr>
            <w:tcW w:w="2268" w:type="dxa"/>
            <w:vAlign w:val="center"/>
          </w:tcPr>
          <w:p>
            <w:pPr>
              <w:pStyle w:val="12"/>
            </w:pPr>
            <w:r>
              <w:t>保障评估处置转让拍卖正常进行</w:t>
            </w:r>
          </w:p>
        </w:tc>
        <w:tc>
          <w:tcPr>
            <w:tcW w:w="1276"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服务对象对系统的满意程度</w:t>
            </w:r>
          </w:p>
        </w:tc>
        <w:tc>
          <w:tcPr>
            <w:tcW w:w="5386" w:type="dxa"/>
            <w:vAlign w:val="center"/>
          </w:tcPr>
          <w:p>
            <w:pPr>
              <w:pStyle w:val="12"/>
            </w:pPr>
            <w:r>
              <w:t>服务对象对系统的满意程度</w:t>
            </w:r>
          </w:p>
        </w:tc>
        <w:tc>
          <w:tcPr>
            <w:tcW w:w="2268" w:type="dxa"/>
            <w:vAlign w:val="center"/>
          </w:tcPr>
          <w:p>
            <w:pPr>
              <w:pStyle w:val="12"/>
            </w:pPr>
            <w:r>
              <w:t>≥95%</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9、2024年财政综合治税绩效目标表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13013024P000036101728</w:t>
            </w:r>
          </w:p>
        </w:tc>
        <w:tc>
          <w:tcPr>
            <w:tcW w:w="2835" w:type="dxa"/>
            <w:vAlign w:val="center"/>
          </w:tcPr>
          <w:p>
            <w:pPr>
              <w:pStyle w:val="10"/>
            </w:pPr>
            <w:r>
              <w:t>项目名称</w:t>
            </w:r>
          </w:p>
        </w:tc>
        <w:tc>
          <w:tcPr>
            <w:tcW w:w="6094" w:type="dxa"/>
            <w:gridSpan w:val="3"/>
            <w:vAlign w:val="center"/>
          </w:tcPr>
          <w:p>
            <w:pPr>
              <w:pStyle w:val="12"/>
            </w:pPr>
            <w:r>
              <w:t>2024年财政综合治税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确保财政收入，更好的挖掘税源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1.确保财政收入，更好的挖掘税源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举办业务培训</w:t>
            </w:r>
          </w:p>
        </w:tc>
        <w:tc>
          <w:tcPr>
            <w:tcW w:w="5386" w:type="dxa"/>
            <w:vAlign w:val="center"/>
          </w:tcPr>
          <w:p>
            <w:pPr>
              <w:pStyle w:val="12"/>
            </w:pPr>
            <w:r>
              <w:t>组织召开全县税源调查工作培训会</w:t>
            </w:r>
          </w:p>
        </w:tc>
        <w:tc>
          <w:tcPr>
            <w:tcW w:w="2268" w:type="dxa"/>
            <w:vAlign w:val="center"/>
          </w:tcPr>
          <w:p>
            <w:pPr>
              <w:pStyle w:val="12"/>
            </w:pPr>
            <w:r>
              <w:t>≥6次</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保障财政收入</w:t>
            </w:r>
          </w:p>
        </w:tc>
        <w:tc>
          <w:tcPr>
            <w:tcW w:w="5386" w:type="dxa"/>
            <w:vAlign w:val="center"/>
          </w:tcPr>
          <w:p>
            <w:pPr>
              <w:pStyle w:val="12"/>
            </w:pPr>
            <w:r>
              <w:t>保障财政收入程度</w:t>
            </w:r>
          </w:p>
        </w:tc>
        <w:tc>
          <w:tcPr>
            <w:tcW w:w="2268" w:type="dxa"/>
            <w:vAlign w:val="center"/>
          </w:tcPr>
          <w:p>
            <w:pPr>
              <w:pStyle w:val="12"/>
            </w:pPr>
            <w:r>
              <w:t>≥90%</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按时完成数据采集和监测报告</w:t>
            </w:r>
          </w:p>
        </w:tc>
        <w:tc>
          <w:tcPr>
            <w:tcW w:w="5386" w:type="dxa"/>
            <w:vAlign w:val="center"/>
          </w:tcPr>
          <w:p>
            <w:pPr>
              <w:pStyle w:val="12"/>
            </w:pPr>
            <w:r>
              <w:t>按时完成涉税数据采集，统计监测和分析，编制监测报告</w:t>
            </w:r>
          </w:p>
        </w:tc>
        <w:tc>
          <w:tcPr>
            <w:tcW w:w="2268" w:type="dxa"/>
            <w:vAlign w:val="center"/>
          </w:tcPr>
          <w:p>
            <w:pPr>
              <w:pStyle w:val="12"/>
            </w:pPr>
            <w:r>
              <w:t>保证工作正常进行</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项目预算金额</w:t>
            </w:r>
          </w:p>
        </w:tc>
        <w:tc>
          <w:tcPr>
            <w:tcW w:w="2268" w:type="dxa"/>
            <w:vAlign w:val="center"/>
          </w:tcPr>
          <w:p>
            <w:pPr>
              <w:pStyle w:val="12"/>
            </w:pPr>
            <w:r>
              <w:t>保障工作正常进行</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10、2024年国库专项经费绩效目标表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13013024P00003610179H</w:t>
            </w:r>
          </w:p>
        </w:tc>
        <w:tc>
          <w:tcPr>
            <w:tcW w:w="2835" w:type="dxa"/>
            <w:vAlign w:val="center"/>
          </w:tcPr>
          <w:p>
            <w:pPr>
              <w:pStyle w:val="10"/>
            </w:pPr>
            <w:r>
              <w:t>项目名称</w:t>
            </w:r>
          </w:p>
        </w:tc>
        <w:tc>
          <w:tcPr>
            <w:tcW w:w="6094" w:type="dxa"/>
            <w:gridSpan w:val="3"/>
            <w:vAlign w:val="center"/>
          </w:tcPr>
          <w:p>
            <w:pPr>
              <w:pStyle w:val="12"/>
            </w:pPr>
            <w:r>
              <w:t>2024年国库专项经费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保证国库业务正常开展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1.保证财政国库业务正常开展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按时支付各项费用</w:t>
            </w:r>
          </w:p>
        </w:tc>
        <w:tc>
          <w:tcPr>
            <w:tcW w:w="5386" w:type="dxa"/>
            <w:vAlign w:val="center"/>
          </w:tcPr>
          <w:p>
            <w:pPr>
              <w:pStyle w:val="12"/>
            </w:pPr>
            <w:r>
              <w:t>按时支付各项费用</w:t>
            </w:r>
          </w:p>
        </w:tc>
        <w:tc>
          <w:tcPr>
            <w:tcW w:w="2268" w:type="dxa"/>
            <w:vAlign w:val="center"/>
          </w:tcPr>
          <w:p>
            <w:pPr>
              <w:pStyle w:val="12"/>
            </w:pPr>
            <w:r>
              <w:t>按时支付</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财政拨款专款专用情况</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完成正常业务</w:t>
            </w:r>
          </w:p>
        </w:tc>
        <w:tc>
          <w:tcPr>
            <w:tcW w:w="5386" w:type="dxa"/>
            <w:vAlign w:val="center"/>
          </w:tcPr>
          <w:p>
            <w:pPr>
              <w:pStyle w:val="12"/>
            </w:pPr>
            <w:r>
              <w:t>正常财政业务完成及时率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项目预算金额</w:t>
            </w:r>
          </w:p>
        </w:tc>
        <w:tc>
          <w:tcPr>
            <w:tcW w:w="2268" w:type="dxa"/>
            <w:vAlign w:val="center"/>
          </w:tcPr>
          <w:p>
            <w:pPr>
              <w:pStyle w:val="12"/>
            </w:pPr>
            <w:r>
              <w:t>保障正常财政业务正常进行</w:t>
            </w:r>
          </w:p>
        </w:tc>
        <w:tc>
          <w:tcPr>
            <w:tcW w:w="1276"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机关工作人员满意度</w:t>
            </w:r>
          </w:p>
        </w:tc>
        <w:tc>
          <w:tcPr>
            <w:tcW w:w="5386" w:type="dxa"/>
            <w:vAlign w:val="center"/>
          </w:tcPr>
          <w:p>
            <w:pPr>
              <w:pStyle w:val="12"/>
            </w:pPr>
            <w:r>
              <w:t>调查中满意和较满意的人数占调查总人数胡比率</w:t>
            </w:r>
          </w:p>
        </w:tc>
        <w:tc>
          <w:tcPr>
            <w:tcW w:w="2268" w:type="dxa"/>
            <w:vAlign w:val="center"/>
          </w:tcPr>
          <w:p>
            <w:pPr>
              <w:pStyle w:val="12"/>
            </w:pPr>
            <w:r>
              <w:t>≥95</w:t>
            </w:r>
          </w:p>
        </w:tc>
        <w:tc>
          <w:tcPr>
            <w:tcW w:w="1276" w:type="dxa"/>
            <w:vAlign w:val="center"/>
          </w:tcPr>
          <w:p>
            <w:pPr>
              <w:pStyle w:val="12"/>
            </w:pPr>
            <w:r>
              <w:t>根据工作需要</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11、2024年两会材料费绩效目标表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13013024P00003610177A</w:t>
            </w:r>
          </w:p>
        </w:tc>
        <w:tc>
          <w:tcPr>
            <w:tcW w:w="2835" w:type="dxa"/>
            <w:vAlign w:val="center"/>
          </w:tcPr>
          <w:p>
            <w:pPr>
              <w:pStyle w:val="10"/>
            </w:pPr>
            <w:r>
              <w:t>项目名称</w:t>
            </w:r>
          </w:p>
        </w:tc>
        <w:tc>
          <w:tcPr>
            <w:tcW w:w="6094" w:type="dxa"/>
            <w:gridSpan w:val="3"/>
            <w:vAlign w:val="center"/>
          </w:tcPr>
          <w:p>
            <w:pPr>
              <w:pStyle w:val="12"/>
            </w:pPr>
            <w:r>
              <w:t>2024年两会材料费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保障人大、政协两会的圆满召开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1.保障人大、政协两会顺利召开</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计划印制数量</w:t>
            </w:r>
          </w:p>
        </w:tc>
        <w:tc>
          <w:tcPr>
            <w:tcW w:w="5386" w:type="dxa"/>
            <w:vAlign w:val="center"/>
          </w:tcPr>
          <w:p>
            <w:pPr>
              <w:pStyle w:val="12"/>
            </w:pPr>
            <w:r>
              <w:t>计划印制数量完成</w:t>
            </w:r>
          </w:p>
        </w:tc>
        <w:tc>
          <w:tcPr>
            <w:tcW w:w="2268" w:type="dxa"/>
            <w:vAlign w:val="center"/>
          </w:tcPr>
          <w:p>
            <w:pPr>
              <w:pStyle w:val="12"/>
            </w:pPr>
            <w:r>
              <w:t>≥90%</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印刷合格率</w:t>
            </w:r>
          </w:p>
        </w:tc>
        <w:tc>
          <w:tcPr>
            <w:tcW w:w="5386" w:type="dxa"/>
            <w:vAlign w:val="center"/>
          </w:tcPr>
          <w:p>
            <w:pPr>
              <w:pStyle w:val="12"/>
            </w:pPr>
            <w:r>
              <w:t>印刷合格率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印刷完成及时率</w:t>
            </w:r>
          </w:p>
        </w:tc>
        <w:tc>
          <w:tcPr>
            <w:tcW w:w="5386" w:type="dxa"/>
            <w:vAlign w:val="center"/>
          </w:tcPr>
          <w:p>
            <w:pPr>
              <w:pStyle w:val="12"/>
            </w:pPr>
            <w:r>
              <w:t>印刷完成及时率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预算控制金额</w:t>
            </w:r>
          </w:p>
        </w:tc>
        <w:tc>
          <w:tcPr>
            <w:tcW w:w="2268" w:type="dxa"/>
            <w:vAlign w:val="center"/>
          </w:tcPr>
          <w:p>
            <w:pPr>
              <w:pStyle w:val="12"/>
            </w:pPr>
            <w:r>
              <w:t>保障两会顺利召开</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政策满意度</w:t>
            </w:r>
          </w:p>
        </w:tc>
        <w:tc>
          <w:tcPr>
            <w:tcW w:w="5386" w:type="dxa"/>
            <w:vAlign w:val="center"/>
          </w:tcPr>
          <w:p>
            <w:pPr>
              <w:pStyle w:val="12"/>
            </w:pPr>
            <w:r>
              <w:t>政策满意度</w:t>
            </w:r>
          </w:p>
        </w:tc>
        <w:tc>
          <w:tcPr>
            <w:tcW w:w="2268" w:type="dxa"/>
            <w:vAlign w:val="center"/>
          </w:tcPr>
          <w:p>
            <w:pPr>
              <w:pStyle w:val="12"/>
            </w:pPr>
            <w:r>
              <w:t>≥95%</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12、2024年银行手续费绩效目标表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13013024P00003610180W</w:t>
            </w:r>
          </w:p>
        </w:tc>
        <w:tc>
          <w:tcPr>
            <w:tcW w:w="2835" w:type="dxa"/>
            <w:vAlign w:val="center"/>
          </w:tcPr>
          <w:p>
            <w:pPr>
              <w:pStyle w:val="10"/>
            </w:pPr>
            <w:r>
              <w:t>项目名称</w:t>
            </w:r>
          </w:p>
        </w:tc>
        <w:tc>
          <w:tcPr>
            <w:tcW w:w="6094" w:type="dxa"/>
            <w:gridSpan w:val="3"/>
            <w:vAlign w:val="center"/>
          </w:tcPr>
          <w:p>
            <w:pPr>
              <w:pStyle w:val="12"/>
            </w:pPr>
            <w:r>
              <w:t>2024年银行手续费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开展正常银行业务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1.保证财政国库业务正常开展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按时支付银行手续费</w:t>
            </w:r>
          </w:p>
        </w:tc>
        <w:tc>
          <w:tcPr>
            <w:tcW w:w="5386" w:type="dxa"/>
            <w:vAlign w:val="center"/>
          </w:tcPr>
          <w:p>
            <w:pPr>
              <w:pStyle w:val="12"/>
            </w:pPr>
            <w:r>
              <w:t>按时支付银行手续费</w:t>
            </w:r>
          </w:p>
        </w:tc>
        <w:tc>
          <w:tcPr>
            <w:tcW w:w="2268" w:type="dxa"/>
            <w:vAlign w:val="center"/>
          </w:tcPr>
          <w:p>
            <w:pPr>
              <w:pStyle w:val="12"/>
            </w:pPr>
            <w:r>
              <w:t>按时支付</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财政拨款专款专用情况</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完成正常业务</w:t>
            </w:r>
          </w:p>
        </w:tc>
        <w:tc>
          <w:tcPr>
            <w:tcW w:w="5386" w:type="dxa"/>
            <w:vAlign w:val="center"/>
          </w:tcPr>
          <w:p>
            <w:pPr>
              <w:pStyle w:val="12"/>
            </w:pPr>
            <w:r>
              <w:t>正常财政业务完成及时率</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项目预算金额</w:t>
            </w:r>
          </w:p>
        </w:tc>
        <w:tc>
          <w:tcPr>
            <w:tcW w:w="2268" w:type="dxa"/>
            <w:vAlign w:val="center"/>
          </w:tcPr>
          <w:p>
            <w:pPr>
              <w:pStyle w:val="12"/>
            </w:pPr>
            <w:r>
              <w:t>保障正常财政业务正常进行</w:t>
            </w:r>
          </w:p>
        </w:tc>
        <w:tc>
          <w:tcPr>
            <w:tcW w:w="1276"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13、2024年预算绩效第三方评估绩效目标表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13013024P000036101701</w:t>
            </w:r>
          </w:p>
        </w:tc>
        <w:tc>
          <w:tcPr>
            <w:tcW w:w="2835" w:type="dxa"/>
            <w:vAlign w:val="center"/>
          </w:tcPr>
          <w:p>
            <w:pPr>
              <w:pStyle w:val="10"/>
            </w:pPr>
            <w:r>
              <w:t>项目名称</w:t>
            </w:r>
          </w:p>
        </w:tc>
        <w:tc>
          <w:tcPr>
            <w:tcW w:w="6094" w:type="dxa"/>
            <w:gridSpan w:val="3"/>
            <w:vAlign w:val="center"/>
          </w:tcPr>
          <w:p>
            <w:pPr>
              <w:pStyle w:val="12"/>
            </w:pPr>
            <w:r>
              <w:t>2024年预算绩效第三方评估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对财政资金投入的项目，需聘请第三方进行绩效监督检查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1.监督检查资金使用效率</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监督检查次数</w:t>
            </w:r>
          </w:p>
        </w:tc>
        <w:tc>
          <w:tcPr>
            <w:tcW w:w="5386" w:type="dxa"/>
            <w:vAlign w:val="center"/>
          </w:tcPr>
          <w:p>
            <w:pPr>
              <w:pStyle w:val="12"/>
            </w:pPr>
            <w:r>
              <w:t>监督检查次数</w:t>
            </w:r>
          </w:p>
        </w:tc>
        <w:tc>
          <w:tcPr>
            <w:tcW w:w="2268" w:type="dxa"/>
            <w:vAlign w:val="center"/>
          </w:tcPr>
          <w:p>
            <w:pPr>
              <w:pStyle w:val="12"/>
            </w:pPr>
            <w:r>
              <w:t>≥20次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监管覆盖率</w:t>
            </w:r>
          </w:p>
        </w:tc>
        <w:tc>
          <w:tcPr>
            <w:tcW w:w="5386" w:type="dxa"/>
            <w:vAlign w:val="center"/>
          </w:tcPr>
          <w:p>
            <w:pPr>
              <w:pStyle w:val="12"/>
            </w:pPr>
            <w:r>
              <w:t>监管覆盖率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监督检查完成及时率</w:t>
            </w:r>
          </w:p>
        </w:tc>
        <w:tc>
          <w:tcPr>
            <w:tcW w:w="5386" w:type="dxa"/>
            <w:vAlign w:val="center"/>
          </w:tcPr>
          <w:p>
            <w:pPr>
              <w:pStyle w:val="12"/>
            </w:pPr>
            <w:r>
              <w:t>监督检查完成及时率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14、2024年政府项目建设评审费绩效目标表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13013024P000036101682</w:t>
            </w:r>
          </w:p>
        </w:tc>
        <w:tc>
          <w:tcPr>
            <w:tcW w:w="2835" w:type="dxa"/>
            <w:vAlign w:val="center"/>
          </w:tcPr>
          <w:p>
            <w:pPr>
              <w:pStyle w:val="10"/>
            </w:pPr>
            <w:r>
              <w:t>项目名称</w:t>
            </w:r>
          </w:p>
        </w:tc>
        <w:tc>
          <w:tcPr>
            <w:tcW w:w="6094" w:type="dxa"/>
            <w:gridSpan w:val="3"/>
            <w:vAlign w:val="center"/>
          </w:tcPr>
          <w:p>
            <w:pPr>
              <w:pStyle w:val="12"/>
            </w:pPr>
            <w:r>
              <w:t>2024年政府项目建设评审费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350.00</w:t>
            </w:r>
          </w:p>
        </w:tc>
        <w:tc>
          <w:tcPr>
            <w:tcW w:w="2835" w:type="dxa"/>
            <w:vAlign w:val="center"/>
          </w:tcPr>
          <w:p>
            <w:pPr>
              <w:pStyle w:val="10"/>
            </w:pPr>
            <w:r>
              <w:t>其中：财政    资金</w:t>
            </w:r>
          </w:p>
        </w:tc>
        <w:tc>
          <w:tcPr>
            <w:tcW w:w="2551" w:type="dxa"/>
            <w:vAlign w:val="center"/>
          </w:tcPr>
          <w:p>
            <w:pPr>
              <w:pStyle w:val="12"/>
            </w:pPr>
            <w:r>
              <w:t>350.00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加强政府投资工程项目预算管理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350.00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1.加强政府工程项目预算管理</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预算管理、测算政府工程项目个数</w:t>
            </w:r>
          </w:p>
        </w:tc>
        <w:tc>
          <w:tcPr>
            <w:tcW w:w="5386" w:type="dxa"/>
            <w:vAlign w:val="center"/>
          </w:tcPr>
          <w:p>
            <w:pPr>
              <w:pStyle w:val="12"/>
            </w:pPr>
            <w:r>
              <w:t>开展政府工程项目个数</w:t>
            </w:r>
          </w:p>
        </w:tc>
        <w:tc>
          <w:tcPr>
            <w:tcW w:w="2268" w:type="dxa"/>
            <w:vAlign w:val="center"/>
          </w:tcPr>
          <w:p>
            <w:pPr>
              <w:pStyle w:val="12"/>
            </w:pPr>
            <w:r>
              <w:t>≥10个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预算管理、测算政府工程完成率</w:t>
            </w:r>
          </w:p>
        </w:tc>
        <w:tc>
          <w:tcPr>
            <w:tcW w:w="5386" w:type="dxa"/>
            <w:vAlign w:val="center"/>
          </w:tcPr>
          <w:p>
            <w:pPr>
              <w:pStyle w:val="12"/>
            </w:pPr>
            <w:r>
              <w:t>政府工程项目任务完成率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政府工程项目任务完成及时率</w:t>
            </w:r>
          </w:p>
        </w:tc>
        <w:tc>
          <w:tcPr>
            <w:tcW w:w="5386" w:type="dxa"/>
            <w:vAlign w:val="center"/>
          </w:tcPr>
          <w:p>
            <w:pPr>
              <w:pStyle w:val="12"/>
            </w:pPr>
            <w:r>
              <w:t>监督检查完成效率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政府工程项目预算金额</w:t>
            </w:r>
          </w:p>
        </w:tc>
        <w:tc>
          <w:tcPr>
            <w:tcW w:w="2268" w:type="dxa"/>
            <w:vAlign w:val="center"/>
          </w:tcPr>
          <w:p>
            <w:pPr>
              <w:pStyle w:val="12"/>
            </w:pPr>
            <w:r>
              <w:t>保障政府工程项目正常进行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15、提前下达2024年省级农村财会人员培训资金绩效目标表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13013023P000036100496</w:t>
            </w:r>
          </w:p>
        </w:tc>
        <w:tc>
          <w:tcPr>
            <w:tcW w:w="2835" w:type="dxa"/>
            <w:vAlign w:val="center"/>
          </w:tcPr>
          <w:p>
            <w:pPr>
              <w:pStyle w:val="10"/>
            </w:pPr>
            <w:r>
              <w:t>项目名称</w:t>
            </w:r>
          </w:p>
        </w:tc>
        <w:tc>
          <w:tcPr>
            <w:tcW w:w="6094" w:type="dxa"/>
            <w:gridSpan w:val="3"/>
            <w:vAlign w:val="center"/>
          </w:tcPr>
          <w:p>
            <w:pPr>
              <w:pStyle w:val="12"/>
            </w:pPr>
            <w:r>
              <w:t>提前下达2024年省级农村财会人员培训资金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农村财会人员培训费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1.完成财会人员培训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举办业务培训</w:t>
            </w:r>
          </w:p>
        </w:tc>
        <w:tc>
          <w:tcPr>
            <w:tcW w:w="5386" w:type="dxa"/>
            <w:vAlign w:val="center"/>
          </w:tcPr>
          <w:p>
            <w:pPr>
              <w:pStyle w:val="12"/>
            </w:pPr>
            <w:r>
              <w:t>组织召开全县农村财会人员培训会</w:t>
            </w:r>
          </w:p>
        </w:tc>
        <w:tc>
          <w:tcPr>
            <w:tcW w:w="2268" w:type="dxa"/>
            <w:vAlign w:val="center"/>
          </w:tcPr>
          <w:p>
            <w:pPr>
              <w:pStyle w:val="12"/>
            </w:pPr>
            <w:r>
              <w:t>≥2次</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保障培训工作顺利完成</w:t>
            </w:r>
          </w:p>
        </w:tc>
        <w:tc>
          <w:tcPr>
            <w:tcW w:w="5386" w:type="dxa"/>
            <w:vAlign w:val="center"/>
          </w:tcPr>
          <w:p>
            <w:pPr>
              <w:pStyle w:val="12"/>
            </w:pPr>
            <w:r>
              <w:t>培训工作完成程度</w:t>
            </w:r>
          </w:p>
        </w:tc>
        <w:tc>
          <w:tcPr>
            <w:tcW w:w="2268" w:type="dxa"/>
            <w:vAlign w:val="center"/>
          </w:tcPr>
          <w:p>
            <w:pPr>
              <w:pStyle w:val="12"/>
            </w:pPr>
            <w:r>
              <w:t>≥90%</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相关培训工作完成时间</w:t>
            </w:r>
          </w:p>
        </w:tc>
        <w:tc>
          <w:tcPr>
            <w:tcW w:w="5386" w:type="dxa"/>
            <w:vAlign w:val="center"/>
          </w:tcPr>
          <w:p>
            <w:pPr>
              <w:pStyle w:val="12"/>
            </w:pPr>
            <w:r>
              <w:t>相关培训工作完成时间</w:t>
            </w:r>
          </w:p>
        </w:tc>
        <w:tc>
          <w:tcPr>
            <w:tcW w:w="2268" w:type="dxa"/>
            <w:vAlign w:val="center"/>
          </w:tcPr>
          <w:p>
            <w:pPr>
              <w:pStyle w:val="12"/>
            </w:pPr>
            <w:r>
              <w:t>保证农村财会人员工作正常进行</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预算金额</w:t>
            </w:r>
          </w:p>
        </w:tc>
        <w:tc>
          <w:tcPr>
            <w:tcW w:w="2268" w:type="dxa"/>
            <w:vAlign w:val="center"/>
          </w:tcPr>
          <w:p>
            <w:pPr>
              <w:pStyle w:val="12"/>
            </w:pPr>
            <w:r>
              <w:t>保障农村财会人员工作正常进行</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确保培训工作正常进行</w:t>
            </w:r>
          </w:p>
        </w:tc>
        <w:tc>
          <w:tcPr>
            <w:tcW w:w="2268" w:type="dxa"/>
            <w:vAlign w:val="center"/>
          </w:tcPr>
          <w:p>
            <w:pPr>
              <w:pStyle w:val="12"/>
            </w:pPr>
            <w:r>
              <w:t>保障农村财会人员工作正常进行</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农村财会人员工作正常进行</w:t>
            </w:r>
          </w:p>
        </w:tc>
        <w:tc>
          <w:tcPr>
            <w:tcW w:w="5386" w:type="dxa"/>
            <w:vAlign w:val="center"/>
          </w:tcPr>
          <w:p>
            <w:pPr>
              <w:pStyle w:val="12"/>
            </w:pPr>
            <w:r>
              <w:t>保证农村财会人员工作正常进行</w:t>
            </w:r>
          </w:p>
        </w:tc>
        <w:tc>
          <w:tcPr>
            <w:tcW w:w="2268" w:type="dxa"/>
            <w:vAlign w:val="center"/>
          </w:tcPr>
          <w:p>
            <w:pPr>
              <w:pStyle w:val="12"/>
            </w:pPr>
            <w:r>
              <w:t>保证农村财会人员工作正常进行</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保障社会发展</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提升农村财会人员业务能力</w:t>
            </w:r>
          </w:p>
        </w:tc>
        <w:tc>
          <w:tcPr>
            <w:tcW w:w="2268" w:type="dxa"/>
            <w:vAlign w:val="center"/>
          </w:tcPr>
          <w:p>
            <w:pPr>
              <w:pStyle w:val="12"/>
            </w:pPr>
            <w:r>
              <w:t>农村财会人员工作业务能力增强</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参训人员满意率</w:t>
            </w:r>
          </w:p>
        </w:tc>
        <w:tc>
          <w:tcPr>
            <w:tcW w:w="5386" w:type="dxa"/>
            <w:vAlign w:val="center"/>
          </w:tcPr>
          <w:p>
            <w:pPr>
              <w:pStyle w:val="12"/>
            </w:pPr>
            <w:r>
              <w:t>参训人员满意率</w:t>
            </w:r>
          </w:p>
        </w:tc>
        <w:tc>
          <w:tcPr>
            <w:tcW w:w="2268" w:type="dxa"/>
            <w:vAlign w:val="center"/>
          </w:tcPr>
          <w:p>
            <w:pPr>
              <w:pStyle w:val="12"/>
            </w:pPr>
            <w:r>
              <w:t>≥90%</w:t>
            </w:r>
          </w:p>
        </w:tc>
        <w:tc>
          <w:tcPr>
            <w:tcW w:w="1276"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318001无极县财政局本级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rPr>
                <w:rFonts w:hint="eastAsia" w:eastAsia="方正书宋_GBK"/>
                <w:lang w:val="en-US" w:eastAsia="zh-CN"/>
              </w:rPr>
            </w:pPr>
            <w:r>
              <w:rPr>
                <w:rFonts w:hint="eastAsia"/>
                <w:lang w:val="en-US" w:eastAsia="zh-CN"/>
              </w:rPr>
              <w:t>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bookmarkStart w:id="3" w:name="_GoBack"/>
      <w:bookmarkEnd w:id="3"/>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无极县财政局本级上年末固定资产金额为0.00万元（详见下表）。本年度拟购置固定资产总额为0.00万元，已按要求列入政府采购预算，详见政府采购预算表。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318001无极县财政局本级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398CCE"/>
    <w:multiLevelType w:val="singleLevel"/>
    <w:tmpl w:val="EF398CC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1873A5"/>
    <w:rsid w:val="26035D17"/>
    <w:rsid w:val="6AA1542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3" Type="http://schemas.openxmlformats.org/officeDocument/2006/relationships/fontTable" Target="fontTable.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2024-02-05T13:34:39Z</dcterms:created>
  <dcterms:modified xsi:type="dcterms:W3CDTF">2024-02-05T05:34:39Z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2024-02-05T13:34:34Z</dcterms:created>
  <dcterms:modified xsi:type="dcterms:W3CDTF">2024-02-05T05:34:33Z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2024-02-05T13:34:39Z</dcterms:created>
  <dcterms:modified xsi:type="dcterms:W3CDTF">2024-02-05T05:34:39Z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2024-02-05T13:34:39Z</dcterms:created>
  <dcterms:modified xsi:type="dcterms:W3CDTF">2024-02-05T05:34:39Z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2024-02-05T13:34:38Z</dcterms:created>
  <dcterms:modified xsi:type="dcterms:W3CDTF">2024-02-05T05:34:38Z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2024-02-05T13:34:36Z</dcterms:created>
  <dcterms:modified xsi:type="dcterms:W3CDTF">2024-02-05T05:34:36Z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2024-02-05T13:34:38Z</dcterms:created>
  <dcterms:modified xsi:type="dcterms:W3CDTF">2024-02-05T05:34:38Z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2024-02-05T13:34:38Z</dcterms:created>
  <dcterms:modified xsi:type="dcterms:W3CDTF">2024-02-05T05:34:38Z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2024-02-05T13:34:38Z</dcterms:created>
  <dcterms:modified xsi:type="dcterms:W3CDTF">2024-02-05T05:34:38Z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2024-02-05T13:34:37Z</dcterms:created>
  <dcterms:modified xsi:type="dcterms:W3CDTF">2024-02-05T05:34:37Z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2024-02-05T13:34:37Z</dcterms:created>
  <dcterms:modified xsi:type="dcterms:W3CDTF">2024-02-05T05:34:37Z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2024-02-05T13:34:37Z</dcterms:created>
  <dcterms:modified xsi:type="dcterms:W3CDTF">2024-02-05T05:34:37Z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2024-02-05T13:34:37Z</dcterms:created>
  <dcterms:modified xsi:type="dcterms:W3CDTF">2024-02-05T05:34:37Z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2024-02-05T13:34:31Z</dcterms:created>
  <dcterms:modified xsi:type="dcterms:W3CDTF">2024-02-05T05:34:31Z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2024-02-05T13:34:36Z</dcterms:created>
  <dcterms:modified xsi:type="dcterms:W3CDTF">2024-02-05T05:34:36Z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2024-02-05T13:34:36Z</dcterms:created>
  <dcterms:modified xsi:type="dcterms:W3CDTF">2024-02-05T05:34:36Z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2024-02-05T13:34:40Z</dcterms:created>
  <dcterms:modified xsi:type="dcterms:W3CDTF">2024-02-05T05:34:40Z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2024-02-05T13:34:39Z</dcterms:created>
  <dcterms:modified xsi:type="dcterms:W3CDTF">2024-02-05T05:34:39Z</dcterms:modified>
</cp:coreProperties>
</file>

<file path=customXml/itemProps1.xml><?xml version="1.0" encoding="utf-8"?>
<ds:datastoreItem xmlns:ds="http://schemas.openxmlformats.org/officeDocument/2006/customXml" ds:itemID="{97d37080-9ac1-4fb2-b5d6-5b5fad0351b3}">
  <ds:schemaRefs/>
</ds:datastoreItem>
</file>

<file path=customXml/itemProps10.xml><?xml version="1.0" encoding="utf-8"?>
<ds:datastoreItem xmlns:ds="http://schemas.openxmlformats.org/officeDocument/2006/customXml" ds:itemID="{261c11be-bcc2-483e-b4ec-2ae9f4e93cac}">
  <ds:schemaRefs/>
</ds:datastoreItem>
</file>

<file path=customXml/itemProps11.xml><?xml version="1.0" encoding="utf-8"?>
<ds:datastoreItem xmlns:ds="http://schemas.openxmlformats.org/officeDocument/2006/customXml" ds:itemID="{ae8de2ef-9e03-4d8f-b84a-919b6484e5d6}">
  <ds:schemaRefs/>
</ds:datastoreItem>
</file>

<file path=customXml/itemProps12.xml><?xml version="1.0" encoding="utf-8"?>
<ds:datastoreItem xmlns:ds="http://schemas.openxmlformats.org/officeDocument/2006/customXml" ds:itemID="{16b86d0d-d115-457b-934a-8ad32f6e2d4d}">
  <ds:schemaRefs/>
</ds:datastoreItem>
</file>

<file path=customXml/itemProps13.xml><?xml version="1.0" encoding="utf-8"?>
<ds:datastoreItem xmlns:ds="http://schemas.openxmlformats.org/officeDocument/2006/customXml" ds:itemID="{544938cd-bd54-4110-bc62-6b8a609ec69e}">
  <ds:schemaRefs/>
</ds:datastoreItem>
</file>

<file path=customXml/itemProps14.xml><?xml version="1.0" encoding="utf-8"?>
<ds:datastoreItem xmlns:ds="http://schemas.openxmlformats.org/officeDocument/2006/customXml" ds:itemID="{36fc7192-f4a4-4480-aba7-b7233d941560}">
  <ds:schemaRefs/>
</ds:datastoreItem>
</file>

<file path=customXml/itemProps15.xml><?xml version="1.0" encoding="utf-8"?>
<ds:datastoreItem xmlns:ds="http://schemas.openxmlformats.org/officeDocument/2006/customXml" ds:itemID="{4e957876-6d2e-47ad-8dc5-21e05103d7f0}">
  <ds:schemaRefs/>
</ds:datastoreItem>
</file>

<file path=customXml/itemProps16.xml><?xml version="1.0" encoding="utf-8"?>
<ds:datastoreItem xmlns:ds="http://schemas.openxmlformats.org/officeDocument/2006/customXml" ds:itemID="{ef86353b-300c-41e3-beea-ca88b9c33eb8}">
  <ds:schemaRefs/>
</ds:datastoreItem>
</file>

<file path=customXml/itemProps17.xml><?xml version="1.0" encoding="utf-8"?>
<ds:datastoreItem xmlns:ds="http://schemas.openxmlformats.org/officeDocument/2006/customXml" ds:itemID="{69e62c02-2b97-439c-afbb-a265d72f4f9c}">
  <ds:schemaRefs/>
</ds:datastoreItem>
</file>

<file path=customXml/itemProps18.xml><?xml version="1.0" encoding="utf-8"?>
<ds:datastoreItem xmlns:ds="http://schemas.openxmlformats.org/officeDocument/2006/customXml" ds:itemID="{5123c871-da2c-4270-97da-3ff3f21f0fc8}">
  <ds:schemaRefs/>
</ds:datastoreItem>
</file>

<file path=customXml/itemProps19.xml><?xml version="1.0" encoding="utf-8"?>
<ds:datastoreItem xmlns:ds="http://schemas.openxmlformats.org/officeDocument/2006/customXml" ds:itemID="{3ddd18a3-3ef9-4de4-b603-b9a4faf1dc9c}">
  <ds:schemaRefs/>
</ds:datastoreItem>
</file>

<file path=customXml/itemProps2.xml><?xml version="1.0" encoding="utf-8"?>
<ds:datastoreItem xmlns:ds="http://schemas.openxmlformats.org/officeDocument/2006/customXml" ds:itemID="{15099b79-1e7b-4243-b409-3f0eb5daf980}">
  <ds:schemaRefs/>
</ds:datastoreItem>
</file>

<file path=customXml/itemProps20.xml><?xml version="1.0" encoding="utf-8"?>
<ds:datastoreItem xmlns:ds="http://schemas.openxmlformats.org/officeDocument/2006/customXml" ds:itemID="{246b1a4b-b0ef-44ba-861a-dfaa9e5aa1cb}">
  <ds:schemaRefs/>
</ds:datastoreItem>
</file>

<file path=customXml/itemProps21.xml><?xml version="1.0" encoding="utf-8"?>
<ds:datastoreItem xmlns:ds="http://schemas.openxmlformats.org/officeDocument/2006/customXml" ds:itemID="{5af43212-130b-4b9a-aefa-5d89e559444f}">
  <ds:schemaRefs/>
</ds:datastoreItem>
</file>

<file path=customXml/itemProps22.xml><?xml version="1.0" encoding="utf-8"?>
<ds:datastoreItem xmlns:ds="http://schemas.openxmlformats.org/officeDocument/2006/customXml" ds:itemID="{1b965e49-ba15-4155-ab30-26782c8c8c84}">
  <ds:schemaRefs/>
</ds:datastoreItem>
</file>

<file path=customXml/itemProps23.xml><?xml version="1.0" encoding="utf-8"?>
<ds:datastoreItem xmlns:ds="http://schemas.openxmlformats.org/officeDocument/2006/customXml" ds:itemID="{8140d71c-616e-4c07-b81d-de3b070571ce}">
  <ds:schemaRefs/>
</ds:datastoreItem>
</file>

<file path=customXml/itemProps24.xml><?xml version="1.0" encoding="utf-8"?>
<ds:datastoreItem xmlns:ds="http://schemas.openxmlformats.org/officeDocument/2006/customXml" ds:itemID="{7b95a2ea-12c8-448c-a0d3-ac554d9ebed0}">
  <ds:schemaRefs/>
</ds:datastoreItem>
</file>

<file path=customXml/itemProps25.xml><?xml version="1.0" encoding="utf-8"?>
<ds:datastoreItem xmlns:ds="http://schemas.openxmlformats.org/officeDocument/2006/customXml" ds:itemID="{cf093f1d-6eb1-46a7-be91-576ea6995d1a}">
  <ds:schemaRefs/>
</ds:datastoreItem>
</file>

<file path=customXml/itemProps26.xml><?xml version="1.0" encoding="utf-8"?>
<ds:datastoreItem xmlns:ds="http://schemas.openxmlformats.org/officeDocument/2006/customXml" ds:itemID="{6b4863a0-5252-4ee0-ba30-6ca863513ce4}">
  <ds:schemaRefs/>
</ds:datastoreItem>
</file>

<file path=customXml/itemProps27.xml><?xml version="1.0" encoding="utf-8"?>
<ds:datastoreItem xmlns:ds="http://schemas.openxmlformats.org/officeDocument/2006/customXml" ds:itemID="{72121abc-f6ae-4751-8fa9-3f7cb90d1aaa}">
  <ds:schemaRefs/>
</ds:datastoreItem>
</file>

<file path=customXml/itemProps28.xml><?xml version="1.0" encoding="utf-8"?>
<ds:datastoreItem xmlns:ds="http://schemas.openxmlformats.org/officeDocument/2006/customXml" ds:itemID="{721b9468-73bb-46ac-bc90-317af7bbab36}">
  <ds:schemaRefs/>
</ds:datastoreItem>
</file>

<file path=customXml/itemProps29.xml><?xml version="1.0" encoding="utf-8"?>
<ds:datastoreItem xmlns:ds="http://schemas.openxmlformats.org/officeDocument/2006/customXml" ds:itemID="{b49728b3-353c-4a9d-b952-1d2daae06bee}">
  <ds:schemaRefs/>
</ds:datastoreItem>
</file>

<file path=customXml/itemProps3.xml><?xml version="1.0" encoding="utf-8"?>
<ds:datastoreItem xmlns:ds="http://schemas.openxmlformats.org/officeDocument/2006/customXml" ds:itemID="{b84bf385-54cc-4e54-a0ee-30d46540b8a9}">
  <ds:schemaRefs/>
</ds:datastoreItem>
</file>

<file path=customXml/itemProps30.xml><?xml version="1.0" encoding="utf-8"?>
<ds:datastoreItem xmlns:ds="http://schemas.openxmlformats.org/officeDocument/2006/customXml" ds:itemID="{8a9a7656-6a62-4908-9ef8-65546933598f}">
  <ds:schemaRefs/>
</ds:datastoreItem>
</file>

<file path=customXml/itemProps31.xml><?xml version="1.0" encoding="utf-8"?>
<ds:datastoreItem xmlns:ds="http://schemas.openxmlformats.org/officeDocument/2006/customXml" ds:itemID="{bbd682f2-06b6-405c-b2d4-b7cc8c3b85a5}">
  <ds:schemaRefs/>
</ds:datastoreItem>
</file>

<file path=customXml/itemProps32.xml><?xml version="1.0" encoding="utf-8"?>
<ds:datastoreItem xmlns:ds="http://schemas.openxmlformats.org/officeDocument/2006/customXml" ds:itemID="{5cb47b6f-9e5c-47e4-ab05-d3369bb88439}">
  <ds:schemaRefs/>
</ds:datastoreItem>
</file>

<file path=customXml/itemProps33.xml><?xml version="1.0" encoding="utf-8"?>
<ds:datastoreItem xmlns:ds="http://schemas.openxmlformats.org/officeDocument/2006/customXml" ds:itemID="{f3953b96-396e-492c-bc4d-c27054da14bd}">
  <ds:schemaRefs/>
</ds:datastoreItem>
</file>

<file path=customXml/itemProps34.xml><?xml version="1.0" encoding="utf-8"?>
<ds:datastoreItem xmlns:ds="http://schemas.openxmlformats.org/officeDocument/2006/customXml" ds:itemID="{3528d326-89ab-4fe7-ad92-6489840258d6}">
  <ds:schemaRefs/>
</ds:datastoreItem>
</file>

<file path=customXml/itemProps35.xml><?xml version="1.0" encoding="utf-8"?>
<ds:datastoreItem xmlns:ds="http://schemas.openxmlformats.org/officeDocument/2006/customXml" ds:itemID="{bc038d2a-342f-4429-acde-0392bfa14f26}">
  <ds:schemaRefs/>
</ds:datastoreItem>
</file>

<file path=customXml/itemProps36.xml><?xml version="1.0" encoding="utf-8"?>
<ds:datastoreItem xmlns:ds="http://schemas.openxmlformats.org/officeDocument/2006/customXml" ds:itemID="{c5a7677b-5caa-424f-be62-64df4d5d47b1}">
  <ds:schemaRefs/>
</ds:datastoreItem>
</file>

<file path=customXml/itemProps4.xml><?xml version="1.0" encoding="utf-8"?>
<ds:datastoreItem xmlns:ds="http://schemas.openxmlformats.org/officeDocument/2006/customXml" ds:itemID="{88c410cc-7f4a-46cf-aa96-24c991654082}">
  <ds:schemaRefs/>
</ds:datastoreItem>
</file>

<file path=customXml/itemProps5.xml><?xml version="1.0" encoding="utf-8"?>
<ds:datastoreItem xmlns:ds="http://schemas.openxmlformats.org/officeDocument/2006/customXml" ds:itemID="{600a430b-535e-4fa9-86b8-7dace82be842}">
  <ds:schemaRefs/>
</ds:datastoreItem>
</file>

<file path=customXml/itemProps6.xml><?xml version="1.0" encoding="utf-8"?>
<ds:datastoreItem xmlns:ds="http://schemas.openxmlformats.org/officeDocument/2006/customXml" ds:itemID="{e734be2b-07fc-41de-9f10-974d7579f130}">
  <ds:schemaRefs/>
</ds:datastoreItem>
</file>

<file path=customXml/itemProps7.xml><?xml version="1.0" encoding="utf-8"?>
<ds:datastoreItem xmlns:ds="http://schemas.openxmlformats.org/officeDocument/2006/customXml" ds:itemID="{4197999f-4ef3-4dd7-89b7-5af756b795fc}">
  <ds:schemaRefs/>
</ds:datastoreItem>
</file>

<file path=customXml/itemProps8.xml><?xml version="1.0" encoding="utf-8"?>
<ds:datastoreItem xmlns:ds="http://schemas.openxmlformats.org/officeDocument/2006/customXml" ds:itemID="{60d5056f-4382-4fc4-857c-b03eb7e72227}">
  <ds:schemaRefs/>
</ds:datastoreItem>
</file>

<file path=customXml/itemProps9.xml><?xml version="1.0" encoding="utf-8"?>
<ds:datastoreItem xmlns:ds="http://schemas.openxmlformats.org/officeDocument/2006/customXml" ds:itemID="{75cc466a-b411-4f4f-810a-348289c8bce6}">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2024-02-05T13:34:00Z</dcterms:created>
  <dc:creator>Administrator</dc:creator>
  <cp:lastModifiedBy>浮生</cp:lastModifiedBy>
  <dcterms:modified xsi:type="dcterms:W3CDTF">2025-10-27T02:53:38Z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CD5EF1F8476547458DE99A10A5EB75DA</vt:lpwstr>
  </property>
</Properties>
</file>