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一、无极县总工会本级收支预算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711001无极县总工会本级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188.46</w:t>
            </w:r>
          </w:p>
        </w:tc>
        <w:tc>
          <w:tcPr>
            <w:tcW w:w="2959" w:type="dxa"/>
            <w:vAlign w:val="center"/>
          </w:tcPr>
          <w:p>
            <w:pPr>
              <w:pStyle w:val="12"/>
            </w:pPr>
            <w:r>
              <w:t>一、一般公共服务支出</w:t>
            </w:r>
          </w:p>
        </w:tc>
        <w:tc>
          <w:tcPr>
            <w:tcW w:w="2959" w:type="dxa"/>
            <w:vAlign w:val="center"/>
          </w:tcPr>
          <w:p>
            <w:pPr>
              <w:pStyle w:val="11"/>
            </w:pPr>
            <w:r>
              <w:t>188.46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188.46</w:t>
            </w:r>
          </w:p>
        </w:tc>
        <w:tc>
          <w:tcPr>
            <w:tcW w:w="2959" w:type="dxa"/>
            <w:vAlign w:val="center"/>
          </w:tcPr>
          <w:p>
            <w:pPr>
              <w:pStyle w:val="14"/>
            </w:pPr>
            <w:r>
              <w:t>本年支出合计</w:t>
            </w:r>
          </w:p>
        </w:tc>
        <w:tc>
          <w:tcPr>
            <w:tcW w:w="2959" w:type="dxa"/>
            <w:vAlign w:val="center"/>
          </w:tcPr>
          <w:p>
            <w:pPr>
              <w:pStyle w:val="15"/>
            </w:pPr>
            <w:r>
              <w:t>188.46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188.46</w:t>
            </w:r>
          </w:p>
        </w:tc>
        <w:tc>
          <w:tcPr>
            <w:tcW w:w="2959" w:type="dxa"/>
            <w:vAlign w:val="center"/>
          </w:tcPr>
          <w:p>
            <w:pPr>
              <w:pStyle w:val="14"/>
            </w:pPr>
            <w:r>
              <w:t>支出总计</w:t>
            </w:r>
          </w:p>
        </w:tc>
        <w:tc>
          <w:tcPr>
            <w:tcW w:w="2959" w:type="dxa"/>
            <w:vAlign w:val="center"/>
          </w:tcPr>
          <w:p>
            <w:pPr>
              <w:pStyle w:val="15"/>
            </w:pPr>
            <w:r>
              <w:t>188.46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711001无极县总工会本级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188.46</w:t>
            </w:r>
          </w:p>
        </w:tc>
        <w:tc>
          <w:tcPr>
            <w:tcW w:w="758" w:type="dxa"/>
            <w:vAlign w:val="center"/>
          </w:tcPr>
          <w:p>
            <w:pPr>
              <w:pStyle w:val="15"/>
            </w:pPr>
            <w:r>
              <w:t>188.46</w:t>
            </w:r>
          </w:p>
        </w:tc>
        <w:tc>
          <w:tcPr>
            <w:tcW w:w="758" w:type="dxa"/>
            <w:vAlign w:val="center"/>
          </w:tcPr>
          <w:p>
            <w:pPr>
              <w:pStyle w:val="15"/>
            </w:pPr>
            <w:r>
              <w:t>188.46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188.46</w:t>
            </w:r>
          </w:p>
        </w:tc>
        <w:tc>
          <w:tcPr>
            <w:tcW w:w="758" w:type="dxa"/>
            <w:vAlign w:val="center"/>
          </w:tcPr>
          <w:p>
            <w:pPr>
              <w:pStyle w:val="11"/>
            </w:pPr>
            <w:r>
              <w:t>188.46</w:t>
            </w:r>
          </w:p>
        </w:tc>
        <w:tc>
          <w:tcPr>
            <w:tcW w:w="758" w:type="dxa"/>
            <w:vAlign w:val="center"/>
          </w:tcPr>
          <w:p>
            <w:pPr>
              <w:pStyle w:val="11"/>
            </w:pPr>
            <w:r>
              <w:t>188.46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20129</w:t>
            </w:r>
          </w:p>
        </w:tc>
        <w:tc>
          <w:tcPr>
            <w:tcW w:w="758" w:type="dxa"/>
            <w:vAlign w:val="center"/>
          </w:tcPr>
          <w:p>
            <w:pPr>
              <w:pStyle w:val="12"/>
            </w:pPr>
            <w:r>
              <w:t>群众团体事务</w:t>
            </w:r>
          </w:p>
        </w:tc>
        <w:tc>
          <w:tcPr>
            <w:tcW w:w="758" w:type="dxa"/>
            <w:vAlign w:val="center"/>
          </w:tcPr>
          <w:p>
            <w:pPr>
              <w:pStyle w:val="11"/>
            </w:pPr>
            <w:r>
              <w:t>188.46</w:t>
            </w:r>
          </w:p>
        </w:tc>
        <w:tc>
          <w:tcPr>
            <w:tcW w:w="758" w:type="dxa"/>
            <w:vAlign w:val="center"/>
          </w:tcPr>
          <w:p>
            <w:pPr>
              <w:pStyle w:val="11"/>
            </w:pPr>
            <w:r>
              <w:t>188.46</w:t>
            </w:r>
          </w:p>
        </w:tc>
        <w:tc>
          <w:tcPr>
            <w:tcW w:w="758" w:type="dxa"/>
            <w:vAlign w:val="center"/>
          </w:tcPr>
          <w:p>
            <w:pPr>
              <w:pStyle w:val="11"/>
            </w:pPr>
            <w:r>
              <w:t>188.46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2012901</w:t>
            </w:r>
          </w:p>
        </w:tc>
        <w:tc>
          <w:tcPr>
            <w:tcW w:w="758" w:type="dxa"/>
            <w:vAlign w:val="center"/>
          </w:tcPr>
          <w:p>
            <w:pPr>
              <w:pStyle w:val="12"/>
            </w:pPr>
            <w:r>
              <w:t>行政运行</w:t>
            </w:r>
          </w:p>
        </w:tc>
        <w:tc>
          <w:tcPr>
            <w:tcW w:w="758" w:type="dxa"/>
            <w:vAlign w:val="center"/>
          </w:tcPr>
          <w:p>
            <w:pPr>
              <w:pStyle w:val="11"/>
            </w:pPr>
            <w:r>
              <w:t>20.46</w:t>
            </w:r>
          </w:p>
        </w:tc>
        <w:tc>
          <w:tcPr>
            <w:tcW w:w="758" w:type="dxa"/>
            <w:vAlign w:val="center"/>
          </w:tcPr>
          <w:p>
            <w:pPr>
              <w:pStyle w:val="11"/>
            </w:pPr>
            <w:r>
              <w:t>20.46</w:t>
            </w:r>
          </w:p>
        </w:tc>
        <w:tc>
          <w:tcPr>
            <w:tcW w:w="758" w:type="dxa"/>
            <w:vAlign w:val="center"/>
          </w:tcPr>
          <w:p>
            <w:pPr>
              <w:pStyle w:val="11"/>
            </w:pPr>
            <w:r>
              <w:t>20.46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2012906</w:t>
            </w:r>
          </w:p>
        </w:tc>
        <w:tc>
          <w:tcPr>
            <w:tcW w:w="758" w:type="dxa"/>
            <w:vAlign w:val="center"/>
          </w:tcPr>
          <w:p>
            <w:pPr>
              <w:pStyle w:val="12"/>
            </w:pPr>
            <w:r>
              <w:t>工会事务</w:t>
            </w:r>
          </w:p>
        </w:tc>
        <w:tc>
          <w:tcPr>
            <w:tcW w:w="758" w:type="dxa"/>
            <w:vAlign w:val="center"/>
          </w:tcPr>
          <w:p>
            <w:pPr>
              <w:pStyle w:val="11"/>
            </w:pPr>
            <w:r>
              <w:t>168.00</w:t>
            </w:r>
          </w:p>
        </w:tc>
        <w:tc>
          <w:tcPr>
            <w:tcW w:w="758" w:type="dxa"/>
            <w:vAlign w:val="center"/>
          </w:tcPr>
          <w:p>
            <w:pPr>
              <w:pStyle w:val="11"/>
            </w:pPr>
            <w:r>
              <w:t>168.00</w:t>
            </w:r>
          </w:p>
        </w:tc>
        <w:tc>
          <w:tcPr>
            <w:tcW w:w="758" w:type="dxa"/>
            <w:vAlign w:val="center"/>
          </w:tcPr>
          <w:p>
            <w:pPr>
              <w:pStyle w:val="11"/>
            </w:pPr>
            <w:r>
              <w:t>168.00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188.46</w:t>
            </w:r>
          </w:p>
        </w:tc>
        <w:tc>
          <w:tcPr>
            <w:tcW w:w="1095" w:type="dxa"/>
            <w:vAlign w:val="center"/>
          </w:tcPr>
          <w:p>
            <w:pPr>
              <w:pStyle w:val="15"/>
            </w:pPr>
            <w:r>
              <w:t>20.46</w:t>
            </w:r>
          </w:p>
        </w:tc>
        <w:tc>
          <w:tcPr>
            <w:tcW w:w="1095" w:type="dxa"/>
            <w:vAlign w:val="center"/>
          </w:tcPr>
          <w:p>
            <w:pPr>
              <w:pStyle w:val="15"/>
            </w:pPr>
            <w:r>
              <w:t>168.00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188.46</w:t>
            </w:r>
          </w:p>
        </w:tc>
        <w:tc>
          <w:tcPr>
            <w:tcW w:w="1095" w:type="dxa"/>
            <w:vAlign w:val="center"/>
          </w:tcPr>
          <w:p>
            <w:pPr>
              <w:pStyle w:val="11"/>
            </w:pPr>
            <w:r>
              <w:t>20.46</w:t>
            </w:r>
          </w:p>
        </w:tc>
        <w:tc>
          <w:tcPr>
            <w:tcW w:w="1095" w:type="dxa"/>
            <w:vAlign w:val="center"/>
          </w:tcPr>
          <w:p>
            <w:pPr>
              <w:pStyle w:val="11"/>
            </w:pPr>
            <w:r>
              <w:t>168.00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20129</w:t>
            </w:r>
          </w:p>
        </w:tc>
        <w:tc>
          <w:tcPr>
            <w:tcW w:w="1095" w:type="dxa"/>
            <w:vAlign w:val="center"/>
          </w:tcPr>
          <w:p>
            <w:pPr>
              <w:pStyle w:val="12"/>
            </w:pPr>
            <w:r>
              <w:t>群众团体事务</w:t>
            </w:r>
          </w:p>
        </w:tc>
        <w:tc>
          <w:tcPr>
            <w:tcW w:w="1095" w:type="dxa"/>
            <w:vAlign w:val="center"/>
          </w:tcPr>
          <w:p>
            <w:pPr>
              <w:pStyle w:val="11"/>
            </w:pPr>
            <w:r>
              <w:t>188.46</w:t>
            </w:r>
          </w:p>
        </w:tc>
        <w:tc>
          <w:tcPr>
            <w:tcW w:w="1095" w:type="dxa"/>
            <w:vAlign w:val="center"/>
          </w:tcPr>
          <w:p>
            <w:pPr>
              <w:pStyle w:val="11"/>
            </w:pPr>
            <w:r>
              <w:t>20.46</w:t>
            </w:r>
          </w:p>
        </w:tc>
        <w:tc>
          <w:tcPr>
            <w:tcW w:w="1095" w:type="dxa"/>
            <w:vAlign w:val="center"/>
          </w:tcPr>
          <w:p>
            <w:pPr>
              <w:pStyle w:val="11"/>
            </w:pPr>
            <w:r>
              <w:t>168.00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2012901</w:t>
            </w:r>
          </w:p>
        </w:tc>
        <w:tc>
          <w:tcPr>
            <w:tcW w:w="1095" w:type="dxa"/>
            <w:vAlign w:val="center"/>
          </w:tcPr>
          <w:p>
            <w:pPr>
              <w:pStyle w:val="12"/>
            </w:pPr>
            <w:r>
              <w:t>行政运行</w:t>
            </w:r>
          </w:p>
        </w:tc>
        <w:tc>
          <w:tcPr>
            <w:tcW w:w="1095" w:type="dxa"/>
            <w:vAlign w:val="center"/>
          </w:tcPr>
          <w:p>
            <w:pPr>
              <w:pStyle w:val="11"/>
            </w:pPr>
            <w:r>
              <w:t>20.46</w:t>
            </w:r>
          </w:p>
        </w:tc>
        <w:tc>
          <w:tcPr>
            <w:tcW w:w="1095" w:type="dxa"/>
            <w:vAlign w:val="center"/>
          </w:tcPr>
          <w:p>
            <w:pPr>
              <w:pStyle w:val="11"/>
            </w:pPr>
            <w:r>
              <w:t>20.46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2012906</w:t>
            </w:r>
          </w:p>
        </w:tc>
        <w:tc>
          <w:tcPr>
            <w:tcW w:w="1095" w:type="dxa"/>
            <w:vAlign w:val="center"/>
          </w:tcPr>
          <w:p>
            <w:pPr>
              <w:pStyle w:val="12"/>
            </w:pPr>
            <w:r>
              <w:t>工会事务</w:t>
            </w:r>
          </w:p>
        </w:tc>
        <w:tc>
          <w:tcPr>
            <w:tcW w:w="1095" w:type="dxa"/>
            <w:vAlign w:val="center"/>
          </w:tcPr>
          <w:p>
            <w:pPr>
              <w:pStyle w:val="11"/>
            </w:pPr>
            <w:r>
              <w:t>168.00</w:t>
            </w:r>
          </w:p>
        </w:tc>
        <w:tc>
          <w:tcPr>
            <w:tcW w:w="1095" w:type="dxa"/>
            <w:vAlign w:val="center"/>
          </w:tcPr>
          <w:p>
            <w:pPr>
              <w:pStyle w:val="11"/>
            </w:pPr>
          </w:p>
        </w:tc>
        <w:tc>
          <w:tcPr>
            <w:tcW w:w="1095" w:type="dxa"/>
            <w:vAlign w:val="center"/>
          </w:tcPr>
          <w:p>
            <w:pPr>
              <w:pStyle w:val="11"/>
            </w:pPr>
            <w:r>
              <w:t>168.00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188.46</w:t>
            </w:r>
          </w:p>
        </w:tc>
        <w:tc>
          <w:tcPr>
            <w:tcW w:w="1232" w:type="dxa"/>
            <w:vAlign w:val="center"/>
          </w:tcPr>
          <w:p>
            <w:pPr>
              <w:pStyle w:val="12"/>
            </w:pPr>
            <w:r>
              <w:t>一、一般公共服务支出</w:t>
            </w:r>
          </w:p>
        </w:tc>
        <w:tc>
          <w:tcPr>
            <w:tcW w:w="1232" w:type="dxa"/>
            <w:vAlign w:val="center"/>
          </w:tcPr>
          <w:p>
            <w:pPr>
              <w:pStyle w:val="11"/>
            </w:pPr>
            <w:r>
              <w:t>188.46</w:t>
            </w:r>
          </w:p>
        </w:tc>
        <w:tc>
          <w:tcPr>
            <w:tcW w:w="1232" w:type="dxa"/>
            <w:vAlign w:val="center"/>
          </w:tcPr>
          <w:p>
            <w:pPr>
              <w:pStyle w:val="11"/>
            </w:pPr>
            <w:r>
              <w:t>188.46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188.46</w:t>
            </w:r>
          </w:p>
        </w:tc>
        <w:tc>
          <w:tcPr>
            <w:tcW w:w="1232" w:type="dxa"/>
            <w:vAlign w:val="center"/>
          </w:tcPr>
          <w:p>
            <w:pPr>
              <w:pStyle w:val="14"/>
            </w:pPr>
            <w:r>
              <w:t>本年支出合计</w:t>
            </w:r>
          </w:p>
        </w:tc>
        <w:tc>
          <w:tcPr>
            <w:tcW w:w="1232" w:type="dxa"/>
            <w:vAlign w:val="center"/>
          </w:tcPr>
          <w:p>
            <w:pPr>
              <w:pStyle w:val="15"/>
            </w:pPr>
            <w:r>
              <w:t>188.46</w:t>
            </w:r>
          </w:p>
        </w:tc>
        <w:tc>
          <w:tcPr>
            <w:tcW w:w="1232" w:type="dxa"/>
            <w:vAlign w:val="center"/>
          </w:tcPr>
          <w:p>
            <w:pPr>
              <w:pStyle w:val="15"/>
            </w:pPr>
            <w:r>
              <w:t>188.46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188.46</w:t>
            </w:r>
          </w:p>
        </w:tc>
        <w:tc>
          <w:tcPr>
            <w:tcW w:w="1232" w:type="dxa"/>
            <w:vAlign w:val="center"/>
          </w:tcPr>
          <w:p>
            <w:pPr>
              <w:pStyle w:val="14"/>
            </w:pPr>
            <w:r>
              <w:t>支出总计</w:t>
            </w:r>
          </w:p>
        </w:tc>
        <w:tc>
          <w:tcPr>
            <w:tcW w:w="1232" w:type="dxa"/>
            <w:vAlign w:val="center"/>
          </w:tcPr>
          <w:p>
            <w:pPr>
              <w:pStyle w:val="15"/>
            </w:pPr>
            <w:r>
              <w:t>188.46</w:t>
            </w:r>
          </w:p>
        </w:tc>
        <w:tc>
          <w:tcPr>
            <w:tcW w:w="1232" w:type="dxa"/>
            <w:vAlign w:val="center"/>
          </w:tcPr>
          <w:p>
            <w:pPr>
              <w:pStyle w:val="15"/>
            </w:pPr>
            <w:r>
              <w:t>188.46</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188.46</w:t>
            </w:r>
          </w:p>
        </w:tc>
        <w:tc>
          <w:tcPr>
            <w:tcW w:w="1643" w:type="dxa"/>
            <w:vAlign w:val="center"/>
          </w:tcPr>
          <w:p>
            <w:pPr>
              <w:pStyle w:val="15"/>
            </w:pPr>
            <w:r>
              <w:t>20.46</w:t>
            </w:r>
          </w:p>
        </w:tc>
        <w:tc>
          <w:tcPr>
            <w:tcW w:w="1643" w:type="dxa"/>
            <w:vAlign w:val="center"/>
          </w:tcPr>
          <w:p>
            <w:pPr>
              <w:pStyle w:val="15"/>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188.46</w:t>
            </w:r>
          </w:p>
        </w:tc>
        <w:tc>
          <w:tcPr>
            <w:tcW w:w="1643" w:type="dxa"/>
            <w:vAlign w:val="center"/>
          </w:tcPr>
          <w:p>
            <w:pPr>
              <w:pStyle w:val="11"/>
            </w:pPr>
            <w:r>
              <w:t>20.46</w:t>
            </w:r>
          </w:p>
        </w:tc>
        <w:tc>
          <w:tcPr>
            <w:tcW w:w="1643" w:type="dxa"/>
            <w:vAlign w:val="center"/>
          </w:tcPr>
          <w:p>
            <w:pPr>
              <w:pStyle w:val="11"/>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20129</w:t>
            </w:r>
          </w:p>
        </w:tc>
        <w:tc>
          <w:tcPr>
            <w:tcW w:w="1643" w:type="dxa"/>
            <w:vAlign w:val="center"/>
          </w:tcPr>
          <w:p>
            <w:pPr>
              <w:pStyle w:val="12"/>
            </w:pPr>
            <w:r>
              <w:t>群众团体事务</w:t>
            </w:r>
          </w:p>
        </w:tc>
        <w:tc>
          <w:tcPr>
            <w:tcW w:w="1643" w:type="dxa"/>
            <w:vAlign w:val="center"/>
          </w:tcPr>
          <w:p>
            <w:pPr>
              <w:pStyle w:val="11"/>
            </w:pPr>
            <w:r>
              <w:t>188.46</w:t>
            </w:r>
          </w:p>
        </w:tc>
        <w:tc>
          <w:tcPr>
            <w:tcW w:w="1643" w:type="dxa"/>
            <w:vAlign w:val="center"/>
          </w:tcPr>
          <w:p>
            <w:pPr>
              <w:pStyle w:val="11"/>
            </w:pPr>
            <w:r>
              <w:t>20.46</w:t>
            </w:r>
          </w:p>
        </w:tc>
        <w:tc>
          <w:tcPr>
            <w:tcW w:w="1643" w:type="dxa"/>
            <w:vAlign w:val="center"/>
          </w:tcPr>
          <w:p>
            <w:pPr>
              <w:pStyle w:val="11"/>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2012901</w:t>
            </w:r>
          </w:p>
        </w:tc>
        <w:tc>
          <w:tcPr>
            <w:tcW w:w="1643" w:type="dxa"/>
            <w:vAlign w:val="center"/>
          </w:tcPr>
          <w:p>
            <w:pPr>
              <w:pStyle w:val="12"/>
            </w:pPr>
            <w:r>
              <w:t>行政运行</w:t>
            </w:r>
          </w:p>
        </w:tc>
        <w:tc>
          <w:tcPr>
            <w:tcW w:w="1643" w:type="dxa"/>
            <w:vAlign w:val="center"/>
          </w:tcPr>
          <w:p>
            <w:pPr>
              <w:pStyle w:val="11"/>
            </w:pPr>
            <w:r>
              <w:t>20.46</w:t>
            </w:r>
          </w:p>
        </w:tc>
        <w:tc>
          <w:tcPr>
            <w:tcW w:w="1643" w:type="dxa"/>
            <w:vAlign w:val="center"/>
          </w:tcPr>
          <w:p>
            <w:pPr>
              <w:pStyle w:val="11"/>
            </w:pPr>
            <w:r>
              <w:t>20.46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2012906</w:t>
            </w:r>
          </w:p>
        </w:tc>
        <w:tc>
          <w:tcPr>
            <w:tcW w:w="1643" w:type="dxa"/>
            <w:vAlign w:val="center"/>
          </w:tcPr>
          <w:p>
            <w:pPr>
              <w:pStyle w:val="12"/>
            </w:pPr>
            <w:r>
              <w:t>工会事务</w:t>
            </w:r>
          </w:p>
        </w:tc>
        <w:tc>
          <w:tcPr>
            <w:tcW w:w="1643" w:type="dxa"/>
            <w:vAlign w:val="center"/>
          </w:tcPr>
          <w:p>
            <w:pPr>
              <w:pStyle w:val="11"/>
            </w:pPr>
            <w:r>
              <w:t>168.00</w:t>
            </w:r>
          </w:p>
        </w:tc>
        <w:tc>
          <w:tcPr>
            <w:tcW w:w="1643" w:type="dxa"/>
            <w:vAlign w:val="center"/>
          </w:tcPr>
          <w:p>
            <w:pPr>
              <w:pStyle w:val="11"/>
            </w:pPr>
          </w:p>
        </w:tc>
        <w:tc>
          <w:tcPr>
            <w:tcW w:w="1643" w:type="dxa"/>
            <w:vAlign w:val="center"/>
          </w:tcPr>
          <w:p>
            <w:pPr>
              <w:pStyle w:val="11"/>
            </w:pPr>
            <w:r>
              <w:t>168.00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20.46</w:t>
            </w:r>
          </w:p>
        </w:tc>
        <w:tc>
          <w:tcPr>
            <w:tcW w:w="1643" w:type="dxa"/>
            <w:vAlign w:val="center"/>
          </w:tcPr>
          <w:p>
            <w:pPr>
              <w:pStyle w:val="15"/>
            </w:pPr>
            <w:r>
              <w:t>20.46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20.46</w:t>
            </w:r>
          </w:p>
        </w:tc>
        <w:tc>
          <w:tcPr>
            <w:tcW w:w="1643" w:type="dxa"/>
            <w:vAlign w:val="center"/>
          </w:tcPr>
          <w:p>
            <w:pPr>
              <w:pStyle w:val="11"/>
            </w:pPr>
            <w:r>
              <w:t>20.46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20.46</w:t>
            </w:r>
          </w:p>
        </w:tc>
        <w:tc>
          <w:tcPr>
            <w:tcW w:w="1643" w:type="dxa"/>
            <w:vAlign w:val="center"/>
          </w:tcPr>
          <w:p>
            <w:pPr>
              <w:pStyle w:val="11"/>
            </w:pPr>
            <w:r>
              <w:t>20.46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无极县总工会本级2024年单位预算信息公开情况说明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按照《中华人民共和国预算法》、《地方预决算公开操作规程》和《关于进一步推进预算公开工作的实施意见》规定，现将无极县总工会本级2024年单位预算公开如下：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pPr>
      <w:r>
        <w:t>1、根据党的路线、方针、政策，围绕县委、县政府工作大局和上级工会工作部署，贯彻执行县总工会代表大会和全委会议确定的任务与作出的决议。</w:t>
      </w:r>
    </w:p>
    <w:p>
      <w:pPr>
        <w:pStyle w:val="22"/>
      </w:pPr>
      <w:r>
        <w:t>2、依照法律和《中国工会章程》，组织和指导全县各级工会坚定不移地贯彻党的全心全意依靠工人阶级的根本指导方针，全面履行工会各项职能，进一步突出和履行维护职能。</w:t>
      </w:r>
    </w:p>
    <w:p>
      <w:pPr>
        <w:pStyle w:val="22"/>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22"/>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22"/>
      </w:pPr>
      <w:r>
        <w:t>5、指导基层工会组织建设，做好工会干部协管和干部培训教育工作；</w:t>
      </w:r>
    </w:p>
    <w:p>
      <w:pPr>
        <w:spacing w:before="0" w:after="0" w:line="240" w:lineRule="auto"/>
        <w:ind w:firstLine="560" w:firstLineChars="2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6、根据县政府委托，与有关部门共同做好劳动模范、先进工作者的推荐、评选和管理工作；负责“</w:t>
      </w:r>
      <w:r>
        <w:rPr>
          <w:rFonts w:hint="eastAsia" w:eastAsia="方正仿宋_GBK" w:cs="Times New Roman"/>
          <w:sz w:val="28"/>
          <w:szCs w:val="24"/>
          <w:lang w:val="en-US" w:eastAsia="zh-CN" w:bidi="ar-SA"/>
        </w:rPr>
        <w:t>“五一劳动奖章”</w:t>
      </w:r>
      <w:r>
        <w:rPr>
          <w:rFonts w:ascii="Times New Roman" w:hAnsi="Times New Roman" w:eastAsia="方正仿宋_GBK" w:cs="Times New Roman"/>
          <w:sz w:val="28"/>
          <w:szCs w:val="24"/>
          <w:lang w:val="en-US" w:eastAsia="uk-UA" w:bidi="ar-SA"/>
        </w:rPr>
        <w:t>、奖状的推荐、评选和管理工作；指导全县各级工会组织职工开展劳动竞赛、合理化建议、技术创新和技术协作活动。</w:t>
      </w:r>
    </w:p>
    <w:p>
      <w:pPr>
        <w:pStyle w:val="17"/>
        <w:rPr>
          <w:rFonts w:ascii="Times New Roman" w:hAnsi="Times New Roman" w:eastAsia="方正仿宋_GBK" w:cs="Times New Roman"/>
          <w:sz w:val="28"/>
          <w:szCs w:val="24"/>
          <w:lang w:val="en-US" w:eastAsia="uk-UA" w:bidi="ar-SA"/>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无极县总工会本级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按照预算管理有关规定，目前我县单位预算的编制实行综合预算管理，即全部收入和支出都反映在单位预算中。工会本级的收支包含在单位预算中。</w:t>
      </w:r>
    </w:p>
    <w:p>
      <w:pPr>
        <w:pStyle w:val="18"/>
      </w:pPr>
      <w:r>
        <w:t>1.收入说明</w:t>
      </w:r>
    </w:p>
    <w:p>
      <w:pPr>
        <w:pStyle w:val="18"/>
      </w:pPr>
      <w:r>
        <w:t>反映本单位当年全部收入。2024年单位预算收入188.46万元，其中：一般公共预算收入188.46万元，基金预算收入0万元，财政专户核拨收入0万元，其他来源收入0万元。</w:t>
      </w:r>
    </w:p>
    <w:p>
      <w:pPr>
        <w:pStyle w:val="18"/>
      </w:pPr>
      <w:r>
        <w:t>2.支出说明</w:t>
      </w:r>
    </w:p>
    <w:p>
      <w:pPr>
        <w:pStyle w:val="18"/>
        <w:rPr>
          <w:rFonts w:hint="eastAsia"/>
          <w:lang w:val="en-US" w:eastAsia="zh-CN"/>
        </w:rPr>
      </w:pPr>
      <w:r>
        <w:t>收支预算总表支出栏、基本支出表、项目支出表按经济分类和支出功能分类科目编制，反映无极县总工会年度单位预算中支出预算的总体情况。2024年单位预算支出为188.46万元，其中基本支出20.46万元，包括人员经费20.46万元；项目支出168万元</w:t>
      </w:r>
      <w:r>
        <w:rPr>
          <w:rFonts w:hint="eastAsia"/>
          <w:highlight w:val="none"/>
          <w:lang w:eastAsia="zh-CN"/>
        </w:rPr>
        <w:t>，</w:t>
      </w:r>
      <w:r>
        <w:rPr>
          <w:rFonts w:hint="eastAsia"/>
          <w:highlight w:val="none"/>
          <w:lang w:val="en-US" w:eastAsia="zh-CN"/>
        </w:rPr>
        <w:t>主要为</w:t>
      </w:r>
      <w:r>
        <w:rPr>
          <w:highlight w:val="none"/>
        </w:rPr>
        <w:t>2</w:t>
      </w:r>
      <w:r>
        <w:t>024年工会经费</w:t>
      </w:r>
      <w:r>
        <w:rPr>
          <w:rFonts w:hint="eastAsia"/>
          <w:lang w:val="en-US" w:eastAsia="zh-CN"/>
        </w:rPr>
        <w:t>168万元。</w:t>
      </w:r>
    </w:p>
    <w:p>
      <w:pPr>
        <w:pStyle w:val="18"/>
      </w:pPr>
      <w:r>
        <w:t>3.比上年增减情况</w:t>
      </w:r>
    </w:p>
    <w:p>
      <w:pPr>
        <w:pStyle w:val="23"/>
      </w:pPr>
      <w:r>
        <w:t>2024年单位预算支出较2023年减少9.48万元，其中：基本支出减少168.87万元，主要是人员经费和公用支出；项目支出增加159.99万元</w:t>
      </w:r>
      <w:r>
        <w:rPr>
          <w:rFonts w:hint="eastAsia"/>
          <w:highlight w:val="none"/>
          <w:lang w:eastAsia="zh-CN"/>
        </w:rPr>
        <w:t>，</w:t>
      </w:r>
      <w:r>
        <w:rPr>
          <w:rFonts w:hint="eastAsia"/>
          <w:highlight w:val="none"/>
          <w:lang w:val="en-US" w:eastAsia="zh-CN"/>
        </w:rPr>
        <w:t>主要为</w:t>
      </w:r>
      <w:r>
        <w:rPr>
          <w:highlight w:val="none"/>
        </w:rPr>
        <w:t>2</w:t>
      </w:r>
      <w:r>
        <w:t>024年工会经费</w:t>
      </w:r>
      <w:r>
        <w:rPr>
          <w:rFonts w:hint="eastAsia"/>
          <w:lang w:val="en-US" w:eastAsia="zh-CN"/>
        </w:rPr>
        <w:t>增加159.99万元。</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主要用于保证机关正常运转的办公及印刷费、邮电费、差旅费、会议费、福利费、专用草榴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2024年，我单位财政拨款“三公”经费预算安排0万元，与去年持平，无增减变化。其中：因公出国（境）费0万元；公务用车购置及运维费0万元（其中：公务用车购置费0万元，公务用车运行维护费0万元）；公务接待费0万元。</w:t>
      </w:r>
      <w:r>
        <w:rPr>
          <w:rFonts w:hint="eastAsia"/>
          <w:lang w:val="en-US" w:eastAsia="zh-CN"/>
        </w:rPr>
        <w:t>主要原因为本年度无新三公经费预算，</w:t>
      </w:r>
      <w:r>
        <w:t>无增减变化，与上年持平。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1、2024年工会经费绩效目标表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13013024P00003610065X</w:t>
            </w:r>
          </w:p>
        </w:tc>
        <w:tc>
          <w:tcPr>
            <w:tcW w:w="2114" w:type="dxa"/>
            <w:vAlign w:val="center"/>
          </w:tcPr>
          <w:p>
            <w:pPr>
              <w:pStyle w:val="10"/>
            </w:pPr>
            <w:r>
              <w:t>项目名称</w:t>
            </w:r>
          </w:p>
        </w:tc>
        <w:tc>
          <w:tcPr>
            <w:tcW w:w="6342" w:type="dxa"/>
            <w:gridSpan w:val="3"/>
            <w:vAlign w:val="center"/>
          </w:tcPr>
          <w:p>
            <w:pPr>
              <w:pStyle w:val="12"/>
            </w:pPr>
            <w:r>
              <w:t>2024年工会经费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168.00</w:t>
            </w:r>
          </w:p>
        </w:tc>
        <w:tc>
          <w:tcPr>
            <w:tcW w:w="2114" w:type="dxa"/>
            <w:vAlign w:val="center"/>
          </w:tcPr>
          <w:p>
            <w:pPr>
              <w:pStyle w:val="10"/>
            </w:pPr>
            <w:r>
              <w:t>其中：财政    资金</w:t>
            </w:r>
          </w:p>
        </w:tc>
        <w:tc>
          <w:tcPr>
            <w:tcW w:w="2114" w:type="dxa"/>
            <w:vAlign w:val="center"/>
          </w:tcPr>
          <w:p>
            <w:pPr>
              <w:pStyle w:val="12"/>
            </w:pPr>
            <w:r>
              <w:t>168.00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保障正常业务开展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42.00</w:t>
            </w:r>
          </w:p>
        </w:tc>
        <w:tc>
          <w:tcPr>
            <w:tcW w:w="2114" w:type="dxa"/>
            <w:vAlign w:val="center"/>
          </w:tcPr>
          <w:p>
            <w:pPr>
              <w:pStyle w:val="13"/>
            </w:pPr>
            <w:r>
              <w:t>84.00</w:t>
            </w:r>
          </w:p>
        </w:tc>
        <w:tc>
          <w:tcPr>
            <w:tcW w:w="2114" w:type="dxa"/>
            <w:vAlign w:val="center"/>
          </w:tcPr>
          <w:p>
            <w:pPr>
              <w:pStyle w:val="13"/>
            </w:pPr>
            <w:r>
              <w:t>126.00</w:t>
            </w:r>
          </w:p>
        </w:tc>
        <w:tc>
          <w:tcPr>
            <w:tcW w:w="4228" w:type="dxa"/>
            <w:gridSpan w:val="2"/>
            <w:vAlign w:val="center"/>
          </w:tcPr>
          <w:p>
            <w:pPr>
              <w:pStyle w:val="13"/>
            </w:pPr>
            <w:r>
              <w:t>168.00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经费拨付率</w:t>
            </w:r>
          </w:p>
        </w:tc>
        <w:tc>
          <w:tcPr>
            <w:tcW w:w="4228" w:type="dxa"/>
            <w:vAlign w:val="center"/>
          </w:tcPr>
          <w:p>
            <w:pPr>
              <w:pStyle w:val="12"/>
            </w:pPr>
            <w:r>
              <w:t>实际拨付经费占应拨付经费的比例</w:t>
            </w:r>
          </w:p>
        </w:tc>
        <w:tc>
          <w:tcPr>
            <w:tcW w:w="2114" w:type="dxa"/>
            <w:vAlign w:val="center"/>
          </w:tcPr>
          <w:p>
            <w:pPr>
              <w:pStyle w:val="12"/>
            </w:pPr>
            <w:r>
              <w:t>≥100%</w:t>
            </w:r>
          </w:p>
        </w:tc>
        <w:tc>
          <w:tcPr>
            <w:tcW w:w="2114"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项目预算控制数</w:t>
            </w:r>
          </w:p>
        </w:tc>
        <w:tc>
          <w:tcPr>
            <w:tcW w:w="4228" w:type="dxa"/>
            <w:vAlign w:val="center"/>
          </w:tcPr>
          <w:p>
            <w:pPr>
              <w:pStyle w:val="12"/>
            </w:pPr>
            <w:r>
              <w:t>工会经费预算金额</w:t>
            </w:r>
          </w:p>
        </w:tc>
        <w:tc>
          <w:tcPr>
            <w:tcW w:w="2114" w:type="dxa"/>
            <w:vAlign w:val="center"/>
          </w:tcPr>
          <w:p>
            <w:pPr>
              <w:pStyle w:val="12"/>
            </w:pPr>
            <w:r>
              <w:t>保证工会经费及时拨付</w:t>
            </w:r>
          </w:p>
        </w:tc>
        <w:tc>
          <w:tcPr>
            <w:tcW w:w="2114"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经费拨付准确率</w:t>
            </w:r>
          </w:p>
        </w:tc>
        <w:tc>
          <w:tcPr>
            <w:tcW w:w="4228" w:type="dxa"/>
            <w:vAlign w:val="center"/>
          </w:tcPr>
          <w:p>
            <w:pPr>
              <w:pStyle w:val="12"/>
            </w:pPr>
            <w:r>
              <w:t>经费拨付准确程度</w:t>
            </w:r>
          </w:p>
        </w:tc>
        <w:tc>
          <w:tcPr>
            <w:tcW w:w="2114" w:type="dxa"/>
            <w:vAlign w:val="center"/>
          </w:tcPr>
          <w:p>
            <w:pPr>
              <w:pStyle w:val="12"/>
            </w:pPr>
            <w:r>
              <w:t>≥100%</w:t>
            </w:r>
          </w:p>
        </w:tc>
        <w:tc>
          <w:tcPr>
            <w:tcW w:w="2114"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经费拨付及时率</w:t>
            </w:r>
          </w:p>
        </w:tc>
        <w:tc>
          <w:tcPr>
            <w:tcW w:w="4228" w:type="dxa"/>
            <w:vAlign w:val="center"/>
          </w:tcPr>
          <w:p>
            <w:pPr>
              <w:pStyle w:val="12"/>
            </w:pPr>
            <w:r>
              <w:t>经费拨付及时率</w:t>
            </w:r>
          </w:p>
        </w:tc>
        <w:tc>
          <w:tcPr>
            <w:tcW w:w="2114" w:type="dxa"/>
            <w:vAlign w:val="center"/>
          </w:tcPr>
          <w:p>
            <w:pPr>
              <w:pStyle w:val="12"/>
            </w:pPr>
            <w:r>
              <w:t>≥100%</w:t>
            </w:r>
          </w:p>
        </w:tc>
        <w:tc>
          <w:tcPr>
            <w:tcW w:w="2114"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保持单位人员稳定</w:t>
            </w:r>
          </w:p>
        </w:tc>
        <w:tc>
          <w:tcPr>
            <w:tcW w:w="4228" w:type="dxa"/>
            <w:vAlign w:val="center"/>
          </w:tcPr>
          <w:p>
            <w:pPr>
              <w:pStyle w:val="12"/>
            </w:pPr>
            <w:r>
              <w:t>保障单位正常有序进行</w:t>
            </w:r>
          </w:p>
        </w:tc>
        <w:tc>
          <w:tcPr>
            <w:tcW w:w="2114" w:type="dxa"/>
            <w:vAlign w:val="center"/>
          </w:tcPr>
          <w:p>
            <w:pPr>
              <w:pStyle w:val="12"/>
            </w:pPr>
            <w:r>
              <w:t>保障工作稳定开展</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工作正常运转完成率</w:t>
            </w:r>
          </w:p>
        </w:tc>
        <w:tc>
          <w:tcPr>
            <w:tcW w:w="4228" w:type="dxa"/>
            <w:vAlign w:val="center"/>
          </w:tcPr>
          <w:p>
            <w:pPr>
              <w:pStyle w:val="12"/>
            </w:pPr>
            <w:r>
              <w:t>保障单位工作正常运转</w:t>
            </w:r>
          </w:p>
        </w:tc>
        <w:tc>
          <w:tcPr>
            <w:tcW w:w="2114" w:type="dxa"/>
            <w:vAlign w:val="center"/>
          </w:tcPr>
          <w:p>
            <w:pPr>
              <w:pStyle w:val="12"/>
            </w:pPr>
            <w:r>
              <w:t>保障工作正常运转</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保障工作正常进行</w:t>
            </w:r>
          </w:p>
        </w:tc>
        <w:tc>
          <w:tcPr>
            <w:tcW w:w="4228" w:type="dxa"/>
            <w:vAlign w:val="center"/>
          </w:tcPr>
          <w:p>
            <w:pPr>
              <w:pStyle w:val="12"/>
            </w:pPr>
            <w:r>
              <w:t>必要的经费是保障工作正常运转的基础</w:t>
            </w:r>
          </w:p>
        </w:tc>
        <w:tc>
          <w:tcPr>
            <w:tcW w:w="2114" w:type="dxa"/>
            <w:vAlign w:val="center"/>
          </w:tcPr>
          <w:p>
            <w:pPr>
              <w:pStyle w:val="12"/>
            </w:pPr>
            <w:r>
              <w:t>实际拨付情况</w:t>
            </w:r>
          </w:p>
        </w:tc>
        <w:tc>
          <w:tcPr>
            <w:tcW w:w="2114"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干部职工满意度指标</w:t>
            </w:r>
          </w:p>
        </w:tc>
        <w:tc>
          <w:tcPr>
            <w:tcW w:w="4228" w:type="dxa"/>
            <w:vAlign w:val="center"/>
          </w:tcPr>
          <w:p>
            <w:pPr>
              <w:pStyle w:val="12"/>
            </w:pPr>
            <w:r>
              <w:t>保障工作正常运转</w:t>
            </w:r>
          </w:p>
        </w:tc>
        <w:tc>
          <w:tcPr>
            <w:tcW w:w="2114" w:type="dxa"/>
            <w:vAlign w:val="center"/>
          </w:tcPr>
          <w:p>
            <w:pPr>
              <w:pStyle w:val="12"/>
            </w:pPr>
            <w:r>
              <w:t>≥100%</w:t>
            </w:r>
          </w:p>
        </w:tc>
        <w:tc>
          <w:tcPr>
            <w:tcW w:w="2114" w:type="dxa"/>
            <w:vAlign w:val="center"/>
          </w:tcPr>
          <w:p>
            <w:pPr>
              <w:pStyle w:val="12"/>
            </w:pPr>
            <w:r>
              <w:t>实际拨付情况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711001无极县总工会本级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无极县总工会本级上年末固定资产金额为211.49万元（详见下表）。本年度拟购置固定资产总额为0.00万元，已按要求列入政府采购预算，详见政府采购预算表。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711001无极县总工会本级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1241.40</w:t>
            </w:r>
          </w:p>
        </w:tc>
        <w:tc>
          <w:tcPr>
            <w:tcW w:w="4933" w:type="dxa"/>
            <w:vAlign w:val="center"/>
          </w:tcPr>
          <w:p>
            <w:pPr>
              <w:pStyle w:val="11"/>
            </w:pPr>
            <w:r>
              <w:t>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791.40</w:t>
            </w:r>
          </w:p>
        </w:tc>
        <w:tc>
          <w:tcPr>
            <w:tcW w:w="4933"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36</w:t>
            </w:r>
          </w:p>
        </w:tc>
        <w:tc>
          <w:tcPr>
            <w:tcW w:w="4933" w:type="dxa"/>
            <w:vAlign w:val="center"/>
          </w:tcPr>
          <w:p>
            <w:pPr>
              <w:pStyle w:val="11"/>
            </w:pPr>
            <w:r>
              <w:t>117.31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60550B7"/>
    <w:rsid w:val="066E015E"/>
    <w:rsid w:val="21124FF9"/>
    <w:rsid w:val="294A0037"/>
    <w:rsid w:val="59D30F01"/>
    <w:rsid w:val="6B4B3EF8"/>
    <w:rsid w:val="6C4910B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2024-02-02T08:47:42Z</dcterms:created>
  <dcterms:modified xsi:type="dcterms:W3CDTF">2024-02-02T00:47:42Z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2024-02-02T08:47:42Z</dcterms:created>
  <dcterms:modified xsi:type="dcterms:W3CDTF">2024-02-02T00:47:42Z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2024-02-02T08:47:38Z</dcterms:created>
  <dcterms:modified xsi:type="dcterms:W3CDTF">2024-02-02T00:47:38Z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2024-02-02T08:47:41Z</dcterms:created>
  <dcterms:modified xsi:type="dcterms:W3CDTF">2024-02-02T00:47:41Z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68c1068-31de-4151-996e-b98224bd6fdb}">
  <ds:schemaRefs/>
</ds:datastoreItem>
</file>

<file path=customXml/itemProps2.xml><?xml version="1.0" encoding="utf-8"?>
<ds:datastoreItem xmlns:ds="http://schemas.openxmlformats.org/officeDocument/2006/customXml" ds:itemID="{e8bc4b8a-2448-4d12-8e02-f50f156b0e66}">
  <ds:schemaRefs/>
</ds:datastoreItem>
</file>

<file path=customXml/itemProps3.xml><?xml version="1.0" encoding="utf-8"?>
<ds:datastoreItem xmlns:ds="http://schemas.openxmlformats.org/officeDocument/2006/customXml" ds:itemID="{26c1b5e1-08f3-4a86-a1f1-0c44a292be79}">
  <ds:schemaRefs/>
</ds:datastoreItem>
</file>

<file path=customXml/itemProps4.xml><?xml version="1.0" encoding="utf-8"?>
<ds:datastoreItem xmlns:ds="http://schemas.openxmlformats.org/officeDocument/2006/customXml" ds:itemID="{f4d30526-11c9-4cef-a117-9f7f1037ef7b}">
  <ds:schemaRefs/>
</ds:datastoreItem>
</file>

<file path=customXml/itemProps5.xml><?xml version="1.0" encoding="utf-8"?>
<ds:datastoreItem xmlns:ds="http://schemas.openxmlformats.org/officeDocument/2006/customXml" ds:itemID="{25f48531-cff3-4c62-9dd7-8fceeb04e13e}">
  <ds:schemaRefs/>
</ds:datastoreItem>
</file>

<file path=customXml/itemProps6.xml><?xml version="1.0" encoding="utf-8"?>
<ds:datastoreItem xmlns:ds="http://schemas.openxmlformats.org/officeDocument/2006/customXml" ds:itemID="{9fc6d896-03fb-4622-9988-b93bd5705bd0}">
  <ds:schemaRefs/>
</ds:datastoreItem>
</file>

<file path=customXml/itemProps7.xml><?xml version="1.0" encoding="utf-8"?>
<ds:datastoreItem xmlns:ds="http://schemas.openxmlformats.org/officeDocument/2006/customXml" ds:itemID="{1309d70d-3ce5-45dd-ba94-458e9bd7a6fd}">
  <ds:schemaRefs/>
</ds:datastoreItem>
</file>

<file path=customXml/itemProps8.xml><?xml version="1.0" encoding="utf-8"?>
<ds:datastoreItem xmlns:ds="http://schemas.openxmlformats.org/officeDocument/2006/customXml" ds:itemID="{a2f919d7-0dfc-4006-8e55-e3e36ce7ad3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2024-02-02T08:47:00Z</dcterms:created>
  <dc:creator>Administrator</dc:creator>
  <cp:lastModifiedBy>Administrator</cp:lastModifiedBy>
  <dcterms:modified xsi:type="dcterms:W3CDTF">2024-06-20T15:27:25Z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3BF1F4D269354E4C97489B51151D07F4</vt:lpwstr>
  </property>
</Properties>
</file>