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14</w:t>
      </w:r>
    </w:p>
    <w:p>
      <w:pPr>
        <w:pStyle w:val="3"/>
        <w:tabs>
          <w:tab w:val="right" w:leader="dot" w:pos="14562"/>
        </w:tabs>
        <w:rPr>
          <w:rFonts w:hint="default"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fldChar w:fldCharType="end"/>
      </w:r>
      <w:r>
        <w:rPr>
          <w:rFonts w:hint="eastAsia"/>
          <w:lang w:val="en-US" w:eastAsia="zh-CN"/>
        </w:rPr>
        <w:t>15</w:t>
      </w:r>
    </w:p>
    <w:p>
      <w:pPr>
        <w:pStyle w:val="3"/>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fldChar w:fldCharType="end"/>
      </w:r>
      <w:r>
        <w:rPr>
          <w:rFonts w:hint="eastAsia"/>
          <w:lang w:val="en-US" w:eastAsia="zh-CN"/>
        </w:rPr>
        <w:t>16</w:t>
      </w:r>
    </w:p>
    <w:p>
      <w:pPr>
        <w:pStyle w:val="3"/>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17</w:t>
      </w:r>
    </w:p>
    <w:p>
      <w:pPr>
        <w:pStyle w:val="3"/>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end"/>
      </w:r>
      <w:r>
        <w:rPr>
          <w:rFonts w:hint="eastAsia"/>
          <w:lang w:val="en-US" w:eastAsia="zh-CN"/>
        </w:rPr>
        <w:t>18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end"/>
      </w:r>
      <w:r>
        <w:rPr>
          <w:rFonts w:hint="eastAsia"/>
          <w:lang w:val="en-US" w:eastAsia="zh-CN"/>
        </w:rPr>
        <w:t>19</w:t>
      </w:r>
    </w:p>
    <w:p>
      <w:pPr>
        <w:pStyle w:val="3"/>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end"/>
      </w:r>
      <w:r>
        <w:rPr>
          <w:rFonts w:hint="eastAsia"/>
          <w:lang w:val="en-US" w:eastAsia="zh-CN"/>
        </w:rPr>
        <w:t>20</w:t>
      </w:r>
    </w:p>
    <w:p>
      <w:pPr>
        <w:pStyle w:val="3"/>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20</w:t>
      </w:r>
    </w:p>
    <w:p>
      <w:pPr>
        <w:pStyle w:val="3"/>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21</w:t>
      </w:r>
    </w:p>
    <w:p>
      <w:pPr>
        <w:pStyle w:val="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五、部门整体绩效目标</w:t>
      </w:r>
      <w:r>
        <w:tab/>
      </w:r>
      <w:r>
        <w:fldChar w:fldCharType="end"/>
      </w:r>
      <w:r>
        <w:rPr>
          <w:rFonts w:hint="eastAsia"/>
          <w:lang w:val="en-US" w:eastAsia="zh-CN"/>
        </w:rPr>
        <w:t>21</w:t>
      </w:r>
    </w:p>
    <w:p>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fldChar w:fldCharType="end"/>
      </w:r>
      <w:r>
        <w:rPr>
          <w:rFonts w:hint="eastAsia"/>
          <w:lang w:val="en-US" w:eastAsia="zh-CN"/>
        </w:rPr>
        <w:t>24</w:t>
      </w:r>
    </w:p>
    <w:p>
      <w:pPr>
        <w:pStyle w:val="3"/>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fldChar w:fldCharType="end"/>
      </w:r>
      <w:r>
        <w:rPr>
          <w:rFonts w:hint="eastAsia"/>
          <w:lang w:val="en-US" w:eastAsia="zh-CN"/>
        </w:rPr>
        <w:t>25</w:t>
      </w:r>
    </w:p>
    <w:p>
      <w:pPr>
        <w:pStyle w:val="3"/>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fldChar w:fldCharType="end"/>
      </w:r>
      <w:r>
        <w:rPr>
          <w:rFonts w:hint="eastAsia"/>
          <w:lang w:val="en-US" w:eastAsia="zh-CN"/>
        </w:rPr>
        <w:t>26</w:t>
      </w:r>
    </w:p>
    <w:p>
      <w:pPr>
        <w:pStyle w:val="3"/>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fldChar w:fldCharType="end"/>
      </w:r>
      <w:r>
        <w:rPr>
          <w:rFonts w:hint="eastAsia"/>
          <w:lang w:val="en-US" w:eastAsia="zh-CN"/>
        </w:rPr>
        <w:t>26</w:t>
      </w:r>
    </w:p>
    <w:p>
      <w:pPr>
        <w:pStyle w:val="3"/>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27</w:t>
      </w:r>
    </w:p>
    <w:p>
      <w:pPr>
        <w:pStyle w:val="3"/>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end"/>
      </w:r>
      <w:r>
        <w:rPr>
          <w:rFonts w:hint="eastAsia"/>
          <w:lang w:val="en-US" w:eastAsia="zh-CN"/>
        </w:rPr>
        <w:t>28</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711无极县总工会</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188.46</w:t>
            </w:r>
          </w:p>
        </w:tc>
        <w:tc>
          <w:tcPr>
            <w:tcW w:w="1971" w:type="dxa"/>
            <w:vAlign w:val="center"/>
          </w:tcPr>
          <w:p>
            <w:pPr>
              <w:pStyle w:val="13"/>
            </w:pPr>
            <w:r>
              <w:t>一、一般公共服务支出</w:t>
            </w:r>
          </w:p>
        </w:tc>
        <w:tc>
          <w:tcPr>
            <w:tcW w:w="1971" w:type="dxa"/>
            <w:vAlign w:val="center"/>
          </w:tcPr>
          <w:p>
            <w:pPr>
              <w:pStyle w:val="12"/>
            </w:pPr>
            <w:r>
              <w:t>188.46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188.46</w:t>
            </w:r>
          </w:p>
        </w:tc>
        <w:tc>
          <w:tcPr>
            <w:tcW w:w="1971" w:type="dxa"/>
            <w:vAlign w:val="center"/>
          </w:tcPr>
          <w:p>
            <w:pPr>
              <w:pStyle w:val="15"/>
            </w:pPr>
            <w:r>
              <w:t>本年支出合计</w:t>
            </w:r>
          </w:p>
        </w:tc>
        <w:tc>
          <w:tcPr>
            <w:tcW w:w="1971" w:type="dxa"/>
            <w:vAlign w:val="center"/>
          </w:tcPr>
          <w:p>
            <w:pPr>
              <w:pStyle w:val="16"/>
            </w:pPr>
            <w:r>
              <w:t>188.46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188.46</w:t>
            </w:r>
          </w:p>
        </w:tc>
        <w:tc>
          <w:tcPr>
            <w:tcW w:w="1971" w:type="dxa"/>
            <w:vAlign w:val="center"/>
          </w:tcPr>
          <w:p>
            <w:pPr>
              <w:pStyle w:val="15"/>
            </w:pPr>
            <w:r>
              <w:t>支出总计</w:t>
            </w:r>
          </w:p>
        </w:tc>
        <w:tc>
          <w:tcPr>
            <w:tcW w:w="1971" w:type="dxa"/>
            <w:vAlign w:val="center"/>
          </w:tcPr>
          <w:p>
            <w:pPr>
              <w:pStyle w:val="16"/>
            </w:pPr>
            <w:r>
              <w:t>188.46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711无极县总工会</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188.46</w:t>
            </w:r>
          </w:p>
        </w:tc>
        <w:tc>
          <w:tcPr>
            <w:tcW w:w="758" w:type="dxa"/>
            <w:vAlign w:val="center"/>
          </w:tcPr>
          <w:p>
            <w:pPr>
              <w:pStyle w:val="16"/>
            </w:pPr>
            <w:r>
              <w:t>188.46</w:t>
            </w:r>
          </w:p>
        </w:tc>
        <w:tc>
          <w:tcPr>
            <w:tcW w:w="758" w:type="dxa"/>
            <w:vAlign w:val="center"/>
          </w:tcPr>
          <w:p>
            <w:pPr>
              <w:pStyle w:val="16"/>
            </w:pPr>
            <w:r>
              <w:t>188.46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188.46</w:t>
            </w:r>
          </w:p>
        </w:tc>
        <w:tc>
          <w:tcPr>
            <w:tcW w:w="758" w:type="dxa"/>
            <w:vAlign w:val="center"/>
          </w:tcPr>
          <w:p>
            <w:pPr>
              <w:pStyle w:val="12"/>
            </w:pPr>
            <w:r>
              <w:t>188.46</w:t>
            </w:r>
          </w:p>
        </w:tc>
        <w:tc>
          <w:tcPr>
            <w:tcW w:w="758" w:type="dxa"/>
            <w:vAlign w:val="center"/>
          </w:tcPr>
          <w:p>
            <w:pPr>
              <w:pStyle w:val="12"/>
            </w:pPr>
            <w:r>
              <w:t>188.46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20129</w:t>
            </w:r>
          </w:p>
        </w:tc>
        <w:tc>
          <w:tcPr>
            <w:tcW w:w="758" w:type="dxa"/>
            <w:vAlign w:val="center"/>
          </w:tcPr>
          <w:p>
            <w:pPr>
              <w:pStyle w:val="13"/>
            </w:pPr>
            <w:r>
              <w:t>群众团体事务</w:t>
            </w:r>
          </w:p>
        </w:tc>
        <w:tc>
          <w:tcPr>
            <w:tcW w:w="758" w:type="dxa"/>
            <w:vAlign w:val="center"/>
          </w:tcPr>
          <w:p>
            <w:pPr>
              <w:pStyle w:val="12"/>
            </w:pPr>
            <w:r>
              <w:t>188.46</w:t>
            </w:r>
          </w:p>
        </w:tc>
        <w:tc>
          <w:tcPr>
            <w:tcW w:w="758" w:type="dxa"/>
            <w:vAlign w:val="center"/>
          </w:tcPr>
          <w:p>
            <w:pPr>
              <w:pStyle w:val="12"/>
            </w:pPr>
            <w:r>
              <w:t>188.46</w:t>
            </w:r>
          </w:p>
        </w:tc>
        <w:tc>
          <w:tcPr>
            <w:tcW w:w="758" w:type="dxa"/>
            <w:vAlign w:val="center"/>
          </w:tcPr>
          <w:p>
            <w:pPr>
              <w:pStyle w:val="12"/>
            </w:pPr>
            <w:r>
              <w:t>188.46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2012901</w:t>
            </w:r>
          </w:p>
        </w:tc>
        <w:tc>
          <w:tcPr>
            <w:tcW w:w="758" w:type="dxa"/>
            <w:vAlign w:val="center"/>
          </w:tcPr>
          <w:p>
            <w:pPr>
              <w:pStyle w:val="13"/>
            </w:pPr>
            <w:r>
              <w:t>行政运行</w:t>
            </w:r>
          </w:p>
        </w:tc>
        <w:tc>
          <w:tcPr>
            <w:tcW w:w="758" w:type="dxa"/>
            <w:vAlign w:val="center"/>
          </w:tcPr>
          <w:p>
            <w:pPr>
              <w:pStyle w:val="12"/>
            </w:pPr>
            <w:r>
              <w:t>20.46</w:t>
            </w:r>
          </w:p>
        </w:tc>
        <w:tc>
          <w:tcPr>
            <w:tcW w:w="758" w:type="dxa"/>
            <w:vAlign w:val="center"/>
          </w:tcPr>
          <w:p>
            <w:pPr>
              <w:pStyle w:val="12"/>
            </w:pPr>
            <w:r>
              <w:t>20.46</w:t>
            </w:r>
          </w:p>
        </w:tc>
        <w:tc>
          <w:tcPr>
            <w:tcW w:w="758" w:type="dxa"/>
            <w:vAlign w:val="center"/>
          </w:tcPr>
          <w:p>
            <w:pPr>
              <w:pStyle w:val="12"/>
            </w:pPr>
            <w:r>
              <w:t>20.46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2012906</w:t>
            </w:r>
          </w:p>
        </w:tc>
        <w:tc>
          <w:tcPr>
            <w:tcW w:w="758" w:type="dxa"/>
            <w:vAlign w:val="center"/>
          </w:tcPr>
          <w:p>
            <w:pPr>
              <w:pStyle w:val="13"/>
            </w:pPr>
            <w:r>
              <w:t>工会事务</w:t>
            </w:r>
          </w:p>
        </w:tc>
        <w:tc>
          <w:tcPr>
            <w:tcW w:w="758" w:type="dxa"/>
            <w:vAlign w:val="center"/>
          </w:tcPr>
          <w:p>
            <w:pPr>
              <w:pStyle w:val="12"/>
            </w:pPr>
            <w:r>
              <w:t>168.00</w:t>
            </w:r>
          </w:p>
        </w:tc>
        <w:tc>
          <w:tcPr>
            <w:tcW w:w="758" w:type="dxa"/>
            <w:vAlign w:val="center"/>
          </w:tcPr>
          <w:p>
            <w:pPr>
              <w:pStyle w:val="12"/>
            </w:pPr>
            <w:r>
              <w:t>168.00</w:t>
            </w:r>
          </w:p>
        </w:tc>
        <w:tc>
          <w:tcPr>
            <w:tcW w:w="758" w:type="dxa"/>
            <w:vAlign w:val="center"/>
          </w:tcPr>
          <w:p>
            <w:pPr>
              <w:pStyle w:val="12"/>
            </w:pPr>
            <w:r>
              <w:t>168.00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188.46</w:t>
            </w:r>
          </w:p>
        </w:tc>
        <w:tc>
          <w:tcPr>
            <w:tcW w:w="1095" w:type="dxa"/>
            <w:vAlign w:val="center"/>
          </w:tcPr>
          <w:p>
            <w:pPr>
              <w:pStyle w:val="16"/>
            </w:pPr>
            <w:r>
              <w:t>20.46</w:t>
            </w:r>
          </w:p>
        </w:tc>
        <w:tc>
          <w:tcPr>
            <w:tcW w:w="1095" w:type="dxa"/>
            <w:vAlign w:val="center"/>
          </w:tcPr>
          <w:p>
            <w:pPr>
              <w:pStyle w:val="16"/>
            </w:pPr>
            <w:r>
              <w:t>168.00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188.46</w:t>
            </w:r>
          </w:p>
        </w:tc>
        <w:tc>
          <w:tcPr>
            <w:tcW w:w="1095" w:type="dxa"/>
            <w:vAlign w:val="center"/>
          </w:tcPr>
          <w:p>
            <w:pPr>
              <w:pStyle w:val="12"/>
            </w:pPr>
            <w:r>
              <w:t>20.46</w:t>
            </w:r>
          </w:p>
        </w:tc>
        <w:tc>
          <w:tcPr>
            <w:tcW w:w="1095" w:type="dxa"/>
            <w:vAlign w:val="center"/>
          </w:tcPr>
          <w:p>
            <w:pPr>
              <w:pStyle w:val="12"/>
            </w:pPr>
            <w:r>
              <w:t>168.00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20129</w:t>
            </w:r>
          </w:p>
        </w:tc>
        <w:tc>
          <w:tcPr>
            <w:tcW w:w="1095" w:type="dxa"/>
            <w:vAlign w:val="center"/>
          </w:tcPr>
          <w:p>
            <w:pPr>
              <w:pStyle w:val="13"/>
            </w:pPr>
            <w:r>
              <w:t>群众团体事务</w:t>
            </w:r>
          </w:p>
        </w:tc>
        <w:tc>
          <w:tcPr>
            <w:tcW w:w="1095" w:type="dxa"/>
            <w:vAlign w:val="center"/>
          </w:tcPr>
          <w:p>
            <w:pPr>
              <w:pStyle w:val="12"/>
            </w:pPr>
            <w:r>
              <w:t>188.46</w:t>
            </w:r>
          </w:p>
        </w:tc>
        <w:tc>
          <w:tcPr>
            <w:tcW w:w="1095" w:type="dxa"/>
            <w:vAlign w:val="center"/>
          </w:tcPr>
          <w:p>
            <w:pPr>
              <w:pStyle w:val="12"/>
            </w:pPr>
            <w:r>
              <w:t>20.46</w:t>
            </w:r>
          </w:p>
        </w:tc>
        <w:tc>
          <w:tcPr>
            <w:tcW w:w="1095" w:type="dxa"/>
            <w:vAlign w:val="center"/>
          </w:tcPr>
          <w:p>
            <w:pPr>
              <w:pStyle w:val="12"/>
            </w:pPr>
            <w:r>
              <w:t>168.00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2012901</w:t>
            </w:r>
          </w:p>
        </w:tc>
        <w:tc>
          <w:tcPr>
            <w:tcW w:w="1095" w:type="dxa"/>
            <w:vAlign w:val="center"/>
          </w:tcPr>
          <w:p>
            <w:pPr>
              <w:pStyle w:val="13"/>
            </w:pPr>
            <w:r>
              <w:t>行政运行</w:t>
            </w:r>
          </w:p>
        </w:tc>
        <w:tc>
          <w:tcPr>
            <w:tcW w:w="1095" w:type="dxa"/>
            <w:vAlign w:val="center"/>
          </w:tcPr>
          <w:p>
            <w:pPr>
              <w:pStyle w:val="12"/>
            </w:pPr>
            <w:r>
              <w:t>20.46</w:t>
            </w:r>
          </w:p>
        </w:tc>
        <w:tc>
          <w:tcPr>
            <w:tcW w:w="1095" w:type="dxa"/>
            <w:vAlign w:val="center"/>
          </w:tcPr>
          <w:p>
            <w:pPr>
              <w:pStyle w:val="12"/>
            </w:pPr>
            <w:r>
              <w:t>20.46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2012906</w:t>
            </w:r>
          </w:p>
        </w:tc>
        <w:tc>
          <w:tcPr>
            <w:tcW w:w="1095" w:type="dxa"/>
            <w:vAlign w:val="center"/>
          </w:tcPr>
          <w:p>
            <w:pPr>
              <w:pStyle w:val="13"/>
            </w:pPr>
            <w:r>
              <w:t>工会事务</w:t>
            </w:r>
          </w:p>
        </w:tc>
        <w:tc>
          <w:tcPr>
            <w:tcW w:w="1095" w:type="dxa"/>
            <w:vAlign w:val="center"/>
          </w:tcPr>
          <w:p>
            <w:pPr>
              <w:pStyle w:val="12"/>
            </w:pPr>
            <w:r>
              <w:t>168.00</w:t>
            </w:r>
          </w:p>
        </w:tc>
        <w:tc>
          <w:tcPr>
            <w:tcW w:w="1095" w:type="dxa"/>
            <w:vAlign w:val="center"/>
          </w:tcPr>
          <w:p>
            <w:pPr>
              <w:pStyle w:val="12"/>
            </w:pPr>
          </w:p>
        </w:tc>
        <w:tc>
          <w:tcPr>
            <w:tcW w:w="1095" w:type="dxa"/>
            <w:vAlign w:val="center"/>
          </w:tcPr>
          <w:p>
            <w:pPr>
              <w:pStyle w:val="12"/>
            </w:pPr>
            <w:r>
              <w:t>168.00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188.46</w:t>
            </w:r>
          </w:p>
        </w:tc>
        <w:tc>
          <w:tcPr>
            <w:tcW w:w="1232" w:type="dxa"/>
            <w:vAlign w:val="center"/>
          </w:tcPr>
          <w:p>
            <w:pPr>
              <w:pStyle w:val="13"/>
            </w:pPr>
            <w:r>
              <w:t>一、一般公共服务支出</w:t>
            </w:r>
          </w:p>
        </w:tc>
        <w:tc>
          <w:tcPr>
            <w:tcW w:w="1232" w:type="dxa"/>
            <w:vAlign w:val="center"/>
          </w:tcPr>
          <w:p>
            <w:pPr>
              <w:pStyle w:val="12"/>
            </w:pPr>
            <w:r>
              <w:t>188.46</w:t>
            </w:r>
          </w:p>
        </w:tc>
        <w:tc>
          <w:tcPr>
            <w:tcW w:w="1232" w:type="dxa"/>
            <w:vAlign w:val="center"/>
          </w:tcPr>
          <w:p>
            <w:pPr>
              <w:pStyle w:val="12"/>
            </w:pPr>
            <w:r>
              <w:t>188.46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188.46</w:t>
            </w:r>
          </w:p>
        </w:tc>
        <w:tc>
          <w:tcPr>
            <w:tcW w:w="1232" w:type="dxa"/>
            <w:vAlign w:val="center"/>
          </w:tcPr>
          <w:p>
            <w:pPr>
              <w:pStyle w:val="15"/>
            </w:pPr>
            <w:r>
              <w:t>本年支出合计</w:t>
            </w:r>
          </w:p>
        </w:tc>
        <w:tc>
          <w:tcPr>
            <w:tcW w:w="1232" w:type="dxa"/>
            <w:vAlign w:val="center"/>
          </w:tcPr>
          <w:p>
            <w:pPr>
              <w:pStyle w:val="16"/>
            </w:pPr>
            <w:r>
              <w:t>188.46</w:t>
            </w:r>
          </w:p>
        </w:tc>
        <w:tc>
          <w:tcPr>
            <w:tcW w:w="1232" w:type="dxa"/>
            <w:vAlign w:val="center"/>
          </w:tcPr>
          <w:p>
            <w:pPr>
              <w:pStyle w:val="16"/>
            </w:pPr>
            <w:r>
              <w:t>188.46</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188.46</w:t>
            </w:r>
          </w:p>
        </w:tc>
        <w:tc>
          <w:tcPr>
            <w:tcW w:w="1232" w:type="dxa"/>
            <w:vAlign w:val="center"/>
          </w:tcPr>
          <w:p>
            <w:pPr>
              <w:pStyle w:val="15"/>
            </w:pPr>
            <w:r>
              <w:t>支出总计</w:t>
            </w:r>
          </w:p>
        </w:tc>
        <w:tc>
          <w:tcPr>
            <w:tcW w:w="1232" w:type="dxa"/>
            <w:vAlign w:val="center"/>
          </w:tcPr>
          <w:p>
            <w:pPr>
              <w:pStyle w:val="16"/>
            </w:pPr>
            <w:r>
              <w:t>188.46</w:t>
            </w:r>
          </w:p>
        </w:tc>
        <w:tc>
          <w:tcPr>
            <w:tcW w:w="1232" w:type="dxa"/>
            <w:vAlign w:val="center"/>
          </w:tcPr>
          <w:p>
            <w:pPr>
              <w:pStyle w:val="16"/>
            </w:pPr>
            <w:r>
              <w:t>188.46</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188.46</w:t>
            </w:r>
          </w:p>
        </w:tc>
        <w:tc>
          <w:tcPr>
            <w:tcW w:w="1643" w:type="dxa"/>
            <w:vAlign w:val="center"/>
          </w:tcPr>
          <w:p>
            <w:pPr>
              <w:pStyle w:val="16"/>
            </w:pPr>
            <w:r>
              <w:t>20.46</w:t>
            </w:r>
          </w:p>
        </w:tc>
        <w:tc>
          <w:tcPr>
            <w:tcW w:w="1643" w:type="dxa"/>
            <w:vAlign w:val="center"/>
          </w:tcPr>
          <w:p>
            <w:pPr>
              <w:pStyle w:val="16"/>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188.46</w:t>
            </w:r>
          </w:p>
        </w:tc>
        <w:tc>
          <w:tcPr>
            <w:tcW w:w="1643" w:type="dxa"/>
            <w:vAlign w:val="center"/>
          </w:tcPr>
          <w:p>
            <w:pPr>
              <w:pStyle w:val="12"/>
            </w:pPr>
            <w:r>
              <w:t>20.46</w:t>
            </w:r>
          </w:p>
        </w:tc>
        <w:tc>
          <w:tcPr>
            <w:tcW w:w="1643" w:type="dxa"/>
            <w:vAlign w:val="center"/>
          </w:tcPr>
          <w:p>
            <w:pPr>
              <w:pStyle w:val="12"/>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20129</w:t>
            </w:r>
          </w:p>
        </w:tc>
        <w:tc>
          <w:tcPr>
            <w:tcW w:w="1643" w:type="dxa"/>
            <w:vAlign w:val="center"/>
          </w:tcPr>
          <w:p>
            <w:pPr>
              <w:pStyle w:val="13"/>
            </w:pPr>
            <w:r>
              <w:t>群众团体事务</w:t>
            </w:r>
          </w:p>
        </w:tc>
        <w:tc>
          <w:tcPr>
            <w:tcW w:w="1643" w:type="dxa"/>
            <w:vAlign w:val="center"/>
          </w:tcPr>
          <w:p>
            <w:pPr>
              <w:pStyle w:val="12"/>
            </w:pPr>
            <w:r>
              <w:t>188.46</w:t>
            </w:r>
          </w:p>
        </w:tc>
        <w:tc>
          <w:tcPr>
            <w:tcW w:w="1643" w:type="dxa"/>
            <w:vAlign w:val="center"/>
          </w:tcPr>
          <w:p>
            <w:pPr>
              <w:pStyle w:val="12"/>
            </w:pPr>
            <w:r>
              <w:t>20.46</w:t>
            </w:r>
          </w:p>
        </w:tc>
        <w:tc>
          <w:tcPr>
            <w:tcW w:w="1643" w:type="dxa"/>
            <w:vAlign w:val="center"/>
          </w:tcPr>
          <w:p>
            <w:pPr>
              <w:pStyle w:val="12"/>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2012901</w:t>
            </w:r>
          </w:p>
        </w:tc>
        <w:tc>
          <w:tcPr>
            <w:tcW w:w="1643" w:type="dxa"/>
            <w:vAlign w:val="center"/>
          </w:tcPr>
          <w:p>
            <w:pPr>
              <w:pStyle w:val="13"/>
            </w:pPr>
            <w:r>
              <w:t>行政运行</w:t>
            </w:r>
          </w:p>
        </w:tc>
        <w:tc>
          <w:tcPr>
            <w:tcW w:w="1643" w:type="dxa"/>
            <w:vAlign w:val="center"/>
          </w:tcPr>
          <w:p>
            <w:pPr>
              <w:pStyle w:val="12"/>
            </w:pPr>
            <w:r>
              <w:t>20.46</w:t>
            </w:r>
          </w:p>
        </w:tc>
        <w:tc>
          <w:tcPr>
            <w:tcW w:w="1643" w:type="dxa"/>
            <w:vAlign w:val="center"/>
          </w:tcPr>
          <w:p>
            <w:pPr>
              <w:pStyle w:val="12"/>
            </w:pPr>
            <w:r>
              <w:t>20.46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2012906</w:t>
            </w:r>
          </w:p>
        </w:tc>
        <w:tc>
          <w:tcPr>
            <w:tcW w:w="1643" w:type="dxa"/>
            <w:vAlign w:val="center"/>
          </w:tcPr>
          <w:p>
            <w:pPr>
              <w:pStyle w:val="13"/>
            </w:pPr>
            <w:r>
              <w:t>工会事务</w:t>
            </w:r>
          </w:p>
        </w:tc>
        <w:tc>
          <w:tcPr>
            <w:tcW w:w="1643" w:type="dxa"/>
            <w:vAlign w:val="center"/>
          </w:tcPr>
          <w:p>
            <w:pPr>
              <w:pStyle w:val="12"/>
            </w:pPr>
            <w:r>
              <w:t>168.00</w:t>
            </w:r>
          </w:p>
        </w:tc>
        <w:tc>
          <w:tcPr>
            <w:tcW w:w="1643" w:type="dxa"/>
            <w:vAlign w:val="center"/>
          </w:tcPr>
          <w:p>
            <w:pPr>
              <w:pStyle w:val="12"/>
            </w:pPr>
          </w:p>
        </w:tc>
        <w:tc>
          <w:tcPr>
            <w:tcW w:w="1643" w:type="dxa"/>
            <w:vAlign w:val="center"/>
          </w:tcPr>
          <w:p>
            <w:pPr>
              <w:pStyle w:val="12"/>
            </w:pPr>
            <w:r>
              <w:t>168.00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20.46</w:t>
            </w:r>
          </w:p>
        </w:tc>
        <w:tc>
          <w:tcPr>
            <w:tcW w:w="1643" w:type="dxa"/>
            <w:vAlign w:val="center"/>
          </w:tcPr>
          <w:p>
            <w:pPr>
              <w:pStyle w:val="16"/>
            </w:pPr>
            <w:r>
              <w:t>20.46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20.46</w:t>
            </w:r>
          </w:p>
        </w:tc>
        <w:tc>
          <w:tcPr>
            <w:tcW w:w="1643" w:type="dxa"/>
            <w:vAlign w:val="center"/>
          </w:tcPr>
          <w:p>
            <w:pPr>
              <w:pStyle w:val="12"/>
            </w:pPr>
            <w:r>
              <w:t>20.46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20.46</w:t>
            </w:r>
          </w:p>
        </w:tc>
        <w:tc>
          <w:tcPr>
            <w:tcW w:w="1643" w:type="dxa"/>
            <w:vAlign w:val="center"/>
          </w:tcPr>
          <w:p>
            <w:pPr>
              <w:pStyle w:val="12"/>
            </w:pPr>
            <w:r>
              <w:t>20.46</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无极县总工会2024年部门预算信息公开情况说明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无极县总工会2024年部门预算信息公开情况说明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按照《中华人民共和国预算法》、《地方预决算公开操作规程》和《关于进一步推进预算公开工作的实施意见》规定，现将无极县总工会2024年部门预算公开如下：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1、根据党的路线、方针、政策，围绕县委、县政府工作大局和上级工会工作部署，贯彻执行县总工会代表大会和全委会议确定的任务与作出的决议。</w:t>
      </w:r>
    </w:p>
    <w:p>
      <w:pPr>
        <w:pStyle w:val="26"/>
      </w:pPr>
      <w:r>
        <w:t>2、依照法律和《中国工会章程》，组织和指导全县各级工会坚定不移地贯彻党的全心全意依靠工人阶级的根本指导方针，全面履行工会各项职能，进一步突出和履行维护职能。</w:t>
      </w:r>
    </w:p>
    <w:p>
      <w:pPr>
        <w:pStyle w:val="26"/>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26"/>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26"/>
      </w:pPr>
      <w:r>
        <w:t>5、指导基层工会组织建设，做好工会干部协管和干部培训教育工作；</w:t>
      </w:r>
    </w:p>
    <w:p>
      <w:pPr>
        <w:spacing w:before="0" w:after="0" w:line="240" w:lineRule="auto"/>
        <w:ind w:firstLine="640"/>
        <w:jc w:val="left"/>
        <w:outlineLvl w:val="9"/>
        <w:rPr>
          <w:rFonts w:ascii="方正楷体_GBK" w:hAnsi="方正楷体_GBK" w:eastAsia="方正楷体_GBK" w:cs="方正楷体_GBK"/>
          <w:b/>
          <w:color w:val="000000"/>
          <w:sz w:val="32"/>
        </w:rPr>
      </w:pPr>
      <w:r>
        <w:t>6、根据县政府委托，与有关部门共同做好劳动模范、先进工作者的推荐、评选和管理工作；负责“</w:t>
      </w:r>
      <w:r>
        <w:rPr>
          <w:rFonts w:hint="eastAsia" w:eastAsia="宋体"/>
          <w:lang w:eastAsia="zh-CN"/>
        </w:rPr>
        <w:t>“五一劳动奖章”</w:t>
      </w:r>
      <w:r>
        <w:t>、奖状的推荐、评选和管理工作；指导全县各级工会组织职工开展劳动竞赛、合理化建议、技术创新和技术协作活动。</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无极县总工会本级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w:t>
      </w:r>
      <w:r>
        <w:rPr>
          <w:rFonts w:hint="eastAsia"/>
          <w:lang w:val="en-US" w:eastAsia="zh-CN"/>
        </w:rPr>
        <w:t>部门</w:t>
      </w:r>
      <w:r>
        <w:t>预算的编制实行综合预算管理，即全部收入和支出都反映在单位预算中。工会本级的收支包含在单位预算中。</w:t>
      </w:r>
    </w:p>
    <w:p>
      <w:pPr>
        <w:pStyle w:val="19"/>
      </w:pPr>
      <w:r>
        <w:t>1.收入说明</w:t>
      </w:r>
    </w:p>
    <w:p>
      <w:pPr>
        <w:pStyle w:val="19"/>
      </w:pPr>
      <w:r>
        <w:t>反映本</w:t>
      </w:r>
      <w:r>
        <w:rPr>
          <w:rFonts w:hint="eastAsia"/>
          <w:lang w:val="en-US" w:eastAsia="zh-CN"/>
        </w:rPr>
        <w:t>部门</w:t>
      </w:r>
      <w:r>
        <w:t>当年全部收入。2024年</w:t>
      </w:r>
      <w:r>
        <w:rPr>
          <w:rFonts w:hint="eastAsia"/>
          <w:lang w:val="en-US" w:eastAsia="zh-CN"/>
        </w:rPr>
        <w:t>部门</w:t>
      </w:r>
      <w:r>
        <w:t>预算收入188.46万元，其中：一般公共预算收入188.46万元，基金预算收入0万元，财政专户核拨收入0万元，其他来源收入0万元。</w:t>
      </w:r>
    </w:p>
    <w:p>
      <w:pPr>
        <w:pStyle w:val="19"/>
      </w:pPr>
      <w:r>
        <w:t>2.支出说明</w:t>
      </w:r>
    </w:p>
    <w:p>
      <w:pPr>
        <w:pStyle w:val="19"/>
        <w:rPr>
          <w:rFonts w:hint="eastAsia"/>
          <w:lang w:val="en-US" w:eastAsia="zh-CN"/>
        </w:rPr>
      </w:pPr>
      <w:r>
        <w:t>收支预算总表支出栏、基本支出表、项目支出表按经济分类和支出功能分类科目编制，反映无极县总工会年度</w:t>
      </w:r>
      <w:r>
        <w:rPr>
          <w:rFonts w:hint="eastAsia"/>
          <w:lang w:val="en-US" w:eastAsia="zh-CN"/>
        </w:rPr>
        <w:t>部门</w:t>
      </w:r>
      <w:r>
        <w:t>预算中支出预算的总体情况。2024年</w:t>
      </w:r>
      <w:r>
        <w:rPr>
          <w:rFonts w:hint="eastAsia"/>
          <w:lang w:val="en-US" w:eastAsia="zh-CN"/>
        </w:rPr>
        <w:t>部门</w:t>
      </w:r>
      <w:r>
        <w:t>预算支出为188.46万元，其中基本支出20.46万元，包括人员经费20.46万元；项目支出168万元</w:t>
      </w:r>
      <w:r>
        <w:rPr>
          <w:rFonts w:hint="eastAsia"/>
          <w:highlight w:val="none"/>
          <w:lang w:eastAsia="zh-CN"/>
        </w:rPr>
        <w:t>，</w:t>
      </w:r>
      <w:r>
        <w:rPr>
          <w:rFonts w:hint="eastAsia"/>
          <w:highlight w:val="none"/>
          <w:lang w:val="en-US" w:eastAsia="zh-CN"/>
        </w:rPr>
        <w:t>主要为</w:t>
      </w:r>
      <w:r>
        <w:rPr>
          <w:highlight w:val="none"/>
        </w:rPr>
        <w:t>2</w:t>
      </w:r>
      <w:r>
        <w:t>024年工会经费</w:t>
      </w:r>
      <w:r>
        <w:rPr>
          <w:rFonts w:hint="eastAsia"/>
          <w:lang w:val="en-US" w:eastAsia="zh-CN"/>
        </w:rPr>
        <w:t>168万元。</w:t>
      </w:r>
    </w:p>
    <w:p>
      <w:pPr>
        <w:pStyle w:val="19"/>
      </w:pPr>
      <w:r>
        <w:t>3.比上年增减情况</w:t>
      </w:r>
    </w:p>
    <w:p>
      <w:pPr>
        <w:pStyle w:val="19"/>
      </w:pPr>
      <w:r>
        <w:t>2024年</w:t>
      </w:r>
      <w:r>
        <w:rPr>
          <w:rFonts w:hint="eastAsia"/>
          <w:lang w:val="en-US" w:eastAsia="zh-CN"/>
        </w:rPr>
        <w:t>部门</w:t>
      </w:r>
      <w:r>
        <w:t>预算支出较2023年减少9.48万元，其中：基本支出减少168.87万元，主要是人员经费和公用支出；项目支出增加159.99万元</w:t>
      </w:r>
      <w:r>
        <w:rPr>
          <w:rFonts w:hint="eastAsia"/>
          <w:highlight w:val="none"/>
          <w:lang w:eastAsia="zh-CN"/>
        </w:rPr>
        <w:t>，</w:t>
      </w:r>
      <w:r>
        <w:rPr>
          <w:rFonts w:hint="eastAsia"/>
          <w:highlight w:val="none"/>
          <w:lang w:val="en-US" w:eastAsia="zh-CN"/>
        </w:rPr>
        <w:t>主要为</w:t>
      </w:r>
      <w:r>
        <w:rPr>
          <w:highlight w:val="none"/>
        </w:rPr>
        <w:t>2</w:t>
      </w:r>
      <w:r>
        <w:t>024年工会经费</w:t>
      </w:r>
      <w:r>
        <w:rPr>
          <w:rFonts w:hint="eastAsia"/>
          <w:lang w:val="en-US" w:eastAsia="zh-CN"/>
        </w:rPr>
        <w:t>增加159.99万元。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w:t>
      </w:r>
      <w:r>
        <w:rPr>
          <w:rFonts w:hint="eastAsia"/>
          <w:lang w:val="en-US" w:eastAsia="zh-CN"/>
        </w:rPr>
        <w:t>部门</w:t>
      </w:r>
      <w:r>
        <w:t>机关运行经费共计安排0万元，主要用于保证机关正常运转的办公及印刷费、邮电费、差旅费、会议费、福利费、专用草榴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w:t>
      </w:r>
      <w:r>
        <w:rPr>
          <w:rFonts w:hint="eastAsia"/>
          <w:lang w:val="en-US" w:eastAsia="zh-CN"/>
        </w:rPr>
        <w:t>部门</w:t>
      </w:r>
      <w:r>
        <w:t>财政拨款“三公”经费预算安排0万元，与去年持平，无增减变化。其中：因公出国（境）费0万元；公务用车购置及运维费0万元（其中：公务用车购置费0万元，公务用车运行维护费0万元）；公务接待费0万元。</w:t>
      </w:r>
      <w:r>
        <w:rPr>
          <w:rFonts w:hint="eastAsia"/>
          <w:lang w:val="en-US" w:eastAsia="zh-CN"/>
        </w:rPr>
        <w:t>主要原因为本年度无新三公经费预算，</w:t>
      </w:r>
      <w:r>
        <w:t>无增减变化，与上年持平。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部门的总体绩效目标主要有两项工作。工会经费和困难职工及劳模救助。其中工会经费主要用于工会开展各项活动，根据党在各个时期的中心任务和上级工会的指示精神，确定全市工会工作的指导思想和任务，领导全县广大职工开展工会活动工会；围绕职工合法权益的重大问题进行调查研究，向县委县政府委和上级工会反映职工群众的思想、愿望和要求，提出意见和建议；参与涉及职工切身利益的法律、法规草案和政策、措施、制度的拟定。维护广大职工的切身利益。</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工会开展各项活动，根据党的中心任务和上级工会的指示精神，确定全县工会工作的指导思想和任务，领导全县广大职工开展工会活动；围绕职工合法权益的重大问题进行调查研究，向县委县政府和上级工会反映职工群众的思想、愿望和要求，提出意见和建议；参与涉及职工切身利益的法律、法规草案和政策、措施、制度的拟定。</w:t>
      </w:r>
    </w:p>
    <w:p>
      <w:pPr>
        <w:pStyle w:val="23"/>
      </w:pPr>
      <w:r>
        <w:t>绩效目标：体现党对广大职工的关怀，为工会发挥职能提供有力的物质保证</w:t>
      </w:r>
    </w:p>
    <w:p>
      <w:pPr>
        <w:pStyle w:val="23"/>
      </w:pPr>
      <w:r>
        <w:t>绩效指标：对困难职工及时进行救助，救助率达到90%以上；保障相关业务的正常开展。</w:t>
      </w:r>
    </w:p>
    <w:p>
      <w:pPr>
        <w:pStyle w:val="23"/>
      </w:pPr>
      <w:r>
        <w:t>2、体现党和政府对困难职工和劳模的关怀，进一步激发广大职工及劳模的工作积极性，发挥劳模的示范引领作用。</w:t>
      </w:r>
    </w:p>
    <w:p>
      <w:pPr>
        <w:pStyle w:val="23"/>
      </w:pPr>
      <w:r>
        <w:t>绩效目标：能够让困难职工和劳模得到救助和帮扶，让困难职工摆脱贫困，让劳模精神进一步得到弘扬。</w:t>
      </w:r>
    </w:p>
    <w:p>
      <w:pPr>
        <w:pStyle w:val="23"/>
      </w:pPr>
      <w:r>
        <w:t>绩效指标：根据上级指示发放困难职工及困难劳模救助专项资金，2024年5月完成劳模体检。</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24"/>
      </w:pPr>
      <w:r>
        <w:t>加强支出管理，优化支出结构。严格按照预算执行。没预算的坚决不予支出。有预算的项目细化、量化。按照预算执行。</w:t>
      </w:r>
    </w:p>
    <w:p>
      <w:pPr>
        <w:pStyle w:val="24"/>
      </w:pPr>
      <w:r>
        <w:t>加强绩效运行监控。根据预算从拨付、使用、社会效果全程监控。发现问题及时采取措施。全部绩效目标如期保值实现。</w:t>
      </w:r>
    </w:p>
    <w:p>
      <w:pPr>
        <w:pStyle w:val="24"/>
      </w:pPr>
      <w:r>
        <w:t>做好绩效自评。根据上年度预算绩效自评和重点评价工作，在今年的预算执行中及时调整，，优化今年的支出结构，提高2024年度资金使用效益率。</w:t>
      </w:r>
    </w:p>
    <w:p>
      <w:pPr>
        <w:pStyle w:val="24"/>
      </w:pPr>
      <w:r>
        <w:t>规范财务资产管理。通过完善财务管理制度，推行内控制度，严格资金支出审批程序，加强固定资产各项管理工作，确保固定资产登记、使用和报废处置管理。</w:t>
      </w:r>
    </w:p>
    <w:p>
      <w:pPr>
        <w:pStyle w:val="24"/>
      </w:pPr>
      <w:r>
        <w:t>加强内部监督。加强财务管理内部监督制度建设，监控绩效目标的运行情况。对会计资料内部监督和审计。</w:t>
      </w:r>
    </w:p>
    <w:p>
      <w:pPr>
        <w:pStyle w:val="24"/>
      </w:pPr>
      <w:r>
        <w:t>加强培训宣传调研。加强会计人员培训和自我学习，提高财务人员素质。加强优化资金配置，提高资金使用效益。</w:t>
      </w:r>
    </w:p>
    <w:p>
      <w:pPr>
        <w:pStyle w:val="24"/>
        <w:sectPr>
          <w:pgSz w:w="16840" w:h="11900" w:orient="landscape"/>
          <w:pgMar w:top="1361" w:right="1020" w:bottom="1361" w:left="1020" w:header="720" w:footer="720" w:gutter="0"/>
          <w:cols w:space="720" w:num="1"/>
        </w:sectPr>
      </w:pPr>
      <w:r>
        <w:t>第二部分 专项资金绩效目标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1、2024年工会经费绩效目标表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13013024P00003610065X</w:t>
            </w:r>
          </w:p>
        </w:tc>
        <w:tc>
          <w:tcPr>
            <w:tcW w:w="2114" w:type="dxa"/>
            <w:vAlign w:val="center"/>
          </w:tcPr>
          <w:p>
            <w:pPr>
              <w:pStyle w:val="11"/>
            </w:pPr>
            <w:r>
              <w:t>项目名称</w:t>
            </w:r>
          </w:p>
        </w:tc>
        <w:tc>
          <w:tcPr>
            <w:tcW w:w="6342" w:type="dxa"/>
            <w:gridSpan w:val="3"/>
            <w:vAlign w:val="center"/>
          </w:tcPr>
          <w:p>
            <w:pPr>
              <w:pStyle w:val="13"/>
            </w:pPr>
            <w:r>
              <w:t>2024年工会经费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168.00</w:t>
            </w:r>
          </w:p>
        </w:tc>
        <w:tc>
          <w:tcPr>
            <w:tcW w:w="2114" w:type="dxa"/>
            <w:vAlign w:val="center"/>
          </w:tcPr>
          <w:p>
            <w:pPr>
              <w:pStyle w:val="11"/>
            </w:pPr>
            <w:r>
              <w:t>其中：财政    资金</w:t>
            </w:r>
          </w:p>
        </w:tc>
        <w:tc>
          <w:tcPr>
            <w:tcW w:w="2114" w:type="dxa"/>
            <w:vAlign w:val="center"/>
          </w:tcPr>
          <w:p>
            <w:pPr>
              <w:pStyle w:val="13"/>
            </w:pPr>
            <w:r>
              <w:t>168.00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保障正常业务开展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42.00</w:t>
            </w:r>
          </w:p>
        </w:tc>
        <w:tc>
          <w:tcPr>
            <w:tcW w:w="2114" w:type="dxa"/>
            <w:vAlign w:val="center"/>
          </w:tcPr>
          <w:p>
            <w:pPr>
              <w:pStyle w:val="14"/>
            </w:pPr>
            <w:r>
              <w:t>84.00</w:t>
            </w:r>
          </w:p>
        </w:tc>
        <w:tc>
          <w:tcPr>
            <w:tcW w:w="2114" w:type="dxa"/>
            <w:vAlign w:val="center"/>
          </w:tcPr>
          <w:p>
            <w:pPr>
              <w:pStyle w:val="14"/>
            </w:pPr>
            <w:r>
              <w:t>126.00</w:t>
            </w:r>
          </w:p>
        </w:tc>
        <w:tc>
          <w:tcPr>
            <w:tcW w:w="4228" w:type="dxa"/>
            <w:gridSpan w:val="2"/>
            <w:vAlign w:val="center"/>
          </w:tcPr>
          <w:p>
            <w:pPr>
              <w:pStyle w:val="14"/>
            </w:pPr>
            <w:r>
              <w:t>168.00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经费拨付率</w:t>
            </w:r>
          </w:p>
        </w:tc>
        <w:tc>
          <w:tcPr>
            <w:tcW w:w="4228" w:type="dxa"/>
            <w:vAlign w:val="center"/>
          </w:tcPr>
          <w:p>
            <w:pPr>
              <w:pStyle w:val="13"/>
            </w:pPr>
            <w:r>
              <w:t>实际拨付经费占应拨付经费的比例</w:t>
            </w:r>
          </w:p>
        </w:tc>
        <w:tc>
          <w:tcPr>
            <w:tcW w:w="2114" w:type="dxa"/>
            <w:vAlign w:val="center"/>
          </w:tcPr>
          <w:p>
            <w:pPr>
              <w:pStyle w:val="13"/>
            </w:pPr>
            <w:r>
              <w:t>≥100%</w:t>
            </w:r>
          </w:p>
        </w:tc>
        <w:tc>
          <w:tcPr>
            <w:tcW w:w="2114" w:type="dxa"/>
            <w:vAlign w:val="center"/>
          </w:tcPr>
          <w:p>
            <w:pPr>
              <w:pStyle w:val="13"/>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项目预算控制数</w:t>
            </w:r>
          </w:p>
        </w:tc>
        <w:tc>
          <w:tcPr>
            <w:tcW w:w="4228" w:type="dxa"/>
            <w:vAlign w:val="center"/>
          </w:tcPr>
          <w:p>
            <w:pPr>
              <w:pStyle w:val="13"/>
            </w:pPr>
            <w:r>
              <w:t>工会经费预算金额</w:t>
            </w:r>
          </w:p>
        </w:tc>
        <w:tc>
          <w:tcPr>
            <w:tcW w:w="2114" w:type="dxa"/>
            <w:vAlign w:val="center"/>
          </w:tcPr>
          <w:p>
            <w:pPr>
              <w:pStyle w:val="13"/>
            </w:pPr>
            <w:r>
              <w:t>保证工会经费及时拨付</w:t>
            </w:r>
          </w:p>
        </w:tc>
        <w:tc>
          <w:tcPr>
            <w:tcW w:w="2114" w:type="dxa"/>
            <w:vAlign w:val="center"/>
          </w:tcPr>
          <w:p>
            <w:pPr>
              <w:pStyle w:val="13"/>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经费拨付准确率</w:t>
            </w:r>
          </w:p>
        </w:tc>
        <w:tc>
          <w:tcPr>
            <w:tcW w:w="4228" w:type="dxa"/>
            <w:vAlign w:val="center"/>
          </w:tcPr>
          <w:p>
            <w:pPr>
              <w:pStyle w:val="13"/>
            </w:pPr>
            <w:r>
              <w:t>经费拨付准确程度</w:t>
            </w:r>
          </w:p>
        </w:tc>
        <w:tc>
          <w:tcPr>
            <w:tcW w:w="2114" w:type="dxa"/>
            <w:vAlign w:val="center"/>
          </w:tcPr>
          <w:p>
            <w:pPr>
              <w:pStyle w:val="13"/>
            </w:pPr>
            <w:r>
              <w:t>≥100%</w:t>
            </w:r>
          </w:p>
        </w:tc>
        <w:tc>
          <w:tcPr>
            <w:tcW w:w="2114" w:type="dxa"/>
            <w:vAlign w:val="center"/>
          </w:tcPr>
          <w:p>
            <w:pPr>
              <w:pStyle w:val="13"/>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经费拨付及时率</w:t>
            </w:r>
          </w:p>
        </w:tc>
        <w:tc>
          <w:tcPr>
            <w:tcW w:w="4228" w:type="dxa"/>
            <w:vAlign w:val="center"/>
          </w:tcPr>
          <w:p>
            <w:pPr>
              <w:pStyle w:val="13"/>
            </w:pPr>
            <w:r>
              <w:t>经费拨付及时率</w:t>
            </w:r>
          </w:p>
        </w:tc>
        <w:tc>
          <w:tcPr>
            <w:tcW w:w="2114" w:type="dxa"/>
            <w:vAlign w:val="center"/>
          </w:tcPr>
          <w:p>
            <w:pPr>
              <w:pStyle w:val="13"/>
            </w:pPr>
            <w:r>
              <w:t>≥100%</w:t>
            </w:r>
          </w:p>
        </w:tc>
        <w:tc>
          <w:tcPr>
            <w:tcW w:w="2114" w:type="dxa"/>
            <w:vAlign w:val="center"/>
          </w:tcPr>
          <w:p>
            <w:pPr>
              <w:pStyle w:val="13"/>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保持单位人员稳定</w:t>
            </w:r>
          </w:p>
        </w:tc>
        <w:tc>
          <w:tcPr>
            <w:tcW w:w="4228" w:type="dxa"/>
            <w:vAlign w:val="center"/>
          </w:tcPr>
          <w:p>
            <w:pPr>
              <w:pStyle w:val="13"/>
            </w:pPr>
            <w:r>
              <w:t>保障单位正常有序进行</w:t>
            </w:r>
          </w:p>
        </w:tc>
        <w:tc>
          <w:tcPr>
            <w:tcW w:w="2114" w:type="dxa"/>
            <w:vAlign w:val="center"/>
          </w:tcPr>
          <w:p>
            <w:pPr>
              <w:pStyle w:val="13"/>
            </w:pPr>
            <w:r>
              <w:t>保障工作稳定开展</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工作正常运转完成率</w:t>
            </w:r>
          </w:p>
        </w:tc>
        <w:tc>
          <w:tcPr>
            <w:tcW w:w="4228" w:type="dxa"/>
            <w:vAlign w:val="center"/>
          </w:tcPr>
          <w:p>
            <w:pPr>
              <w:pStyle w:val="13"/>
            </w:pPr>
            <w:r>
              <w:t>保障单位工作正常运转</w:t>
            </w:r>
          </w:p>
        </w:tc>
        <w:tc>
          <w:tcPr>
            <w:tcW w:w="2114" w:type="dxa"/>
            <w:vAlign w:val="center"/>
          </w:tcPr>
          <w:p>
            <w:pPr>
              <w:pStyle w:val="13"/>
            </w:pPr>
            <w:r>
              <w:t>保障工作正常运转</w:t>
            </w:r>
          </w:p>
        </w:tc>
        <w:tc>
          <w:tcPr>
            <w:tcW w:w="2114"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保障工作正常进行</w:t>
            </w:r>
          </w:p>
        </w:tc>
        <w:tc>
          <w:tcPr>
            <w:tcW w:w="4228" w:type="dxa"/>
            <w:vAlign w:val="center"/>
          </w:tcPr>
          <w:p>
            <w:pPr>
              <w:pStyle w:val="13"/>
            </w:pPr>
            <w:r>
              <w:t>必要的经费是保障工作正常运转的基础</w:t>
            </w:r>
          </w:p>
        </w:tc>
        <w:tc>
          <w:tcPr>
            <w:tcW w:w="2114" w:type="dxa"/>
            <w:vAlign w:val="center"/>
          </w:tcPr>
          <w:p>
            <w:pPr>
              <w:pStyle w:val="13"/>
            </w:pPr>
            <w:r>
              <w:t>实际拨付情况</w:t>
            </w:r>
          </w:p>
        </w:tc>
        <w:tc>
          <w:tcPr>
            <w:tcW w:w="2114" w:type="dxa"/>
            <w:vAlign w:val="center"/>
          </w:tcPr>
          <w:p>
            <w:pPr>
              <w:pStyle w:val="13"/>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干部职工满意度指标</w:t>
            </w:r>
          </w:p>
        </w:tc>
        <w:tc>
          <w:tcPr>
            <w:tcW w:w="4228" w:type="dxa"/>
            <w:vAlign w:val="center"/>
          </w:tcPr>
          <w:p>
            <w:pPr>
              <w:pStyle w:val="13"/>
            </w:pPr>
            <w:r>
              <w:t>保障工作正常运转</w:t>
            </w:r>
          </w:p>
        </w:tc>
        <w:tc>
          <w:tcPr>
            <w:tcW w:w="2114" w:type="dxa"/>
            <w:vAlign w:val="center"/>
          </w:tcPr>
          <w:p>
            <w:pPr>
              <w:pStyle w:val="13"/>
            </w:pPr>
            <w:r>
              <w:t>≥100%</w:t>
            </w:r>
          </w:p>
        </w:tc>
        <w:tc>
          <w:tcPr>
            <w:tcW w:w="2114" w:type="dxa"/>
            <w:vAlign w:val="center"/>
          </w:tcPr>
          <w:p>
            <w:pPr>
              <w:pStyle w:val="13"/>
            </w:pPr>
            <w:r>
              <w:t>实际拨付情况</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711无极县总工会</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无极县总工会（含所属单位）上年末固定资产金额为211.49万元（详见下表）。本年度拟购置固定资产总额为0.00万元，已按要求列入政府采购预算，详见政府采购预算表。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711无极县总工会</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1241.40</w:t>
            </w:r>
          </w:p>
        </w:tc>
        <w:tc>
          <w:tcPr>
            <w:tcW w:w="4933" w:type="dxa"/>
            <w:vAlign w:val="center"/>
          </w:tcPr>
          <w:p>
            <w:pPr>
              <w:pStyle w:val="12"/>
            </w:pPr>
            <w:r>
              <w:t>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791.40</w:t>
            </w:r>
          </w:p>
        </w:tc>
        <w:tc>
          <w:tcPr>
            <w:tcW w:w="4933" w:type="dxa"/>
            <w:vAlign w:val="center"/>
          </w:tcPr>
          <w:p>
            <w:pPr>
              <w:pStyle w:val="12"/>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19.36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36</w:t>
            </w:r>
          </w:p>
        </w:tc>
        <w:tc>
          <w:tcPr>
            <w:tcW w:w="4933" w:type="dxa"/>
            <w:vAlign w:val="center"/>
          </w:tcPr>
          <w:p>
            <w:pPr>
              <w:pStyle w:val="12"/>
            </w:pPr>
            <w:r>
              <w:t>117.31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FC3A93"/>
    <w:rsid w:val="257D3BCF"/>
    <w:rsid w:val="27740FE5"/>
    <w:rsid w:val="3516008E"/>
    <w:rsid w:val="3CE87090"/>
    <w:rsid w:val="420407A2"/>
    <w:rsid w:val="5A772767"/>
    <w:rsid w:val="797B6D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2024-02-02T09:47:16Z</dcterms:created>
  <dcterms:modified xsi:type="dcterms:W3CDTF">2024-02-02T01:47:15Z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2024-02-02T09:47:17Z</dcterms:created>
  <dcterms:modified xsi:type="dcterms:W3CDTF">2024-02-02T01:47:17Z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2024-02-02T09:47:16Z</dcterms:created>
  <dcterms:modified xsi:type="dcterms:W3CDTF">2024-02-02T01:47:16Z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2024-02-02T09:47:16Z</dcterms:created>
  <dcterms:modified xsi:type="dcterms:W3CDTF">2024-02-02T01:47:16Z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2024-02-02T09:47:16Z</dcterms:created>
  <dcterms:modified xsi:type="dcterms:W3CDTF">2024-02-02T01:47:16Z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aa29eb7-e8aa-425e-bd97-b882ae9340fb}">
  <ds:schemaRefs/>
</ds:datastoreItem>
</file>

<file path=customXml/itemProps10.xml><?xml version="1.0" encoding="utf-8"?>
<ds:datastoreItem xmlns:ds="http://schemas.openxmlformats.org/officeDocument/2006/customXml" ds:itemID="{c49ff4af-4cdf-49d5-8094-d015f297dfc1}">
  <ds:schemaRefs/>
</ds:datastoreItem>
</file>

<file path=customXml/itemProps2.xml><?xml version="1.0" encoding="utf-8"?>
<ds:datastoreItem xmlns:ds="http://schemas.openxmlformats.org/officeDocument/2006/customXml" ds:itemID="{9b154ea3-7b57-4179-9509-4796b5f9bf5b}">
  <ds:schemaRefs/>
</ds:datastoreItem>
</file>

<file path=customXml/itemProps3.xml><?xml version="1.0" encoding="utf-8"?>
<ds:datastoreItem xmlns:ds="http://schemas.openxmlformats.org/officeDocument/2006/customXml" ds:itemID="{3a79dcf0-ff22-42b3-8c35-f5c979b9f643}">
  <ds:schemaRefs/>
</ds:datastoreItem>
</file>

<file path=customXml/itemProps4.xml><?xml version="1.0" encoding="utf-8"?>
<ds:datastoreItem xmlns:ds="http://schemas.openxmlformats.org/officeDocument/2006/customXml" ds:itemID="{67c14432-ddf3-4a18-8051-4e2f4ed956c7}">
  <ds:schemaRefs/>
</ds:datastoreItem>
</file>

<file path=customXml/itemProps5.xml><?xml version="1.0" encoding="utf-8"?>
<ds:datastoreItem xmlns:ds="http://schemas.openxmlformats.org/officeDocument/2006/customXml" ds:itemID="{8a938527-e24f-43aa-92f3-c6922e01d28d}">
  <ds:schemaRefs/>
</ds:datastoreItem>
</file>

<file path=customXml/itemProps6.xml><?xml version="1.0" encoding="utf-8"?>
<ds:datastoreItem xmlns:ds="http://schemas.openxmlformats.org/officeDocument/2006/customXml" ds:itemID="{44b80afe-472f-4289-b944-4ecbba0ffdfe}">
  <ds:schemaRefs/>
</ds:datastoreItem>
</file>

<file path=customXml/itemProps7.xml><?xml version="1.0" encoding="utf-8"?>
<ds:datastoreItem xmlns:ds="http://schemas.openxmlformats.org/officeDocument/2006/customXml" ds:itemID="{363b7a23-194d-49a8-b9e6-32742c4267e1}">
  <ds:schemaRefs/>
</ds:datastoreItem>
</file>

<file path=customXml/itemProps8.xml><?xml version="1.0" encoding="utf-8"?>
<ds:datastoreItem xmlns:ds="http://schemas.openxmlformats.org/officeDocument/2006/customXml" ds:itemID="{8bac615f-e393-4ea5-9564-c32e8d6f99f0}">
  <ds:schemaRefs/>
</ds:datastoreItem>
</file>

<file path=customXml/itemProps9.xml><?xml version="1.0" encoding="utf-8"?>
<ds:datastoreItem xmlns:ds="http://schemas.openxmlformats.org/officeDocument/2006/customXml" ds:itemID="{f2aa3751-0c12-4d73-a8f3-b61581516138}">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2024-02-02T09:47:00Z</dcterms:created>
  <dc:creator>Administrator</dc:creator>
  <cp:lastModifiedBy>Administrator</cp:lastModifiedBy>
  <dcterms:modified xsi:type="dcterms:W3CDTF">2024-06-20T15:28:06Z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A9A4486054684CF9AACB52B3BE97FA1A</vt:lpwstr>
  </property>
</Properties>
</file>