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27"/>
        <w:tabs>
          <w:tab w:val="right" w:leader="dot" w:pos="14562"/>
        </w:tabs>
        <w:rPr>
          <w:rFonts w:hint="eastAsia"/>
          <w:lang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eastAsia="zh-CN"/>
        </w:rPr>
        <w:t>4</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eastAsia="zh-CN"/>
        </w:rPr>
        <w:t>5</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eastAsia="zh-CN"/>
        </w:rPr>
        <w:t>5</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rPr>
          <w:rFonts w:hint="eastAsia"/>
          <w:lang w:eastAsia="zh-CN"/>
        </w:rPr>
        <w:t>六</w:t>
      </w:r>
      <w:r>
        <w:t>、部门项目预算安排情况及绩效目标</w:t>
      </w:r>
      <w:r>
        <w:tab/>
      </w:r>
      <w:r>
        <w:fldChar w:fldCharType="begin"/>
      </w:r>
      <w:r>
        <w:instrText xml:space="preserve">PAGEREF _Toc_3_3_0000000016 \h</w:instrText>
      </w:r>
      <w:r>
        <w:fldChar w:fldCharType="separate"/>
      </w:r>
      <w:r>
        <w:t>1</w:t>
      </w:r>
      <w:r>
        <w:rPr>
          <w:rFonts w:hint="eastAsia"/>
          <w:lang w:eastAsia="zh-CN"/>
        </w:rPr>
        <w:t>9</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rPr>
          <w:rFonts w:hint="eastAsia"/>
          <w:lang w:eastAsia="zh-CN"/>
        </w:rPr>
        <w:t>七</w:t>
      </w:r>
      <w:r>
        <w:t>、政府采购预算情况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rPr>
          <w:rFonts w:hint="eastAsia"/>
          <w:lang w:eastAsia="zh-CN"/>
        </w:rPr>
        <w:t>八</w:t>
      </w:r>
      <w:r>
        <w:t>、国有资产信息</w:t>
      </w:r>
      <w:r>
        <w:tab/>
      </w:r>
      <w:r>
        <w:fldChar w:fldCharType="begin"/>
      </w:r>
      <w:r>
        <w:instrText xml:space="preserve">PAGEREF _Toc_3_3_0000000018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rPr>
          <w:rFonts w:hint="eastAsia"/>
          <w:lang w:eastAsia="zh-CN"/>
        </w:rPr>
        <w:t>九</w:t>
      </w:r>
      <w:r>
        <w:t>、名词解释</w:t>
      </w:r>
      <w:r>
        <w:tab/>
      </w:r>
      <w:r>
        <w:fldChar w:fldCharType="begin"/>
      </w:r>
      <w:r>
        <w:instrText xml:space="preserve">PAGEREF _Toc_3_3_0000000019 \h</w:instrText>
      </w:r>
      <w:r>
        <w:fldChar w:fldCharType="separate"/>
      </w:r>
      <w:r>
        <w:t>2</w:t>
      </w:r>
      <w:r>
        <w:rPr>
          <w:rFonts w:hint="eastAsia"/>
          <w:lang w:eastAsia="zh-CN"/>
        </w:rPr>
        <w:t>2</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十、其他需要说明的事项</w:t>
      </w:r>
      <w:r>
        <w:tab/>
      </w:r>
      <w:r>
        <w:fldChar w:fldCharType="begin"/>
      </w:r>
      <w:r>
        <w:instrText xml:space="preserve">PAGEREF _Toc_3_3_0000000020 \h</w:instrText>
      </w:r>
      <w:r>
        <w:fldChar w:fldCharType="separate"/>
      </w:r>
      <w:r>
        <w:t>2</w:t>
      </w:r>
      <w:r>
        <w:rPr>
          <w:rFonts w:hint="eastAsia"/>
          <w:lang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1053.44</w:t>
            </w:r>
          </w:p>
        </w:tc>
        <w:tc>
          <w:tcPr>
            <w:tcW w:w="4535" w:type="dxa"/>
            <w:vAlign w:val="center"/>
          </w:tcPr>
          <w:p>
            <w:pPr>
              <w:pStyle w:val="12"/>
            </w:pPr>
            <w:r>
              <w:t>一、一般公共服务支出</w:t>
            </w:r>
          </w:p>
        </w:tc>
        <w:tc>
          <w:tcPr>
            <w:tcW w:w="2126" w:type="dxa"/>
            <w:vAlign w:val="center"/>
          </w:tcPr>
          <w:p>
            <w:pPr>
              <w:pStyle w:val="11"/>
            </w:pPr>
            <w:r>
              <w:t>889.44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五、部门资金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1053.44</w:t>
            </w:r>
          </w:p>
        </w:tc>
        <w:tc>
          <w:tcPr>
            <w:tcW w:w="4535" w:type="dxa"/>
            <w:vAlign w:val="center"/>
          </w:tcPr>
          <w:p>
            <w:pPr>
              <w:pStyle w:val="14"/>
            </w:pPr>
            <w:r>
              <w:t>本年支出合计</w:t>
            </w:r>
          </w:p>
        </w:tc>
        <w:tc>
          <w:tcPr>
            <w:tcW w:w="2126" w:type="dxa"/>
            <w:vAlign w:val="center"/>
          </w:tcPr>
          <w:p>
            <w:pPr>
              <w:pStyle w:val="15"/>
            </w:pPr>
            <w:r>
              <w:t>1053.44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1053.44</w:t>
            </w:r>
          </w:p>
        </w:tc>
        <w:tc>
          <w:tcPr>
            <w:tcW w:w="4535" w:type="dxa"/>
            <w:vAlign w:val="center"/>
          </w:tcPr>
          <w:p>
            <w:pPr>
              <w:pStyle w:val="14"/>
            </w:pPr>
            <w:r>
              <w:t>支出总计</w:t>
            </w:r>
          </w:p>
        </w:tc>
        <w:tc>
          <w:tcPr>
            <w:tcW w:w="2126" w:type="dxa"/>
            <w:vAlign w:val="center"/>
          </w:tcPr>
          <w:p>
            <w:pPr>
              <w:pStyle w:val="15"/>
            </w:pPr>
            <w:r>
              <w:t>1053.44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附属部门上缴收入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1053.44</w:t>
            </w:r>
          </w:p>
        </w:tc>
        <w:tc>
          <w:tcPr>
            <w:tcW w:w="1134" w:type="dxa"/>
            <w:vAlign w:val="center"/>
          </w:tcPr>
          <w:p>
            <w:pPr>
              <w:pStyle w:val="15"/>
            </w:pPr>
            <w:r>
              <w:t>1053.44</w:t>
            </w:r>
          </w:p>
        </w:tc>
        <w:tc>
          <w:tcPr>
            <w:tcW w:w="1134" w:type="dxa"/>
            <w:vAlign w:val="center"/>
          </w:tcPr>
          <w:p>
            <w:pPr>
              <w:pStyle w:val="15"/>
            </w:pPr>
            <w:r>
              <w:t>1053.44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889.44</w:t>
            </w:r>
          </w:p>
        </w:tc>
        <w:tc>
          <w:tcPr>
            <w:tcW w:w="1134" w:type="dxa"/>
            <w:vAlign w:val="center"/>
          </w:tcPr>
          <w:p>
            <w:pPr>
              <w:pStyle w:val="11"/>
            </w:pPr>
            <w:r>
              <w:t>889.44</w:t>
            </w:r>
          </w:p>
        </w:tc>
        <w:tc>
          <w:tcPr>
            <w:tcW w:w="1134" w:type="dxa"/>
            <w:vAlign w:val="center"/>
          </w:tcPr>
          <w:p>
            <w:pPr>
              <w:pStyle w:val="11"/>
            </w:pPr>
            <w:r>
              <w:t>889.44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889.44</w:t>
            </w:r>
          </w:p>
        </w:tc>
        <w:tc>
          <w:tcPr>
            <w:tcW w:w="1134" w:type="dxa"/>
            <w:vAlign w:val="center"/>
          </w:tcPr>
          <w:p>
            <w:pPr>
              <w:pStyle w:val="11"/>
            </w:pPr>
            <w:r>
              <w:t>889.44</w:t>
            </w:r>
          </w:p>
        </w:tc>
        <w:tc>
          <w:tcPr>
            <w:tcW w:w="1134" w:type="dxa"/>
            <w:vAlign w:val="center"/>
          </w:tcPr>
          <w:p>
            <w:pPr>
              <w:pStyle w:val="11"/>
            </w:pPr>
            <w:r>
              <w:t>889.44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879.44</w:t>
            </w:r>
          </w:p>
        </w:tc>
        <w:tc>
          <w:tcPr>
            <w:tcW w:w="1134" w:type="dxa"/>
            <w:vAlign w:val="center"/>
          </w:tcPr>
          <w:p>
            <w:pPr>
              <w:pStyle w:val="11"/>
            </w:pPr>
            <w:r>
              <w:t>879.44</w:t>
            </w:r>
          </w:p>
        </w:tc>
        <w:tc>
          <w:tcPr>
            <w:tcW w:w="1134" w:type="dxa"/>
            <w:vAlign w:val="center"/>
          </w:tcPr>
          <w:p>
            <w:pPr>
              <w:pStyle w:val="11"/>
            </w:pPr>
            <w:r>
              <w:t>879.44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2011199</w:t>
            </w:r>
          </w:p>
        </w:tc>
        <w:tc>
          <w:tcPr>
            <w:tcW w:w="1559" w:type="dxa"/>
            <w:vAlign w:val="center"/>
          </w:tcPr>
          <w:p>
            <w:pPr>
              <w:pStyle w:val="12"/>
            </w:pPr>
            <w:r>
              <w:t>其他纪检监察事务支出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119.00</w:t>
            </w:r>
          </w:p>
        </w:tc>
        <w:tc>
          <w:tcPr>
            <w:tcW w:w="1134" w:type="dxa"/>
            <w:vAlign w:val="center"/>
          </w:tcPr>
          <w:p>
            <w:pPr>
              <w:pStyle w:val="11"/>
            </w:pPr>
            <w:r>
              <w:t>119.00</w:t>
            </w:r>
          </w:p>
        </w:tc>
        <w:tc>
          <w:tcPr>
            <w:tcW w:w="1134" w:type="dxa"/>
            <w:vAlign w:val="center"/>
          </w:tcPr>
          <w:p>
            <w:pPr>
              <w:pStyle w:val="11"/>
            </w:pPr>
            <w:r>
              <w:t>119.00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行政事业部门养老支出</w:t>
            </w:r>
          </w:p>
        </w:tc>
        <w:tc>
          <w:tcPr>
            <w:tcW w:w="1134" w:type="dxa"/>
            <w:vAlign w:val="center"/>
          </w:tcPr>
          <w:p>
            <w:pPr>
              <w:pStyle w:val="11"/>
            </w:pPr>
            <w:r>
              <w:t>119.00</w:t>
            </w:r>
          </w:p>
        </w:tc>
        <w:tc>
          <w:tcPr>
            <w:tcW w:w="1134" w:type="dxa"/>
            <w:vAlign w:val="center"/>
          </w:tcPr>
          <w:p>
            <w:pPr>
              <w:pStyle w:val="11"/>
            </w:pPr>
            <w:r>
              <w:t>119.00</w:t>
            </w:r>
          </w:p>
        </w:tc>
        <w:tc>
          <w:tcPr>
            <w:tcW w:w="1134" w:type="dxa"/>
            <w:vAlign w:val="center"/>
          </w:tcPr>
          <w:p>
            <w:pPr>
              <w:pStyle w:val="11"/>
            </w:pPr>
            <w:r>
              <w:t>119.00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机关事业部门基本养老保险缴费支出</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机关事业部门职业年金缴费支出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行政事业部门医疗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行政部门医疗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对附属部门补助支出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1053.44</w:t>
            </w:r>
          </w:p>
        </w:tc>
        <w:tc>
          <w:tcPr>
            <w:tcW w:w="1361" w:type="dxa"/>
            <w:vAlign w:val="center"/>
          </w:tcPr>
          <w:p>
            <w:pPr>
              <w:pStyle w:val="15"/>
            </w:pPr>
            <w:r>
              <w:t>995.44</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889.44</w:t>
            </w:r>
          </w:p>
        </w:tc>
        <w:tc>
          <w:tcPr>
            <w:tcW w:w="1361" w:type="dxa"/>
            <w:vAlign w:val="center"/>
          </w:tcPr>
          <w:p>
            <w:pPr>
              <w:pStyle w:val="11"/>
            </w:pPr>
            <w:r>
              <w:t>831.44</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889.44</w:t>
            </w:r>
          </w:p>
        </w:tc>
        <w:tc>
          <w:tcPr>
            <w:tcW w:w="1361" w:type="dxa"/>
            <w:vAlign w:val="center"/>
          </w:tcPr>
          <w:p>
            <w:pPr>
              <w:pStyle w:val="11"/>
            </w:pPr>
            <w:r>
              <w:t>831.44</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879.44</w:t>
            </w:r>
          </w:p>
        </w:tc>
        <w:tc>
          <w:tcPr>
            <w:tcW w:w="1361" w:type="dxa"/>
            <w:vAlign w:val="center"/>
          </w:tcPr>
          <w:p>
            <w:pPr>
              <w:pStyle w:val="11"/>
            </w:pPr>
            <w:r>
              <w:t>831.44</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2011199</w:t>
            </w:r>
          </w:p>
        </w:tc>
        <w:tc>
          <w:tcPr>
            <w:tcW w:w="4535" w:type="dxa"/>
            <w:vAlign w:val="center"/>
          </w:tcPr>
          <w:p>
            <w:pPr>
              <w:pStyle w:val="12"/>
            </w:pPr>
            <w:r>
              <w:t>其他纪检监察事务支出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119.00</w:t>
            </w:r>
          </w:p>
        </w:tc>
        <w:tc>
          <w:tcPr>
            <w:tcW w:w="1361" w:type="dxa"/>
            <w:vAlign w:val="center"/>
          </w:tcPr>
          <w:p>
            <w:pPr>
              <w:pStyle w:val="11"/>
            </w:pPr>
            <w:r>
              <w:t>119.00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行政事业部门养老支出</w:t>
            </w:r>
          </w:p>
        </w:tc>
        <w:tc>
          <w:tcPr>
            <w:tcW w:w="1361" w:type="dxa"/>
            <w:vAlign w:val="center"/>
          </w:tcPr>
          <w:p>
            <w:pPr>
              <w:pStyle w:val="11"/>
            </w:pPr>
            <w:r>
              <w:t>119.00</w:t>
            </w:r>
          </w:p>
        </w:tc>
        <w:tc>
          <w:tcPr>
            <w:tcW w:w="1361" w:type="dxa"/>
            <w:vAlign w:val="center"/>
          </w:tcPr>
          <w:p>
            <w:pPr>
              <w:pStyle w:val="11"/>
            </w:pPr>
            <w:r>
              <w:t>119.00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机关事业部门基本养老保险缴费支出</w:t>
            </w:r>
          </w:p>
        </w:tc>
        <w:tc>
          <w:tcPr>
            <w:tcW w:w="1361" w:type="dxa"/>
            <w:vAlign w:val="center"/>
          </w:tcPr>
          <w:p>
            <w:pPr>
              <w:pStyle w:val="11"/>
            </w:pPr>
            <w:r>
              <w:t>101.00</w:t>
            </w:r>
          </w:p>
        </w:tc>
        <w:tc>
          <w:tcPr>
            <w:tcW w:w="1361" w:type="dxa"/>
            <w:vAlign w:val="center"/>
          </w:tcPr>
          <w:p>
            <w:pPr>
              <w:pStyle w:val="11"/>
            </w:pPr>
            <w:r>
              <w:t>101.00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机关事业部门职业年金缴费支出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行政事业部门医疗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行政部门医疗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1053.44</w:t>
            </w:r>
          </w:p>
        </w:tc>
        <w:tc>
          <w:tcPr>
            <w:tcW w:w="3402" w:type="dxa"/>
            <w:vAlign w:val="center"/>
          </w:tcPr>
          <w:p>
            <w:pPr>
              <w:pStyle w:val="12"/>
            </w:pPr>
            <w:r>
              <w:t>一、一般公共服务支出</w:t>
            </w:r>
          </w:p>
        </w:tc>
        <w:tc>
          <w:tcPr>
            <w:tcW w:w="1474" w:type="dxa"/>
            <w:vAlign w:val="center"/>
          </w:tcPr>
          <w:p>
            <w:pPr>
              <w:pStyle w:val="11"/>
            </w:pPr>
            <w:r>
              <w:t>889.44</w:t>
            </w:r>
          </w:p>
        </w:tc>
        <w:tc>
          <w:tcPr>
            <w:tcW w:w="1474" w:type="dxa"/>
            <w:vAlign w:val="center"/>
          </w:tcPr>
          <w:p>
            <w:pPr>
              <w:pStyle w:val="11"/>
            </w:pPr>
            <w:r>
              <w:t>889.44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119.00</w:t>
            </w:r>
          </w:p>
        </w:tc>
        <w:tc>
          <w:tcPr>
            <w:tcW w:w="1474" w:type="dxa"/>
            <w:vAlign w:val="center"/>
          </w:tcPr>
          <w:p>
            <w:pPr>
              <w:pStyle w:val="11"/>
            </w:pPr>
            <w:r>
              <w:t>119.00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1053.44</w:t>
            </w:r>
          </w:p>
        </w:tc>
        <w:tc>
          <w:tcPr>
            <w:tcW w:w="3402" w:type="dxa"/>
            <w:vAlign w:val="center"/>
          </w:tcPr>
          <w:p>
            <w:pPr>
              <w:pStyle w:val="14"/>
            </w:pPr>
            <w:r>
              <w:t>本年支出合计</w:t>
            </w:r>
          </w:p>
        </w:tc>
        <w:tc>
          <w:tcPr>
            <w:tcW w:w="1474" w:type="dxa"/>
            <w:vAlign w:val="center"/>
          </w:tcPr>
          <w:p>
            <w:pPr>
              <w:pStyle w:val="15"/>
            </w:pPr>
            <w:r>
              <w:t>1053.44</w:t>
            </w:r>
          </w:p>
        </w:tc>
        <w:tc>
          <w:tcPr>
            <w:tcW w:w="1474" w:type="dxa"/>
            <w:vAlign w:val="center"/>
          </w:tcPr>
          <w:p>
            <w:pPr>
              <w:pStyle w:val="15"/>
            </w:pPr>
            <w:r>
              <w:t>1053.44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1053.44</w:t>
            </w:r>
          </w:p>
        </w:tc>
        <w:tc>
          <w:tcPr>
            <w:tcW w:w="3402" w:type="dxa"/>
            <w:vAlign w:val="center"/>
          </w:tcPr>
          <w:p>
            <w:pPr>
              <w:pStyle w:val="14"/>
            </w:pPr>
            <w:r>
              <w:t>支出总计</w:t>
            </w:r>
          </w:p>
        </w:tc>
        <w:tc>
          <w:tcPr>
            <w:tcW w:w="1474" w:type="dxa"/>
            <w:vAlign w:val="center"/>
          </w:tcPr>
          <w:p>
            <w:pPr>
              <w:pStyle w:val="15"/>
            </w:pPr>
            <w:r>
              <w:t>1053.44</w:t>
            </w:r>
          </w:p>
        </w:tc>
        <w:tc>
          <w:tcPr>
            <w:tcW w:w="1474" w:type="dxa"/>
            <w:vAlign w:val="center"/>
          </w:tcPr>
          <w:p>
            <w:pPr>
              <w:pStyle w:val="15"/>
            </w:pPr>
            <w:r>
              <w:t>1053.44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1053.44</w:t>
            </w:r>
          </w:p>
        </w:tc>
        <w:tc>
          <w:tcPr>
            <w:tcW w:w="2551" w:type="dxa"/>
            <w:vAlign w:val="center"/>
          </w:tcPr>
          <w:p>
            <w:pPr>
              <w:pStyle w:val="15"/>
            </w:pPr>
            <w:r>
              <w:t>995.44</w:t>
            </w:r>
          </w:p>
        </w:tc>
        <w:tc>
          <w:tcPr>
            <w:tcW w:w="2551"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889.44</w:t>
            </w:r>
          </w:p>
        </w:tc>
        <w:tc>
          <w:tcPr>
            <w:tcW w:w="2551" w:type="dxa"/>
            <w:vAlign w:val="center"/>
          </w:tcPr>
          <w:p>
            <w:pPr>
              <w:pStyle w:val="11"/>
            </w:pPr>
            <w:r>
              <w:t>831.44</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889.44</w:t>
            </w:r>
          </w:p>
        </w:tc>
        <w:tc>
          <w:tcPr>
            <w:tcW w:w="2551" w:type="dxa"/>
            <w:vAlign w:val="center"/>
          </w:tcPr>
          <w:p>
            <w:pPr>
              <w:pStyle w:val="11"/>
            </w:pPr>
            <w:r>
              <w:t>831.44</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879.44</w:t>
            </w:r>
          </w:p>
        </w:tc>
        <w:tc>
          <w:tcPr>
            <w:tcW w:w="2551" w:type="dxa"/>
            <w:vAlign w:val="center"/>
          </w:tcPr>
          <w:p>
            <w:pPr>
              <w:pStyle w:val="11"/>
            </w:pPr>
            <w:r>
              <w:t>831.44</w:t>
            </w:r>
          </w:p>
        </w:tc>
        <w:tc>
          <w:tcPr>
            <w:tcW w:w="2551"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2011199</w:t>
            </w:r>
          </w:p>
        </w:tc>
        <w:tc>
          <w:tcPr>
            <w:tcW w:w="4535" w:type="dxa"/>
            <w:vAlign w:val="center"/>
          </w:tcPr>
          <w:p>
            <w:pPr>
              <w:pStyle w:val="12"/>
            </w:pPr>
            <w:r>
              <w:t>其他纪检监察事务支出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119.00</w:t>
            </w:r>
          </w:p>
        </w:tc>
        <w:tc>
          <w:tcPr>
            <w:tcW w:w="2551" w:type="dxa"/>
            <w:vAlign w:val="center"/>
          </w:tcPr>
          <w:p>
            <w:pPr>
              <w:pStyle w:val="11"/>
            </w:pPr>
            <w:r>
              <w:t>119.00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行政事业部门养老支出</w:t>
            </w:r>
          </w:p>
        </w:tc>
        <w:tc>
          <w:tcPr>
            <w:tcW w:w="2551" w:type="dxa"/>
            <w:vAlign w:val="center"/>
          </w:tcPr>
          <w:p>
            <w:pPr>
              <w:pStyle w:val="11"/>
            </w:pPr>
            <w:r>
              <w:t>119.00</w:t>
            </w:r>
          </w:p>
        </w:tc>
        <w:tc>
          <w:tcPr>
            <w:tcW w:w="2551" w:type="dxa"/>
            <w:vAlign w:val="center"/>
          </w:tcPr>
          <w:p>
            <w:pPr>
              <w:pStyle w:val="11"/>
            </w:pPr>
            <w:r>
              <w:t>119.00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机关事业部门基本养老保险缴费支出</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机关事业部门职业年金缴费支出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行政事业部门医疗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行政部门医疗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995.44</w:t>
            </w:r>
          </w:p>
        </w:tc>
        <w:tc>
          <w:tcPr>
            <w:tcW w:w="2551" w:type="dxa"/>
            <w:vAlign w:val="center"/>
          </w:tcPr>
          <w:p>
            <w:pPr>
              <w:pStyle w:val="15"/>
            </w:pPr>
            <w:r>
              <w:t>748.44</w:t>
            </w:r>
          </w:p>
        </w:tc>
        <w:tc>
          <w:tcPr>
            <w:tcW w:w="2551" w:type="dxa"/>
            <w:vAlign w:val="center"/>
          </w:tcPr>
          <w:p>
            <w:pPr>
              <w:pStyle w:val="15"/>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676.00</w:t>
            </w:r>
          </w:p>
        </w:tc>
        <w:tc>
          <w:tcPr>
            <w:tcW w:w="2551" w:type="dxa"/>
            <w:vAlign w:val="center"/>
          </w:tcPr>
          <w:p>
            <w:pPr>
              <w:pStyle w:val="11"/>
            </w:pPr>
            <w:r>
              <w:t>676.00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155.00</w:t>
            </w:r>
          </w:p>
        </w:tc>
        <w:tc>
          <w:tcPr>
            <w:tcW w:w="2551" w:type="dxa"/>
            <w:vAlign w:val="center"/>
          </w:tcPr>
          <w:p>
            <w:pPr>
              <w:pStyle w:val="11"/>
            </w:pPr>
            <w:r>
              <w:t>155.00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机关事业部门基本养老保险缴费</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247.00</w:t>
            </w:r>
          </w:p>
        </w:tc>
        <w:tc>
          <w:tcPr>
            <w:tcW w:w="2551" w:type="dxa"/>
            <w:vAlign w:val="center"/>
          </w:tcPr>
          <w:p>
            <w:pPr>
              <w:pStyle w:val="11"/>
            </w:pPr>
          </w:p>
        </w:tc>
        <w:tc>
          <w:tcPr>
            <w:tcW w:w="2551" w:type="dxa"/>
            <w:vAlign w:val="center"/>
          </w:tcPr>
          <w:p>
            <w:pPr>
              <w:pStyle w:val="11"/>
            </w:pPr>
            <w:r>
              <w:t>247.00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76.00</w:t>
            </w:r>
          </w:p>
        </w:tc>
        <w:tc>
          <w:tcPr>
            <w:tcW w:w="2551" w:type="dxa"/>
            <w:vAlign w:val="center"/>
          </w:tcPr>
          <w:p>
            <w:pPr>
              <w:pStyle w:val="11"/>
            </w:pPr>
          </w:p>
        </w:tc>
        <w:tc>
          <w:tcPr>
            <w:tcW w:w="2551"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72.44</w:t>
            </w:r>
          </w:p>
        </w:tc>
        <w:tc>
          <w:tcPr>
            <w:tcW w:w="2551" w:type="dxa"/>
            <w:vAlign w:val="center"/>
          </w:tcPr>
          <w:p>
            <w:pPr>
              <w:pStyle w:val="11"/>
            </w:pPr>
            <w:r>
              <w:t>72.44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14.44</w:t>
            </w:r>
          </w:p>
        </w:tc>
        <w:tc>
          <w:tcPr>
            <w:tcW w:w="2551" w:type="dxa"/>
            <w:vAlign w:val="center"/>
          </w:tcPr>
          <w:p>
            <w:pPr>
              <w:pStyle w:val="11"/>
            </w:pPr>
            <w:r>
              <w:t>14.44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21.00</w:t>
            </w:r>
          </w:p>
        </w:tc>
        <w:tc>
          <w:tcPr>
            <w:tcW w:w="2381" w:type="dxa"/>
            <w:vAlign w:val="center"/>
          </w:tcPr>
          <w:p>
            <w:pPr>
              <w:pStyle w:val="15"/>
            </w:pPr>
            <w:r>
              <w:t>21.00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21.00</w:t>
            </w:r>
          </w:p>
        </w:tc>
        <w:tc>
          <w:tcPr>
            <w:tcW w:w="2381" w:type="dxa"/>
            <w:vAlign w:val="center"/>
          </w:tcPr>
          <w:p>
            <w:pPr>
              <w:pStyle w:val="11"/>
            </w:pPr>
            <w:r>
              <w:t>21.00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21.00</w:t>
            </w:r>
          </w:p>
        </w:tc>
        <w:tc>
          <w:tcPr>
            <w:tcW w:w="2381" w:type="dxa"/>
            <w:vAlign w:val="center"/>
          </w:tcPr>
          <w:p>
            <w:pPr>
              <w:pStyle w:val="11"/>
            </w:pPr>
            <w:r>
              <w:t>21.00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21.00</w:t>
            </w:r>
          </w:p>
        </w:tc>
        <w:tc>
          <w:tcPr>
            <w:tcW w:w="2381" w:type="dxa"/>
            <w:vAlign w:val="center"/>
          </w:tcPr>
          <w:p>
            <w:pPr>
              <w:pStyle w:val="11"/>
            </w:pPr>
            <w:r>
              <w:t>21.00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中国共产党无极县纪律检查委员会2024年部门预算信息公开情况说明</w:t>
      </w:r>
    </w:p>
    <w:p>
      <w:pPr>
        <w:jc w:val="center"/>
      </w:pPr>
      <w:r>
        <w:rPr>
          <w:rFonts w:ascii="方正小标宋_GBK" w:hAnsi="方正小标宋_GBK" w:eastAsia="方正小标宋_GBK" w:cs="方正小标宋_GBK"/>
          <w:color w:val="000000"/>
          <w:sz w:val="44"/>
        </w:rPr>
        <w:t>中国共产党无极县纪律检查委员会2024年部门预算信息公开情况说明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按照《中华人民共和国预算法》、《地方预决算公开操作规程》和《关于进一步推进预算公开工作的实施意见》规定，现将中国共产党无极县纪律检查委员会2024年部门预算公开如下：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部门名称</w:t>
            </w:r>
          </w:p>
        </w:tc>
        <w:tc>
          <w:tcPr>
            <w:tcW w:w="1843" w:type="dxa"/>
            <w:vAlign w:val="center"/>
          </w:tcPr>
          <w:p>
            <w:pPr>
              <w:pStyle w:val="10"/>
            </w:pPr>
            <w:r>
              <w:t>部门性质</w:t>
            </w:r>
          </w:p>
        </w:tc>
        <w:tc>
          <w:tcPr>
            <w:tcW w:w="2126" w:type="dxa"/>
            <w:vAlign w:val="center"/>
          </w:tcPr>
          <w:p>
            <w:pPr>
              <w:pStyle w:val="10"/>
            </w:pPr>
            <w:r>
              <w:t>部门规格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按照预算管理有关规定，目前部门预算的编制实行综合预算管理，即全部收入和支出都反映在预算中。中国共产党无极县纪律检查委员会机关及所属事业部门的收支包含在部门预算中。</w:t>
      </w:r>
    </w:p>
    <w:p>
      <w:pPr>
        <w:pStyle w:val="18"/>
      </w:pPr>
      <w:r>
        <w:t>1、收入说明</w:t>
      </w:r>
    </w:p>
    <w:p>
      <w:pPr>
        <w:pStyle w:val="18"/>
      </w:pPr>
      <w:r>
        <w:t>反映本部门当年全部收入。2024年预算收入1053.44万元，其中：一般公共预算收入1053.44万元，基金预算收入0.00万元，国有资本经营预算收入0.00万元，财政专户核拨收入0.00万元，部门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纪律检查委员会年度部门预算中支出预算的总体情况。2024年支出预算1053.44万元，其中基本支出995.44万元，包括人员经费748.44万元和日常公用经费247.00万元；项目支出58.00万元，主要为2024乡镇纪委经费33.00万元，2024中央政法纪检监察转移支付资金10.00万元，2024廉政文化宣传经费15.00万元。</w:t>
      </w:r>
    </w:p>
    <w:p>
      <w:pPr>
        <w:pStyle w:val="18"/>
      </w:pPr>
      <w:r>
        <w:t>3、比上年增减情况</w:t>
      </w:r>
    </w:p>
    <w:p>
      <w:pPr>
        <w:pStyle w:val="18"/>
        <w:rPr>
          <w:rFonts w:hint="default" w:eastAsia="方正仿宋_GBK"/>
          <w:lang w:val="en-US" w:eastAsia="zh-CN"/>
        </w:rPr>
      </w:pPr>
      <w:bookmarkStart w:id="11" w:name="_Toc_3_3_0000000012"/>
      <w:r>
        <w:t>2024年预算收支安排1053.44万元，较2023年预算减少173.86万元，其中：基本支出减少138.86万元，</w:t>
      </w:r>
      <w:r>
        <w:rPr>
          <w:rFonts w:hint="eastAsia"/>
          <w:lang w:val="en-US" w:eastAsia="zh-CN"/>
        </w:rPr>
        <w:t>主要为人员经费减少169.86万元，公用经费增加31万元。</w:t>
      </w:r>
      <w:r>
        <w:rPr>
          <w:color w:val="000000" w:themeColor="text1"/>
        </w:rPr>
        <w:t>项目支</w:t>
      </w:r>
      <w:r>
        <w:t>出减少</w:t>
      </w:r>
      <w:r>
        <w:rPr>
          <w:rFonts w:hint="eastAsia"/>
          <w:lang w:val="en-US" w:eastAsia="zh-CN"/>
        </w:rPr>
        <w:t>35</w:t>
      </w:r>
      <w:r>
        <w:t>万元，主要为2024年度</w:t>
      </w:r>
      <w:r>
        <w:rPr>
          <w:rFonts w:hint="eastAsia"/>
          <w:lang w:val="en-US" w:eastAsia="zh-CN"/>
        </w:rPr>
        <w:t>不再存在</w:t>
      </w:r>
      <w:r>
        <w:t>巡察项目经费</w:t>
      </w:r>
      <w:r>
        <w:rPr>
          <w:rFonts w:hint="eastAsia"/>
          <w:lang w:val="en-US" w:eastAsia="zh-CN"/>
        </w:rPr>
        <w:t>60.00万元</w:t>
      </w:r>
      <w:r>
        <w:t>，巡查办独立编制预算，不再纳入我</w:t>
      </w:r>
      <w:r>
        <w:rPr>
          <w:rFonts w:hint="eastAsia" w:eastAsiaTheme="minorEastAsia"/>
          <w:lang w:eastAsia="zh-CN"/>
        </w:rPr>
        <w:t>部门</w:t>
      </w:r>
      <w:r>
        <w:t>预算编制范围</w:t>
      </w:r>
      <w:r>
        <w:rPr>
          <w:rFonts w:hint="eastAsia"/>
          <w:lang w:eastAsia="zh-CN"/>
        </w:rPr>
        <w:t>，</w:t>
      </w:r>
      <w:r>
        <w:rPr>
          <w:rFonts w:hint="eastAsia"/>
          <w:lang w:val="en-US" w:eastAsia="zh-CN"/>
        </w:rPr>
        <w:t>新增廉政文化宣传经费15.00万元和中央转移支付10万元。</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19"/>
      </w:pPr>
      <w:r>
        <w:t>2024年，我部门机关运行经费共计安排</w:t>
      </w:r>
      <w:r>
        <w:rPr>
          <w:rFonts w:hint="eastAsia"/>
          <w:lang w:eastAsia="zh-CN"/>
        </w:rPr>
        <w:t>247</w:t>
      </w:r>
      <w:r>
        <w:t>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lang w:eastAsia="zh-CN"/>
        </w:rPr>
      </w:pPr>
      <w:r>
        <w:t>2024年，我部门财政拨款“三公”经费预算安排</w:t>
      </w:r>
      <w:r>
        <w:rPr>
          <w:rFonts w:hint="eastAsia"/>
          <w:lang w:eastAsia="zh-CN"/>
        </w:rPr>
        <w:t>21</w:t>
      </w:r>
      <w:r>
        <w:t>万元，其中：因公出国（境）费0万元；公务用车购置及运维费3万元（其中：公务用车购置费0万元，公务用车运行维护费</w:t>
      </w:r>
      <w:r>
        <w:rPr>
          <w:rFonts w:hint="eastAsia"/>
          <w:lang w:eastAsia="zh-CN"/>
        </w:rPr>
        <w:t>21</w:t>
      </w:r>
      <w:r>
        <w:t>万元)；公务接待费</w:t>
      </w:r>
      <w:r>
        <w:rPr>
          <w:rFonts w:hint="eastAsia"/>
          <w:lang w:eastAsia="zh-CN"/>
        </w:rPr>
        <w:t>0</w:t>
      </w:r>
      <w:r>
        <w:t>万元。“三公”经费</w:t>
      </w:r>
      <w:r>
        <w:rPr>
          <w:rFonts w:hint="eastAsia"/>
          <w:lang w:eastAsia="zh-CN"/>
        </w:rPr>
        <w:t>较上年减少7万元，原因为我单位本年度无公车购置、</w:t>
      </w:r>
      <w:r>
        <w:rPr>
          <w:rFonts w:hint="eastAsia"/>
          <w:lang w:val="en-US" w:eastAsia="zh-CN"/>
        </w:rPr>
        <w:t>无公务接待费</w:t>
      </w:r>
      <w:r>
        <w:rPr>
          <w:rFonts w:hint="eastAsia"/>
          <w:lang w:eastAsia="zh-CN"/>
        </w:rP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部门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spacing w:line="500" w:lineRule="exact"/>
        <w:ind w:firstLine="560"/>
      </w:pPr>
      <w:r>
        <w:rPr>
          <w:rFonts w:eastAsia="方正仿宋_GBK"/>
          <w:color w:val="000000"/>
          <w:sz w:val="28"/>
        </w:rPr>
        <w:t>（二）分项绩效目标</w:t>
      </w:r>
    </w:p>
    <w:p>
      <w:pPr>
        <w:pStyle w:val="22"/>
      </w:pPr>
      <w:r>
        <w:rPr>
          <w:rFonts w:hint="eastAsia"/>
          <w:lang w:val="en-US" w:eastAsia="zh-CN"/>
        </w:rPr>
        <w:t>1、</w:t>
      </w:r>
      <w:r>
        <w:t>加大纪律检查工作力度，促进党风廉政建设。</w:t>
      </w:r>
    </w:p>
    <w:p>
      <w:pPr>
        <w:pStyle w:val="22"/>
      </w:pPr>
      <w:r>
        <w:t>绩效目标：负责全县党的纪律检查工作</w:t>
      </w:r>
    </w:p>
    <w:p>
      <w:pPr>
        <w:pStyle w:val="22"/>
      </w:pPr>
      <w:r>
        <w:t>绩效指标：增加纪律检查次数，每月不少于2次</w:t>
      </w:r>
    </w:p>
    <w:p>
      <w:pPr>
        <w:pStyle w:val="22"/>
      </w:pPr>
      <w:r>
        <w:rPr>
          <w:rFonts w:hint="eastAsia"/>
          <w:lang w:val="en-US" w:eastAsia="zh-CN"/>
        </w:rPr>
        <w:t>2、</w:t>
      </w:r>
      <w:r>
        <w:t>加大对违法违纪案件查处力度，做好反腐败工作</w:t>
      </w:r>
    </w:p>
    <w:p>
      <w:pPr>
        <w:pStyle w:val="22"/>
      </w:pPr>
      <w:r>
        <w:t>绩效目标：依照党的章程和其他党内法规履行监督、执纪、问责职责</w:t>
      </w:r>
    </w:p>
    <w:p>
      <w:pPr>
        <w:pStyle w:val="22"/>
      </w:pPr>
      <w:r>
        <w:t>绩效指标：违法违纪案件办结率≥70%</w:t>
      </w:r>
    </w:p>
    <w:p>
      <w:pPr>
        <w:pStyle w:val="22"/>
      </w:pPr>
      <w:r>
        <w:rPr>
          <w:rFonts w:hint="eastAsia"/>
          <w:lang w:val="en-US" w:eastAsia="zh-CN"/>
        </w:rPr>
        <w:t>3、</w:t>
      </w:r>
      <w:r>
        <w:t>支持配合巡视、巡察工作</w:t>
      </w:r>
    </w:p>
    <w:p>
      <w:pPr>
        <w:pStyle w:val="22"/>
      </w:pPr>
      <w:r>
        <w:t>绩效目标：承担巡视、巡察整改日常监督责任，做好巡视、巡察整改督察督办工作，依规依纪依法处置巡视、巡察移交的反映领导干部问题线索。</w:t>
      </w:r>
    </w:p>
    <w:p>
      <w:pPr>
        <w:pStyle w:val="22"/>
      </w:pPr>
      <w:r>
        <w:t>绩效指标：巡察巡视次数≥2次</w:t>
      </w:r>
    </w:p>
    <w:p>
      <w:pPr>
        <w:pStyle w:val="22"/>
      </w:pPr>
      <w:r>
        <w:rPr>
          <w:rFonts w:hint="eastAsia"/>
          <w:lang w:val="en-US" w:eastAsia="zh-CN"/>
        </w:rPr>
        <w:t>4、</w:t>
      </w:r>
      <w:r>
        <w:t>加大监察力度，开展廉政建设和反腐败工作。</w:t>
      </w:r>
    </w:p>
    <w:p>
      <w:pPr>
        <w:pStyle w:val="22"/>
      </w:pPr>
      <w:r>
        <w:t>绩效目标：负责全县监察工作</w:t>
      </w:r>
    </w:p>
    <w:p>
      <w:pPr>
        <w:pStyle w:val="22"/>
      </w:pPr>
      <w:r>
        <w:t>绩效指标：职务违法和职务犯罪案件办结率≥60%</w:t>
      </w:r>
    </w:p>
    <w:p>
      <w:pPr>
        <w:pStyle w:val="22"/>
      </w:pPr>
      <w:r>
        <w:t>（三）工作保障措施</w:t>
      </w:r>
    </w:p>
    <w:p>
      <w:pPr>
        <w:pStyle w:val="22"/>
      </w:pPr>
      <w:r>
        <w:t>无极县纪律检查委员会部门预测可能存在的问题、环境变化的趋势，为实现年度本部门绩效目标，采取以下措施预做准备，控制偏差，保证计划目标的实现。</w:t>
      </w:r>
    </w:p>
    <w:p>
      <w:pPr>
        <w:pStyle w:val="22"/>
      </w:pPr>
      <w:r>
        <w:t>完善制度建设。制定了完善的预算绩效管理制度。制定了合理规范的工作方案，制定了严密的资金管理办法，严格按照预算执行，严把审核关，为全年预算绩效目标的实现奠定制度基础。</w:t>
      </w:r>
    </w:p>
    <w:p>
      <w:pPr>
        <w:pStyle w:val="22"/>
      </w:pPr>
      <w:r>
        <w:t>加强支出管理。通过优化支出结构、编细编实预算、加快履行政府采购手续、尽快启动项目、及时支付资金、6月底前细化代编预算、按规定及时下达资金等多种措施，确保支出进度达标。</w:t>
      </w:r>
    </w:p>
    <w:p>
      <w:pPr>
        <w:pStyle w:val="22"/>
      </w:pPr>
      <w:r>
        <w:t>加强绩效运行监控。按要求开展绩效运行监控，发现问题及时采取措施，确保绩效目标如期保质实现。</w:t>
      </w:r>
    </w:p>
    <w:p>
      <w:pPr>
        <w:pStyle w:val="22"/>
      </w:pPr>
      <w:r>
        <w:t>做好绩效自评。按要求开展上年度部门预算绩效自评和重点评价工作，对评价中发现的问题及时整改，调整优化支出结构，提高财政资金使用效益。</w:t>
      </w:r>
    </w:p>
    <w:p>
      <w:pPr>
        <w:pStyle w:val="22"/>
      </w:pPr>
      <w:r>
        <w:t>规范财务资产管理。完善财务管理制度，严格审批程序，加强固定资产登记、使用和报废处置管理，做到支出合理，物尽其用。</w:t>
      </w:r>
    </w:p>
    <w:p>
      <w:pPr>
        <w:pStyle w:val="22"/>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2"/>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outlineLvl w:val="2"/>
        <w:rPr>
          <w:rFonts w:hint="eastAsia" w:ascii="黑体" w:hAnsi="黑体" w:eastAsia="黑体" w:cs="黑体"/>
          <w:color w:val="000000"/>
          <w:sz w:val="32"/>
          <w:lang w:val="en-US" w:eastAsia="zh-CN"/>
        </w:rPr>
        <w:sectPr>
          <w:type w:val="continuous"/>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bookmarkStart w:id="20" w:name="_GoBack"/>
      <w:bookmarkEnd w:id="20"/>
      <w:r>
        <w:rPr>
          <w:rFonts w:ascii="方正仿宋_GBK" w:hAnsi="方正仿宋_GBK" w:eastAsia="方正仿宋_GBK" w:cs="方正仿宋_GBK"/>
          <w:color w:val="000000"/>
          <w:sz w:val="28"/>
        </w:rPr>
        <w:t>1、2024廉政文化宣传经费绩效目标表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rPr>
                <w:rFonts w:hint="eastAsia"/>
                <w:lang w:val="en-US"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13013024P00003610162C</w:t>
            </w:r>
          </w:p>
        </w:tc>
        <w:tc>
          <w:tcPr>
            <w:tcW w:w="2835" w:type="dxa"/>
            <w:vAlign w:val="center"/>
          </w:tcPr>
          <w:p>
            <w:pPr>
              <w:pStyle w:val="10"/>
            </w:pPr>
            <w:r>
              <w:t>项目名称</w:t>
            </w:r>
          </w:p>
        </w:tc>
        <w:tc>
          <w:tcPr>
            <w:tcW w:w="6094" w:type="dxa"/>
            <w:gridSpan w:val="3"/>
            <w:vAlign w:val="center"/>
          </w:tcPr>
          <w:p>
            <w:pPr>
              <w:pStyle w:val="12"/>
            </w:pPr>
            <w:r>
              <w:t>2024廉政文化宣传经费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2024廉政文化宣传经费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观看人数</w:t>
            </w:r>
          </w:p>
        </w:tc>
        <w:tc>
          <w:tcPr>
            <w:tcW w:w="5386" w:type="dxa"/>
            <w:vAlign w:val="center"/>
          </w:tcPr>
          <w:p>
            <w:pPr>
              <w:pStyle w:val="12"/>
            </w:pPr>
            <w:r>
              <w:t>观看微电影人数不低于1万人</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观众观看满意度</w:t>
            </w:r>
          </w:p>
        </w:tc>
        <w:tc>
          <w:tcPr>
            <w:tcW w:w="5386" w:type="dxa"/>
            <w:vAlign w:val="center"/>
          </w:tcPr>
          <w:p>
            <w:pPr>
              <w:pStyle w:val="12"/>
            </w:pPr>
            <w:r>
              <w:t>观众观看满意度达到全部好评</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观看时效</w:t>
            </w:r>
          </w:p>
        </w:tc>
        <w:tc>
          <w:tcPr>
            <w:tcW w:w="5386" w:type="dxa"/>
            <w:vAlign w:val="center"/>
          </w:tcPr>
          <w:p>
            <w:pPr>
              <w:pStyle w:val="12"/>
            </w:pPr>
            <w:r>
              <w:t>每小时内观看人数不低于1百人</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不超过预算成本</w:t>
            </w:r>
          </w:p>
        </w:tc>
        <w:tc>
          <w:tcPr>
            <w:tcW w:w="2268" w:type="dxa"/>
            <w:vAlign w:val="center"/>
          </w:tcPr>
          <w:p>
            <w:pPr>
              <w:pStyle w:val="12"/>
            </w:pPr>
            <w:r>
              <w:t>≤100%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传播廉洁文化</w:t>
            </w:r>
          </w:p>
        </w:tc>
        <w:tc>
          <w:tcPr>
            <w:tcW w:w="5386" w:type="dxa"/>
            <w:vAlign w:val="center"/>
          </w:tcPr>
          <w:p>
            <w:pPr>
              <w:pStyle w:val="12"/>
            </w:pPr>
            <w:r>
              <w:t>有效让群众了解廉洁文化</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深化廉洁观念</w:t>
            </w:r>
          </w:p>
        </w:tc>
        <w:tc>
          <w:tcPr>
            <w:tcW w:w="5386" w:type="dxa"/>
            <w:vAlign w:val="center"/>
          </w:tcPr>
          <w:p>
            <w:pPr>
              <w:pStyle w:val="12"/>
            </w:pPr>
            <w:r>
              <w:t>使廉洁观念深入人心</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上级文件</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rPr>
                <w:rFonts w:hint="eastAsia"/>
                <w:lang w:val="en-US"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13013023P000036100540</w:t>
            </w:r>
          </w:p>
        </w:tc>
        <w:tc>
          <w:tcPr>
            <w:tcW w:w="2835" w:type="dxa"/>
            <w:vAlign w:val="center"/>
          </w:tcPr>
          <w:p>
            <w:pPr>
              <w:pStyle w:val="10"/>
            </w:pPr>
            <w:r>
              <w:t>项目名称</w:t>
            </w:r>
          </w:p>
        </w:tc>
        <w:tc>
          <w:tcPr>
            <w:tcW w:w="6094" w:type="dxa"/>
            <w:gridSpan w:val="3"/>
            <w:vAlign w:val="center"/>
          </w:tcPr>
          <w:p>
            <w:pPr>
              <w:pStyle w:val="12"/>
            </w:pPr>
            <w:r>
              <w:t>2024年中央政法纪检监察转移支付资金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2.50</w:t>
            </w:r>
          </w:p>
        </w:tc>
        <w:tc>
          <w:tcPr>
            <w:tcW w:w="2551" w:type="dxa"/>
            <w:vAlign w:val="center"/>
          </w:tcPr>
          <w:p>
            <w:pPr>
              <w:pStyle w:val="13"/>
            </w:pPr>
            <w:r>
              <w:t>2.50</w:t>
            </w:r>
          </w:p>
        </w:tc>
        <w:tc>
          <w:tcPr>
            <w:tcW w:w="3543" w:type="dxa"/>
            <w:gridSpan w:val="2"/>
            <w:vAlign w:val="center"/>
          </w:tcPr>
          <w:p>
            <w:pPr>
              <w:pStyle w:val="13"/>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按照任务数量完成要求</w:t>
            </w:r>
          </w:p>
        </w:tc>
        <w:tc>
          <w:tcPr>
            <w:tcW w:w="5386" w:type="dxa"/>
            <w:vAlign w:val="center"/>
          </w:tcPr>
          <w:p>
            <w:pPr>
              <w:pStyle w:val="12"/>
            </w:pPr>
            <w:r>
              <w:t>案件完成量</w:t>
            </w:r>
          </w:p>
        </w:tc>
        <w:tc>
          <w:tcPr>
            <w:tcW w:w="2268" w:type="dxa"/>
            <w:vAlign w:val="center"/>
          </w:tcPr>
          <w:p>
            <w:pPr>
              <w:pStyle w:val="12"/>
            </w:pPr>
            <w:r>
              <w:t>≥95案件完成量</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按照任务质量完成要求</w:t>
            </w:r>
          </w:p>
        </w:tc>
        <w:tc>
          <w:tcPr>
            <w:tcW w:w="5386" w:type="dxa"/>
            <w:vAlign w:val="center"/>
          </w:tcPr>
          <w:p>
            <w:pPr>
              <w:pStyle w:val="12"/>
            </w:pPr>
            <w:r>
              <w:t>办案业务、业务设施的质量</w:t>
            </w:r>
          </w:p>
        </w:tc>
        <w:tc>
          <w:tcPr>
            <w:tcW w:w="2268" w:type="dxa"/>
            <w:vAlign w:val="center"/>
          </w:tcPr>
          <w:p>
            <w:pPr>
              <w:pStyle w:val="12"/>
            </w:pPr>
            <w:r>
              <w:t>≥96办案业务、业务设施的质量</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按照任务完成时效</w:t>
            </w:r>
          </w:p>
        </w:tc>
        <w:tc>
          <w:tcPr>
            <w:tcW w:w="5386" w:type="dxa"/>
            <w:vAlign w:val="center"/>
          </w:tcPr>
          <w:p>
            <w:pPr>
              <w:pStyle w:val="12"/>
            </w:pPr>
            <w:r>
              <w:t>各项任务完成时效率</w:t>
            </w:r>
          </w:p>
        </w:tc>
        <w:tc>
          <w:tcPr>
            <w:tcW w:w="2268" w:type="dxa"/>
            <w:vAlign w:val="center"/>
          </w:tcPr>
          <w:p>
            <w:pPr>
              <w:pStyle w:val="12"/>
            </w:pPr>
            <w:r>
              <w:t>≥95各项任务完成时效率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严格控制各项开支</w:t>
            </w:r>
          </w:p>
        </w:tc>
        <w:tc>
          <w:tcPr>
            <w:tcW w:w="2268" w:type="dxa"/>
            <w:vAlign w:val="center"/>
          </w:tcPr>
          <w:p>
            <w:pPr>
              <w:pStyle w:val="12"/>
            </w:pPr>
            <w:r>
              <w:t>≥95严格控制各项开支</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取得经济效益最大化</w:t>
            </w:r>
          </w:p>
        </w:tc>
        <w:tc>
          <w:tcPr>
            <w:tcW w:w="5386" w:type="dxa"/>
            <w:vAlign w:val="center"/>
          </w:tcPr>
          <w:p>
            <w:pPr>
              <w:pStyle w:val="12"/>
            </w:pPr>
            <w:r>
              <w:t>取得经济效益最大化</w:t>
            </w:r>
          </w:p>
        </w:tc>
        <w:tc>
          <w:tcPr>
            <w:tcW w:w="2268" w:type="dxa"/>
            <w:vAlign w:val="center"/>
          </w:tcPr>
          <w:p>
            <w:pPr>
              <w:pStyle w:val="12"/>
            </w:pPr>
            <w:r>
              <w:t>≥95取得经济效益最大化</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发挥社会效益最大化</w:t>
            </w:r>
          </w:p>
        </w:tc>
        <w:tc>
          <w:tcPr>
            <w:tcW w:w="5386" w:type="dxa"/>
            <w:vAlign w:val="center"/>
          </w:tcPr>
          <w:p>
            <w:pPr>
              <w:pStyle w:val="12"/>
            </w:pPr>
            <w:r>
              <w:t>发挥社会效益最大化</w:t>
            </w:r>
          </w:p>
        </w:tc>
        <w:tc>
          <w:tcPr>
            <w:tcW w:w="2268" w:type="dxa"/>
            <w:vAlign w:val="center"/>
          </w:tcPr>
          <w:p>
            <w:pPr>
              <w:pStyle w:val="12"/>
            </w:pPr>
            <w:r>
              <w:t>≥95发挥社会效益最大化</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持续推进生态效益</w:t>
            </w:r>
          </w:p>
        </w:tc>
        <w:tc>
          <w:tcPr>
            <w:tcW w:w="5386" w:type="dxa"/>
            <w:vAlign w:val="center"/>
          </w:tcPr>
          <w:p>
            <w:pPr>
              <w:pStyle w:val="12"/>
            </w:pPr>
            <w:r>
              <w:t>持续推进生态效益</w:t>
            </w:r>
          </w:p>
        </w:tc>
        <w:tc>
          <w:tcPr>
            <w:tcW w:w="2268" w:type="dxa"/>
            <w:vAlign w:val="center"/>
          </w:tcPr>
          <w:p>
            <w:pPr>
              <w:pStyle w:val="12"/>
            </w:pPr>
            <w:r>
              <w:t>≥95持续推进生态效益</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保持可持续发展</w:t>
            </w:r>
          </w:p>
        </w:tc>
        <w:tc>
          <w:tcPr>
            <w:tcW w:w="5386" w:type="dxa"/>
            <w:vAlign w:val="center"/>
          </w:tcPr>
          <w:p>
            <w:pPr>
              <w:pStyle w:val="12"/>
            </w:pPr>
            <w:r>
              <w:t>保持可持续发展</w:t>
            </w:r>
          </w:p>
        </w:tc>
        <w:tc>
          <w:tcPr>
            <w:tcW w:w="2268" w:type="dxa"/>
            <w:vAlign w:val="center"/>
          </w:tcPr>
          <w:p>
            <w:pPr>
              <w:pStyle w:val="12"/>
            </w:pPr>
            <w:r>
              <w:t>≥95保持可持续发展</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3、2024乡镇纪委经费绩效目标表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rPr>
                <w:rFonts w:hint="eastAsia"/>
                <w:lang w:val="en-US"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13013024P00003610161Q</w:t>
            </w:r>
          </w:p>
        </w:tc>
        <w:tc>
          <w:tcPr>
            <w:tcW w:w="2835" w:type="dxa"/>
            <w:vAlign w:val="center"/>
          </w:tcPr>
          <w:p>
            <w:pPr>
              <w:pStyle w:val="10"/>
            </w:pPr>
            <w:r>
              <w:t>项目名称</w:t>
            </w:r>
          </w:p>
        </w:tc>
        <w:tc>
          <w:tcPr>
            <w:tcW w:w="6094" w:type="dxa"/>
            <w:gridSpan w:val="3"/>
            <w:vAlign w:val="center"/>
          </w:tcPr>
          <w:p>
            <w:pPr>
              <w:pStyle w:val="12"/>
            </w:pPr>
            <w:r>
              <w:t>2024乡镇纪委经费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w:t>
            </w:r>
          </w:p>
        </w:tc>
        <w:tc>
          <w:tcPr>
            <w:tcW w:w="2835" w:type="dxa"/>
            <w:vAlign w:val="center"/>
          </w:tcPr>
          <w:p>
            <w:pPr>
              <w:pStyle w:val="10"/>
            </w:pPr>
            <w:r>
              <w:t>其中：财政    资金</w:t>
            </w:r>
          </w:p>
        </w:tc>
        <w:tc>
          <w:tcPr>
            <w:tcW w:w="2551" w:type="dxa"/>
            <w:vAlign w:val="center"/>
          </w:tcPr>
          <w:p>
            <w:pPr>
              <w:pStyle w:val="12"/>
            </w:pPr>
            <w:r>
              <w:t>33.00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2024乡镇纪委经费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8.25</w:t>
            </w:r>
          </w:p>
        </w:tc>
        <w:tc>
          <w:tcPr>
            <w:tcW w:w="2835" w:type="dxa"/>
            <w:vAlign w:val="center"/>
          </w:tcPr>
          <w:p>
            <w:pPr>
              <w:pStyle w:val="13"/>
            </w:pPr>
            <w:r>
              <w:t>16.50</w:t>
            </w:r>
          </w:p>
        </w:tc>
        <w:tc>
          <w:tcPr>
            <w:tcW w:w="2551" w:type="dxa"/>
            <w:vAlign w:val="center"/>
          </w:tcPr>
          <w:p>
            <w:pPr>
              <w:pStyle w:val="13"/>
            </w:pPr>
            <w:r>
              <w:t>24.75</w:t>
            </w:r>
          </w:p>
        </w:tc>
        <w:tc>
          <w:tcPr>
            <w:tcW w:w="3543" w:type="dxa"/>
            <w:gridSpan w:val="2"/>
            <w:vAlign w:val="center"/>
          </w:tcPr>
          <w:p>
            <w:pPr>
              <w:pStyle w:val="13"/>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监督覆盖率</w:t>
            </w:r>
          </w:p>
        </w:tc>
        <w:tc>
          <w:tcPr>
            <w:tcW w:w="5386" w:type="dxa"/>
            <w:vAlign w:val="center"/>
          </w:tcPr>
          <w:p>
            <w:pPr>
              <w:pStyle w:val="12"/>
            </w:pPr>
            <w:r>
              <w:t>纪检监察监督覆盖率</w:t>
            </w:r>
          </w:p>
        </w:tc>
        <w:tc>
          <w:tcPr>
            <w:tcW w:w="2268" w:type="dxa"/>
            <w:vAlign w:val="center"/>
          </w:tcPr>
          <w:p>
            <w:pPr>
              <w:pStyle w:val="12"/>
            </w:pPr>
            <w:r>
              <w:t>乡镇纪委全年监督检查覆盖比例</w:t>
            </w:r>
          </w:p>
          <w:p>
            <w:pPr>
              <w:pStyle w:val="12"/>
            </w:pP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优良率</w:t>
            </w:r>
          </w:p>
        </w:tc>
        <w:tc>
          <w:tcPr>
            <w:tcW w:w="5386" w:type="dxa"/>
            <w:vAlign w:val="center"/>
          </w:tcPr>
          <w:p>
            <w:pPr>
              <w:pStyle w:val="12"/>
            </w:pPr>
            <w:r>
              <w:t>办案效果优良率</w:t>
            </w:r>
          </w:p>
        </w:tc>
        <w:tc>
          <w:tcPr>
            <w:tcW w:w="2268" w:type="dxa"/>
            <w:vAlign w:val="center"/>
          </w:tcPr>
          <w:p>
            <w:pPr>
              <w:pStyle w:val="12"/>
            </w:pPr>
            <w:r>
              <w:t>乡镇纪委全年办案效果影响比例</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全年案件线索查结完成率</w:t>
            </w:r>
          </w:p>
        </w:tc>
        <w:tc>
          <w:tcPr>
            <w:tcW w:w="2268" w:type="dxa"/>
            <w:vAlign w:val="center"/>
          </w:tcPr>
          <w:p>
            <w:pPr>
              <w:pStyle w:val="12"/>
            </w:pPr>
            <w:r>
              <w:t>全年案件线索查结比例</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乡镇办公经费成本控制率(%)</w:t>
            </w:r>
          </w:p>
        </w:tc>
        <w:tc>
          <w:tcPr>
            <w:tcW w:w="2268" w:type="dxa"/>
            <w:vAlign w:val="center"/>
          </w:tcPr>
          <w:p>
            <w:pPr>
              <w:pStyle w:val="12"/>
            </w:pPr>
            <w:r>
              <w:t>乡镇办公经费控制比例</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带动相关领域及行业效益</w:t>
            </w:r>
          </w:p>
        </w:tc>
        <w:tc>
          <w:tcPr>
            <w:tcW w:w="5386" w:type="dxa"/>
            <w:vAlign w:val="center"/>
          </w:tcPr>
          <w:p>
            <w:pPr>
              <w:pStyle w:val="12"/>
            </w:pPr>
            <w:r>
              <w:t>提高乡镇纪委工作效率</w:t>
            </w:r>
          </w:p>
        </w:tc>
        <w:tc>
          <w:tcPr>
            <w:tcW w:w="2268" w:type="dxa"/>
            <w:vAlign w:val="center"/>
          </w:tcPr>
          <w:p>
            <w:pPr>
              <w:pStyle w:val="12"/>
            </w:pPr>
            <w:r>
              <w:t>乡镇纪委提升乡镇政治生态影响率</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提升乡镇纪委的社会影响力</w:t>
            </w:r>
          </w:p>
        </w:tc>
        <w:tc>
          <w:tcPr>
            <w:tcW w:w="2268" w:type="dxa"/>
            <w:vAlign w:val="center"/>
          </w:tcPr>
          <w:p>
            <w:pPr>
              <w:pStyle w:val="12"/>
            </w:pPr>
            <w:r>
              <w:t>乡镇纪委监督检查的社会认可度</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增强乡镇纪委的影响力</w:t>
            </w:r>
          </w:p>
        </w:tc>
        <w:tc>
          <w:tcPr>
            <w:tcW w:w="2268" w:type="dxa"/>
            <w:vAlign w:val="center"/>
          </w:tcPr>
          <w:p>
            <w:pPr>
              <w:pStyle w:val="12"/>
            </w:pPr>
            <w:r>
              <w:t>增强乡镇纪委的社会影响力。</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乡镇纪委监督检查工作群众满意度情况</w:t>
            </w:r>
          </w:p>
        </w:tc>
        <w:tc>
          <w:tcPr>
            <w:tcW w:w="1276" w:type="dxa"/>
            <w:vAlign w:val="center"/>
          </w:tcPr>
          <w:p>
            <w:pPr>
              <w:pStyle w:val="12"/>
            </w:pPr>
            <w:r>
              <w:t>往年标准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7710" w:type="dxa"/>
            <w:gridSpan w:val="8"/>
            <w:tcBorders>
              <w:top w:val="single" w:color="FFFFFF" w:sz="6" w:space="0"/>
              <w:left w:val="single" w:color="FFFFFF" w:sz="6" w:space="0"/>
              <w:right w:val="single" w:color="FFFFFF" w:sz="6" w:space="0"/>
            </w:tcBorders>
            <w:vAlign w:val="center"/>
          </w:tcPr>
          <w:p>
            <w:pPr>
              <w:pStyle w:val="24"/>
            </w:pPr>
            <w:r>
              <w:rPr>
                <w:rFonts w:hint="eastAsia"/>
                <w:lang w:val="en-US"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部门</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部门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7"/>
    </w:p>
    <w:p>
      <w:pPr>
        <w:spacing w:line="500" w:lineRule="exact"/>
        <w:ind w:firstLine="560"/>
      </w:pPr>
      <w:r>
        <w:rPr>
          <w:rFonts w:eastAsia="方正仿宋_GBK"/>
          <w:color w:val="000000"/>
          <w:sz w:val="28"/>
        </w:rPr>
        <w:t>中国共产党无极县纪律检查委员会（含所属部门）上年末固定资产金额为0.00万元（详见下表）。本年度拟购置固定资产总额为0.00万元。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222中国共产党无极县纪律检查委员会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价值（金额部门：万元）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8" w:name="_Toc_3_3_0000000019"/>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部门资金收入：</w:t>
      </w:r>
      <w:r>
        <w:rPr>
          <w:rFonts w:eastAsia="方正仿宋_GBK"/>
          <w:color w:val="000000"/>
          <w:sz w:val="28"/>
        </w:rPr>
        <w:t>指除财政拨款收入和财政专户管理资金以外的收入，包括事业收入（不含教育收费）、上级补助收入、附属部门上缴收入、事业部门经营收入及其他收入，其中，其他收入主要包括债务收入、投资收益等。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指事业部门开展专业业务活动及辅助活动所取得的收入。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事业部门经营收入：</w:t>
      </w:r>
      <w:r>
        <w:rPr>
          <w:rFonts w:eastAsia="方正仿宋_GBK"/>
          <w:color w:val="000000"/>
          <w:sz w:val="28"/>
        </w:rPr>
        <w:t>指事业部门在专业业务活动及其辅助活动之外开展非独立核算经营活动取得的收入。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事业部门经营支出：</w:t>
      </w:r>
      <w:r>
        <w:rPr>
          <w:rFonts w:eastAsia="方正仿宋_GBK"/>
          <w:color w:val="000000"/>
          <w:sz w:val="28"/>
        </w:rPr>
        <w:t>指事业部门在专业业务活动及其辅助活动之外开展非独立核算经营活动发生的支出。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部门）用财政拨款安排的因公出国（境）费、公务用车购置及运维费和公务接待费。其中，因公出国（境）费反映部门公务出国（境）的住宿费、旅费、伙食补助费、杂费、培训费等支出；公务用车购置及运维费反映部门公务用车购置支出（含车辆购置税、牌照费）及按规定保留的公务用车燃料费、维修费、过路过桥费、保险费、安全奖励费用等支出；公务接待费反映部门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5BB4D9"/>
    <w:multiLevelType w:val="singleLevel"/>
    <w:tmpl w:val="4A5BB4D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czMzY0YmZhZjk2OTQwNTY2ZTllOTYxZGYwYmI4MmYifQ=="/>
  </w:docVars>
  <w:rsids>
    <w:rsidRoot w:val="00DA2EEF"/>
    <w:rsid w:val="00004F50"/>
    <w:rsid w:val="0004368B"/>
    <w:rsid w:val="00220ED0"/>
    <w:rsid w:val="00370AD4"/>
    <w:rsid w:val="004B2F78"/>
    <w:rsid w:val="004C2539"/>
    <w:rsid w:val="005721AB"/>
    <w:rsid w:val="00700CF3"/>
    <w:rsid w:val="0091139B"/>
    <w:rsid w:val="009438FC"/>
    <w:rsid w:val="00946E22"/>
    <w:rsid w:val="00DA2EEF"/>
    <w:rsid w:val="00E85793"/>
    <w:rsid w:val="00F21B82"/>
    <w:rsid w:val="00FD07AC"/>
    <w:rsid w:val="14071ED6"/>
    <w:rsid w:val="3EDA6016"/>
    <w:rsid w:val="54DC6441"/>
    <w:rsid w:val="58754A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2024-01-31T18:20:46Z</dcterms:created>
  <dcterms:modified xsi:type="dcterms:W3CDTF">2024-01-31T10:20:46Z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2024-01-31T18:20:46Z</dcterms:created>
  <dcterms:modified xsi:type="dcterms:W3CDTF">2024-01-31T10:20:46Z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2024-01-31T18:20:47Z</dcterms:created>
  <dcterms:modified xsi:type="dcterms:W3CDTF">2024-01-31T10:20:47Z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2024-01-31T18:20:47Z</dcterms:created>
  <dcterms:modified xsi:type="dcterms:W3CDTF">2024-01-31T10:20:47Z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2024-01-31T18:20:48Z</dcterms:created>
  <dcterms:modified xsi:type="dcterms:W3CDTF">2024-01-31T10:20:48Z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2024-01-31T18:20:46Z</dcterms:created>
  <dcterms:modified xsi:type="dcterms:W3CDTF">2024-01-31T10:20:46Z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2024-01-31T18:20:47Z</dcterms:created>
  <dcterms:modified xsi:type="dcterms:W3CDTF">2024-01-31T10:20:47Z</dcterms:modified>
</cp:coreProperties>
</file>

<file path=customXml/itemProps1.xml><?xml version="1.0" encoding="utf-8"?>
<ds:datastoreItem xmlns:ds="http://schemas.openxmlformats.org/officeDocument/2006/customXml" ds:itemID="{C6F2045E-D225-47D9-A2DC-C1D2EF7A147A}">
  <ds:schemaRefs/>
</ds:datastoreItem>
</file>

<file path=customXml/itemProps10.xml><?xml version="1.0" encoding="utf-8"?>
<ds:datastoreItem xmlns:ds="http://schemas.openxmlformats.org/officeDocument/2006/customXml" ds:itemID="{F3396DE0-29FD-4488-B8A1-0816A5FBEA7A}">
  <ds:schemaRefs/>
</ds:datastoreItem>
</file>

<file path=customXml/itemProps11.xml><?xml version="1.0" encoding="utf-8"?>
<ds:datastoreItem xmlns:ds="http://schemas.openxmlformats.org/officeDocument/2006/customXml" ds:itemID="{F93B0AE5-5F79-4D22-B63B-7787988110E2}">
  <ds:schemaRefs/>
</ds:datastoreItem>
</file>

<file path=customXml/itemProps12.xml><?xml version="1.0" encoding="utf-8"?>
<ds:datastoreItem xmlns:ds="http://schemas.openxmlformats.org/officeDocument/2006/customXml" ds:itemID="{0CFE4316-852E-46CC-9F8F-59B7B69C335F}">
  <ds:schemaRefs/>
</ds:datastoreItem>
</file>

<file path=customXml/itemProps13.xml><?xml version="1.0" encoding="utf-8"?>
<ds:datastoreItem xmlns:ds="http://schemas.openxmlformats.org/officeDocument/2006/customXml" ds:itemID="{51E0AE9E-5F28-4D5C-9A6D-2F4CC9B6E604}">
  <ds:schemaRefs/>
</ds:datastoreItem>
</file>

<file path=customXml/itemProps14.xml><?xml version="1.0" encoding="utf-8"?>
<ds:datastoreItem xmlns:ds="http://schemas.openxmlformats.org/officeDocument/2006/customXml" ds:itemID="{A56CBB6F-01FA-486F-B2A3-73C0F42DC619}">
  <ds:schemaRefs/>
</ds:datastoreItem>
</file>

<file path=customXml/itemProps2.xml><?xml version="1.0" encoding="utf-8"?>
<ds:datastoreItem xmlns:ds="http://schemas.openxmlformats.org/officeDocument/2006/customXml" ds:itemID="{73134A29-6A62-43CC-8DD6-26892E0FE7A9}">
  <ds:schemaRefs/>
</ds:datastoreItem>
</file>

<file path=customXml/itemProps3.xml><?xml version="1.0" encoding="utf-8"?>
<ds:datastoreItem xmlns:ds="http://schemas.openxmlformats.org/officeDocument/2006/customXml" ds:itemID="{E3261DC6-5FF4-4AAE-9AED-A1E5D48BAF3E}">
  <ds:schemaRefs/>
</ds:datastoreItem>
</file>

<file path=customXml/itemProps4.xml><?xml version="1.0" encoding="utf-8"?>
<ds:datastoreItem xmlns:ds="http://schemas.openxmlformats.org/officeDocument/2006/customXml" ds:itemID="{947A2384-934F-4513-8CDF-F04D29D60518}">
  <ds:schemaRefs/>
</ds:datastoreItem>
</file>

<file path=customXml/itemProps5.xml><?xml version="1.0" encoding="utf-8"?>
<ds:datastoreItem xmlns:ds="http://schemas.openxmlformats.org/officeDocument/2006/customXml" ds:itemID="{67A93653-1500-4AB3-886E-0F76245F65CF}">
  <ds:schemaRefs/>
</ds:datastoreItem>
</file>

<file path=customXml/itemProps6.xml><?xml version="1.0" encoding="utf-8"?>
<ds:datastoreItem xmlns:ds="http://schemas.openxmlformats.org/officeDocument/2006/customXml" ds:itemID="{65F75879-92B6-46C1-88B4-4D80C8E8B0A5}">
  <ds:schemaRefs/>
</ds:datastoreItem>
</file>

<file path=customXml/itemProps7.xml><?xml version="1.0" encoding="utf-8"?>
<ds:datastoreItem xmlns:ds="http://schemas.openxmlformats.org/officeDocument/2006/customXml" ds:itemID="{978F5DB6-F95B-4D6E-935F-47B7439F27CD}">
  <ds:schemaRefs/>
</ds:datastoreItem>
</file>

<file path=customXml/itemProps8.xml><?xml version="1.0" encoding="utf-8"?>
<ds:datastoreItem xmlns:ds="http://schemas.openxmlformats.org/officeDocument/2006/customXml" ds:itemID="{9EF584C3-CA07-45D0-8EA6-3E45E63FD930}">
  <ds:schemaRefs/>
</ds:datastoreItem>
</file>

<file path=customXml/itemProps9.xml><?xml version="1.0" encoding="utf-8"?>
<ds:datastoreItem xmlns:ds="http://schemas.openxmlformats.org/officeDocument/2006/customXml" ds:itemID="{1D46A0D7-E685-4BF7-B04A-02313EAFDEF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25</Pages>
  <Words>1964</Words>
  <Characters>11197</Characters>
  <Lines>93</Lines>
  <Paragraphs>26</Paragraphs>
  <TotalTime>0</TotalTime>
  <ScaleCrop>false</ScaleCrop>
  <LinksUpToDate>false</LinksUpToDate>
  <CharactersWithSpaces>13135</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2024-01-31T10:16:00Z</dcterms:created>
  <dc:creator>Administrator</dc:creator>
  <cp:lastModifiedBy>李润泽</cp:lastModifiedBy>
  <cp:lastPrinted>2024-01-31T10:21:00Z</cp:lastPrinted>
  <dcterms:modified xsi:type="dcterms:W3CDTF">2024-02-04T07:49:05Z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A69E86960DC441BAA7B70E146611D876_12</vt:lpwstr>
  </property>
</Properties>
</file>