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319无极县审计局本级</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723.00</w:t>
            </w:r>
          </w:p>
        </w:tc>
        <w:tc>
          <w:tcPr>
            <w:tcW w:w="4535" w:type="dxa"/>
            <w:vAlign w:val="center"/>
          </w:tcPr>
          <w:p>
            <w:pPr>
              <w:pStyle w:val="13"/>
            </w:pPr>
            <w:r>
              <w:t>一、一般公共服务支出</w:t>
            </w:r>
          </w:p>
        </w:tc>
        <w:tc>
          <w:tcPr>
            <w:tcW w:w="2126" w:type="dxa"/>
            <w:vAlign w:val="center"/>
          </w:tcPr>
          <w:p>
            <w:pPr>
              <w:pStyle w:val="12"/>
            </w:pPr>
            <w:r>
              <w:t>642.00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723.00</w:t>
            </w:r>
          </w:p>
        </w:tc>
        <w:tc>
          <w:tcPr>
            <w:tcW w:w="4535" w:type="dxa"/>
            <w:vAlign w:val="center"/>
          </w:tcPr>
          <w:p>
            <w:pPr>
              <w:pStyle w:val="15"/>
            </w:pPr>
            <w:r>
              <w:t>本年支出合计</w:t>
            </w:r>
          </w:p>
        </w:tc>
        <w:tc>
          <w:tcPr>
            <w:tcW w:w="2126" w:type="dxa"/>
            <w:vAlign w:val="center"/>
          </w:tcPr>
          <w:p>
            <w:pPr>
              <w:pStyle w:val="16"/>
            </w:pPr>
            <w:r>
              <w:t>723.00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723.00</w:t>
            </w:r>
          </w:p>
        </w:tc>
        <w:tc>
          <w:tcPr>
            <w:tcW w:w="4535" w:type="dxa"/>
            <w:vAlign w:val="center"/>
          </w:tcPr>
          <w:p>
            <w:pPr>
              <w:pStyle w:val="15"/>
            </w:pPr>
            <w:r>
              <w:t>支出总计</w:t>
            </w:r>
          </w:p>
        </w:tc>
        <w:tc>
          <w:tcPr>
            <w:tcW w:w="2126" w:type="dxa"/>
            <w:vAlign w:val="center"/>
          </w:tcPr>
          <w:p>
            <w:pPr>
              <w:pStyle w:val="16"/>
            </w:pPr>
            <w:r>
              <w:t>723.00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319无极县审计局本级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723.00</w:t>
            </w:r>
          </w:p>
        </w:tc>
        <w:tc>
          <w:tcPr>
            <w:tcW w:w="1134" w:type="dxa"/>
            <w:vAlign w:val="center"/>
          </w:tcPr>
          <w:p>
            <w:pPr>
              <w:pStyle w:val="16"/>
            </w:pPr>
            <w:r>
              <w:t>723.00</w:t>
            </w:r>
          </w:p>
        </w:tc>
        <w:tc>
          <w:tcPr>
            <w:tcW w:w="1134" w:type="dxa"/>
            <w:vAlign w:val="center"/>
          </w:tcPr>
          <w:p>
            <w:pPr>
              <w:pStyle w:val="16"/>
            </w:pPr>
            <w:r>
              <w:t>723.00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642.00</w:t>
            </w:r>
          </w:p>
        </w:tc>
        <w:tc>
          <w:tcPr>
            <w:tcW w:w="1134" w:type="dxa"/>
            <w:vAlign w:val="center"/>
          </w:tcPr>
          <w:p>
            <w:pPr>
              <w:pStyle w:val="12"/>
            </w:pPr>
            <w:r>
              <w:t>642.00</w:t>
            </w:r>
          </w:p>
        </w:tc>
        <w:tc>
          <w:tcPr>
            <w:tcW w:w="1134" w:type="dxa"/>
            <w:vAlign w:val="center"/>
          </w:tcPr>
          <w:p>
            <w:pPr>
              <w:pStyle w:val="12"/>
            </w:pPr>
            <w:r>
              <w:t>642.00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20108</w:t>
            </w:r>
          </w:p>
        </w:tc>
        <w:tc>
          <w:tcPr>
            <w:tcW w:w="1559" w:type="dxa"/>
            <w:vAlign w:val="center"/>
          </w:tcPr>
          <w:p>
            <w:pPr>
              <w:pStyle w:val="13"/>
            </w:pPr>
            <w:r>
              <w:t>审计事务</w:t>
            </w:r>
          </w:p>
        </w:tc>
        <w:tc>
          <w:tcPr>
            <w:tcW w:w="1134" w:type="dxa"/>
            <w:vAlign w:val="center"/>
          </w:tcPr>
          <w:p>
            <w:pPr>
              <w:pStyle w:val="12"/>
            </w:pPr>
            <w:r>
              <w:t>642.00</w:t>
            </w:r>
          </w:p>
        </w:tc>
        <w:tc>
          <w:tcPr>
            <w:tcW w:w="1134" w:type="dxa"/>
            <w:vAlign w:val="center"/>
          </w:tcPr>
          <w:p>
            <w:pPr>
              <w:pStyle w:val="12"/>
            </w:pPr>
            <w:r>
              <w:t>642.00</w:t>
            </w:r>
          </w:p>
        </w:tc>
        <w:tc>
          <w:tcPr>
            <w:tcW w:w="1134" w:type="dxa"/>
            <w:vAlign w:val="center"/>
          </w:tcPr>
          <w:p>
            <w:pPr>
              <w:pStyle w:val="12"/>
            </w:pPr>
            <w:r>
              <w:t>642.00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2010801</w:t>
            </w:r>
          </w:p>
        </w:tc>
        <w:tc>
          <w:tcPr>
            <w:tcW w:w="1559" w:type="dxa"/>
            <w:vAlign w:val="center"/>
          </w:tcPr>
          <w:p>
            <w:pPr>
              <w:pStyle w:val="13"/>
            </w:pPr>
            <w:r>
              <w:t>行政运行</w:t>
            </w:r>
          </w:p>
        </w:tc>
        <w:tc>
          <w:tcPr>
            <w:tcW w:w="1134" w:type="dxa"/>
            <w:vAlign w:val="center"/>
          </w:tcPr>
          <w:p>
            <w:pPr>
              <w:pStyle w:val="12"/>
            </w:pPr>
            <w:r>
              <w:t>442.00</w:t>
            </w:r>
          </w:p>
        </w:tc>
        <w:tc>
          <w:tcPr>
            <w:tcW w:w="1134" w:type="dxa"/>
            <w:vAlign w:val="center"/>
          </w:tcPr>
          <w:p>
            <w:pPr>
              <w:pStyle w:val="12"/>
            </w:pPr>
            <w:r>
              <w:t>442.00</w:t>
            </w:r>
          </w:p>
        </w:tc>
        <w:tc>
          <w:tcPr>
            <w:tcW w:w="1134" w:type="dxa"/>
            <w:vAlign w:val="center"/>
          </w:tcPr>
          <w:p>
            <w:pPr>
              <w:pStyle w:val="12"/>
            </w:pPr>
            <w:r>
              <w:t>442.00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2010804</w:t>
            </w:r>
          </w:p>
        </w:tc>
        <w:tc>
          <w:tcPr>
            <w:tcW w:w="1559" w:type="dxa"/>
            <w:vAlign w:val="center"/>
          </w:tcPr>
          <w:p>
            <w:pPr>
              <w:pStyle w:val="13"/>
            </w:pPr>
            <w:r>
              <w:t>审计业务</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723.00</w:t>
            </w:r>
          </w:p>
        </w:tc>
        <w:tc>
          <w:tcPr>
            <w:tcW w:w="1361" w:type="dxa"/>
            <w:vAlign w:val="center"/>
          </w:tcPr>
          <w:p>
            <w:pPr>
              <w:pStyle w:val="16"/>
            </w:pPr>
            <w:r>
              <w:t>523.00</w:t>
            </w:r>
          </w:p>
        </w:tc>
        <w:tc>
          <w:tcPr>
            <w:tcW w:w="1361" w:type="dxa"/>
            <w:vAlign w:val="center"/>
          </w:tcPr>
          <w:p>
            <w:pPr>
              <w:pStyle w:val="16"/>
            </w:pPr>
            <w:r>
              <w:t>200.00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642.00</w:t>
            </w:r>
          </w:p>
        </w:tc>
        <w:tc>
          <w:tcPr>
            <w:tcW w:w="1361" w:type="dxa"/>
            <w:vAlign w:val="center"/>
          </w:tcPr>
          <w:p>
            <w:pPr>
              <w:pStyle w:val="12"/>
            </w:pPr>
            <w:r>
              <w:t>442.00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20108</w:t>
            </w:r>
          </w:p>
        </w:tc>
        <w:tc>
          <w:tcPr>
            <w:tcW w:w="4535" w:type="dxa"/>
            <w:vAlign w:val="center"/>
          </w:tcPr>
          <w:p>
            <w:pPr>
              <w:pStyle w:val="13"/>
            </w:pPr>
            <w:r>
              <w:t>审计事务</w:t>
            </w:r>
          </w:p>
        </w:tc>
        <w:tc>
          <w:tcPr>
            <w:tcW w:w="1361" w:type="dxa"/>
            <w:vAlign w:val="center"/>
          </w:tcPr>
          <w:p>
            <w:pPr>
              <w:pStyle w:val="12"/>
            </w:pPr>
            <w:r>
              <w:t>642.00</w:t>
            </w:r>
          </w:p>
        </w:tc>
        <w:tc>
          <w:tcPr>
            <w:tcW w:w="1361" w:type="dxa"/>
            <w:vAlign w:val="center"/>
          </w:tcPr>
          <w:p>
            <w:pPr>
              <w:pStyle w:val="12"/>
            </w:pPr>
            <w:r>
              <w:t>442.00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2010801</w:t>
            </w:r>
          </w:p>
        </w:tc>
        <w:tc>
          <w:tcPr>
            <w:tcW w:w="4535" w:type="dxa"/>
            <w:vAlign w:val="center"/>
          </w:tcPr>
          <w:p>
            <w:pPr>
              <w:pStyle w:val="13"/>
            </w:pPr>
            <w:r>
              <w:t>行政运行</w:t>
            </w:r>
          </w:p>
        </w:tc>
        <w:tc>
          <w:tcPr>
            <w:tcW w:w="1361" w:type="dxa"/>
            <w:vAlign w:val="center"/>
          </w:tcPr>
          <w:p>
            <w:pPr>
              <w:pStyle w:val="12"/>
            </w:pPr>
            <w:r>
              <w:t>442.00</w:t>
            </w:r>
          </w:p>
        </w:tc>
        <w:tc>
          <w:tcPr>
            <w:tcW w:w="1361" w:type="dxa"/>
            <w:vAlign w:val="center"/>
          </w:tcPr>
          <w:p>
            <w:pPr>
              <w:pStyle w:val="12"/>
            </w:pPr>
            <w:r>
              <w:t>442.00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2010804</w:t>
            </w:r>
          </w:p>
        </w:tc>
        <w:tc>
          <w:tcPr>
            <w:tcW w:w="4535" w:type="dxa"/>
            <w:vAlign w:val="center"/>
          </w:tcPr>
          <w:p>
            <w:pPr>
              <w:pStyle w:val="13"/>
            </w:pPr>
            <w:r>
              <w:t>审计业务</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59.00</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59.00</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50.00</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22.00</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22.00</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22.00</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723.00</w:t>
            </w:r>
          </w:p>
        </w:tc>
        <w:tc>
          <w:tcPr>
            <w:tcW w:w="3402" w:type="dxa"/>
            <w:vAlign w:val="center"/>
          </w:tcPr>
          <w:p>
            <w:pPr>
              <w:pStyle w:val="13"/>
            </w:pPr>
            <w:r>
              <w:t>一、一般公共服务支出</w:t>
            </w:r>
          </w:p>
        </w:tc>
        <w:tc>
          <w:tcPr>
            <w:tcW w:w="1474" w:type="dxa"/>
            <w:vAlign w:val="center"/>
          </w:tcPr>
          <w:p>
            <w:pPr>
              <w:pStyle w:val="12"/>
            </w:pPr>
            <w:r>
              <w:t>642.00</w:t>
            </w:r>
          </w:p>
        </w:tc>
        <w:tc>
          <w:tcPr>
            <w:tcW w:w="1474" w:type="dxa"/>
            <w:vAlign w:val="center"/>
          </w:tcPr>
          <w:p>
            <w:pPr>
              <w:pStyle w:val="12"/>
            </w:pPr>
            <w:r>
              <w:t>642.00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59.00</w:t>
            </w:r>
          </w:p>
        </w:tc>
        <w:tc>
          <w:tcPr>
            <w:tcW w:w="1474" w:type="dxa"/>
            <w:vAlign w:val="center"/>
          </w:tcPr>
          <w:p>
            <w:pPr>
              <w:pStyle w:val="12"/>
            </w:pPr>
            <w:r>
              <w:t>59.00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22.00</w:t>
            </w:r>
          </w:p>
        </w:tc>
        <w:tc>
          <w:tcPr>
            <w:tcW w:w="1474" w:type="dxa"/>
            <w:vAlign w:val="center"/>
          </w:tcPr>
          <w:p>
            <w:pPr>
              <w:pStyle w:val="12"/>
            </w:pPr>
            <w:r>
              <w:t>22.00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723.00</w:t>
            </w:r>
          </w:p>
        </w:tc>
        <w:tc>
          <w:tcPr>
            <w:tcW w:w="3402" w:type="dxa"/>
            <w:vAlign w:val="center"/>
          </w:tcPr>
          <w:p>
            <w:pPr>
              <w:pStyle w:val="15"/>
            </w:pPr>
            <w:r>
              <w:t>本年支出合计</w:t>
            </w:r>
          </w:p>
        </w:tc>
        <w:tc>
          <w:tcPr>
            <w:tcW w:w="1474" w:type="dxa"/>
            <w:vAlign w:val="center"/>
          </w:tcPr>
          <w:p>
            <w:pPr>
              <w:pStyle w:val="16"/>
            </w:pPr>
            <w:r>
              <w:t>723.00</w:t>
            </w:r>
          </w:p>
        </w:tc>
        <w:tc>
          <w:tcPr>
            <w:tcW w:w="1474" w:type="dxa"/>
            <w:vAlign w:val="center"/>
          </w:tcPr>
          <w:p>
            <w:pPr>
              <w:pStyle w:val="16"/>
            </w:pPr>
            <w:r>
              <w:t>723.00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723.00</w:t>
            </w:r>
          </w:p>
        </w:tc>
        <w:tc>
          <w:tcPr>
            <w:tcW w:w="3402" w:type="dxa"/>
            <w:vAlign w:val="center"/>
          </w:tcPr>
          <w:p>
            <w:pPr>
              <w:pStyle w:val="15"/>
            </w:pPr>
            <w:r>
              <w:t>支出总计</w:t>
            </w:r>
          </w:p>
        </w:tc>
        <w:tc>
          <w:tcPr>
            <w:tcW w:w="1474" w:type="dxa"/>
            <w:vAlign w:val="center"/>
          </w:tcPr>
          <w:p>
            <w:pPr>
              <w:pStyle w:val="16"/>
            </w:pPr>
            <w:r>
              <w:t>723.00</w:t>
            </w:r>
          </w:p>
        </w:tc>
        <w:tc>
          <w:tcPr>
            <w:tcW w:w="1474" w:type="dxa"/>
            <w:vAlign w:val="center"/>
          </w:tcPr>
          <w:p>
            <w:pPr>
              <w:pStyle w:val="16"/>
            </w:pPr>
            <w:r>
              <w:t>723.00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723.00</w:t>
            </w:r>
          </w:p>
        </w:tc>
        <w:tc>
          <w:tcPr>
            <w:tcW w:w="2551" w:type="dxa"/>
            <w:vAlign w:val="center"/>
          </w:tcPr>
          <w:p>
            <w:pPr>
              <w:pStyle w:val="16"/>
            </w:pPr>
            <w:r>
              <w:t>523.00</w:t>
            </w:r>
          </w:p>
        </w:tc>
        <w:tc>
          <w:tcPr>
            <w:tcW w:w="2551" w:type="dxa"/>
            <w:vAlign w:val="center"/>
          </w:tcPr>
          <w:p>
            <w:pPr>
              <w:pStyle w:val="16"/>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642.00</w:t>
            </w:r>
          </w:p>
        </w:tc>
        <w:tc>
          <w:tcPr>
            <w:tcW w:w="2551" w:type="dxa"/>
            <w:vAlign w:val="center"/>
          </w:tcPr>
          <w:p>
            <w:pPr>
              <w:pStyle w:val="12"/>
            </w:pPr>
            <w:r>
              <w:t>442.00</w:t>
            </w: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642.00</w:t>
            </w:r>
          </w:p>
        </w:tc>
        <w:tc>
          <w:tcPr>
            <w:tcW w:w="2551" w:type="dxa"/>
            <w:vAlign w:val="center"/>
          </w:tcPr>
          <w:p>
            <w:pPr>
              <w:pStyle w:val="12"/>
            </w:pPr>
            <w:r>
              <w:t>442.00</w:t>
            </w: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2010801</w:t>
            </w:r>
          </w:p>
        </w:tc>
        <w:tc>
          <w:tcPr>
            <w:tcW w:w="4535" w:type="dxa"/>
            <w:vAlign w:val="center"/>
          </w:tcPr>
          <w:p>
            <w:pPr>
              <w:pStyle w:val="13"/>
            </w:pPr>
            <w:r>
              <w:t>行政运行</w:t>
            </w:r>
          </w:p>
        </w:tc>
        <w:tc>
          <w:tcPr>
            <w:tcW w:w="2551" w:type="dxa"/>
            <w:vAlign w:val="center"/>
          </w:tcPr>
          <w:p>
            <w:pPr>
              <w:pStyle w:val="12"/>
            </w:pPr>
            <w:r>
              <w:t>442.00</w:t>
            </w:r>
          </w:p>
        </w:tc>
        <w:tc>
          <w:tcPr>
            <w:tcW w:w="2551" w:type="dxa"/>
            <w:vAlign w:val="center"/>
          </w:tcPr>
          <w:p>
            <w:pPr>
              <w:pStyle w:val="12"/>
            </w:pPr>
            <w:r>
              <w:t>442.00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2010804</w:t>
            </w:r>
          </w:p>
        </w:tc>
        <w:tc>
          <w:tcPr>
            <w:tcW w:w="4535" w:type="dxa"/>
            <w:vAlign w:val="center"/>
          </w:tcPr>
          <w:p>
            <w:pPr>
              <w:pStyle w:val="13"/>
            </w:pPr>
            <w:r>
              <w:t>审计业务</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523.00</w:t>
            </w:r>
          </w:p>
        </w:tc>
        <w:tc>
          <w:tcPr>
            <w:tcW w:w="2551" w:type="dxa"/>
            <w:vAlign w:val="center"/>
          </w:tcPr>
          <w:p>
            <w:pPr>
              <w:pStyle w:val="16"/>
            </w:pPr>
            <w:r>
              <w:t>488.00</w:t>
            </w:r>
          </w:p>
        </w:tc>
        <w:tc>
          <w:tcPr>
            <w:tcW w:w="2551" w:type="dxa"/>
            <w:vAlign w:val="center"/>
          </w:tcPr>
          <w:p>
            <w:pPr>
              <w:pStyle w:val="16"/>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444.00</w:t>
            </w:r>
          </w:p>
        </w:tc>
        <w:tc>
          <w:tcPr>
            <w:tcW w:w="2551" w:type="dxa"/>
            <w:vAlign w:val="center"/>
          </w:tcPr>
          <w:p>
            <w:pPr>
              <w:pStyle w:val="12"/>
            </w:pPr>
            <w:r>
              <w:t>444.00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230.00</w:t>
            </w:r>
          </w:p>
        </w:tc>
        <w:tc>
          <w:tcPr>
            <w:tcW w:w="2551" w:type="dxa"/>
            <w:vAlign w:val="center"/>
          </w:tcPr>
          <w:p>
            <w:pPr>
              <w:pStyle w:val="12"/>
            </w:pPr>
            <w:r>
              <w:t>230.00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47.00</w:t>
            </w:r>
          </w:p>
        </w:tc>
        <w:tc>
          <w:tcPr>
            <w:tcW w:w="2551" w:type="dxa"/>
            <w:vAlign w:val="center"/>
          </w:tcPr>
          <w:p>
            <w:pPr>
              <w:pStyle w:val="12"/>
            </w:pPr>
            <w:r>
              <w:t>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39.00</w:t>
            </w:r>
          </w:p>
        </w:tc>
        <w:tc>
          <w:tcPr>
            <w:tcW w:w="2551" w:type="dxa"/>
            <w:vAlign w:val="center"/>
          </w:tcPr>
          <w:p>
            <w:pPr>
              <w:pStyle w:val="12"/>
            </w:pPr>
            <w:r>
              <w:t>39.00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319无极县审计局本级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rPr>
                <w:rFonts w:hint="eastAsia"/>
                <w:lang w:val="en-US" w:eastAsia="zh-CN"/>
              </w:rPr>
              <w:t>3</w:t>
            </w:r>
            <w:r>
              <w:t>.00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无极县审计局本级2024年部门预算信息公开情况说明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无极县审计局本级2024年部门预算信息公开情况说明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按照《中华人民共和国预算法》、《地方预决算公开操作规程》和《关于进一步推进预算公开工作的实施意见》规定，现将无极县审计局本级2024年部门预算公开如下：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jc w:val="left"/>
        <w:rPr>
          <w:rFonts w:hint="eastAsia"/>
          <w:lang w:val="en-US" w:eastAsia="zh-CN"/>
        </w:rPr>
      </w:pPr>
      <w:r>
        <w:rPr>
          <w:rFonts w:hint="eastAsia"/>
          <w:lang w:val="en-US" w:eastAsia="zh-CN"/>
        </w:rPr>
        <w:t>（一）对县直各部门（含直属单位）和乡镇政府预算执行情况和决算以及预算外资金的管理和使用情况进行审计监督。</w:t>
      </w:r>
    </w:p>
    <w:p>
      <w:pPr>
        <w:pStyle w:val="18"/>
        <w:ind w:left="0" w:leftChars="0" w:firstLine="560" w:firstLineChars="200"/>
        <w:jc w:val="left"/>
      </w:pPr>
      <w:r>
        <w:t>（二）对县级财政预算执行情况进行审计，并代表县政府向人大常委会提交审计工作报告。</w:t>
      </w:r>
    </w:p>
    <w:p>
      <w:pPr>
        <w:pStyle w:val="18"/>
        <w:jc w:val="left"/>
      </w:pPr>
      <w:r>
        <w:t>（三）对全县国有企业的资产、负债、损益情况进行审计。</w:t>
      </w:r>
    </w:p>
    <w:p>
      <w:pPr>
        <w:pStyle w:val="18"/>
        <w:jc w:val="left"/>
      </w:pPr>
      <w:r>
        <w:t>（四）对全县国有事业组织的财务收支进行审计监督。</w:t>
      </w:r>
    </w:p>
    <w:p>
      <w:pPr>
        <w:pStyle w:val="18"/>
        <w:jc w:val="left"/>
      </w:pPr>
      <w:r>
        <w:t>（五）对全县基建项目预算的执行情况和决算进行审计监督。</w:t>
      </w:r>
    </w:p>
    <w:p>
      <w:pPr>
        <w:pStyle w:val="18"/>
        <w:jc w:val="left"/>
      </w:pPr>
      <w:r>
        <w:t>（六）对政府部门管理和社会团体受政府委托管理的社会保障基金以及其他有关基金、资金的财务收支进行审计监督。</w:t>
      </w:r>
    </w:p>
    <w:p>
      <w:pPr>
        <w:pStyle w:val="18"/>
        <w:jc w:val="left"/>
      </w:pPr>
      <w:r>
        <w:t>（七）对全县国际组织和外国政府援助、贷款项目的财务收支进行审计监督。</w:t>
      </w:r>
    </w:p>
    <w:p>
      <w:pPr>
        <w:pStyle w:val="18"/>
        <w:jc w:val="left"/>
      </w:pPr>
      <w:r>
        <w:t>（八）受政府委托，对地方非银行金融机构的财务收支及资产、负债、损益情况进行审计监督。</w:t>
      </w:r>
    </w:p>
    <w:p>
      <w:pPr>
        <w:pStyle w:val="18"/>
        <w:jc w:val="left"/>
      </w:pPr>
      <w:r>
        <w:t>（九）受县委、县政府、纪检、组织部门委托进行领导干部任期经济责任审计。</w:t>
      </w:r>
    </w:p>
    <w:p>
      <w:pPr>
        <w:pStyle w:val="18"/>
        <w:jc w:val="left"/>
      </w:pPr>
      <w:r>
        <w:t>（十）对社会审计组织进行审计质量执业检查。</w:t>
      </w:r>
    </w:p>
    <w:p>
      <w:pPr>
        <w:pStyle w:val="18"/>
      </w:pPr>
      <w:r>
        <w:t>（十一）指导和监督内部审计工作。</w:t>
      </w:r>
    </w:p>
    <w:p>
      <w:pPr>
        <w:pStyle w:val="18"/>
      </w:pPr>
      <w:r>
        <w:t>（十二）对其他法律、法规规定应当进行审计的事项进行审计监督。</w:t>
      </w:r>
    </w:p>
    <w:p>
      <w:pPr>
        <w:pStyle w:val="18"/>
      </w:pPr>
      <w:r>
        <w:t>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无极县审计局本级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按照预算管理有关规定，目前部门预算的编制实行综合预算管理，即全部收入和支出都反映在预算中。无极县审计局本级机关及所属事业单位的收支包含在部门预算中。</w:t>
      </w:r>
    </w:p>
    <w:p>
      <w:pPr>
        <w:pStyle w:val="19"/>
      </w:pPr>
      <w:r>
        <w:t>1、收入说明</w:t>
      </w:r>
    </w:p>
    <w:p>
      <w:pPr>
        <w:pStyle w:val="19"/>
      </w:pPr>
      <w:r>
        <w:t>反映本部门当年全部收入。2024年预算收入723.00万元，其中：一般公共预算收入723.00万元，基金预算收入0.00万元，国有资本经营预算收入0.00万元，财政专户核拨收入0.00万元，单位资金收入0.00万元，上年结转结余0.00万元。</w:t>
      </w:r>
    </w:p>
    <w:p>
      <w:pPr>
        <w:pStyle w:val="19"/>
      </w:pPr>
      <w:r>
        <w:t>2、支出说明</w:t>
      </w:r>
    </w:p>
    <w:p>
      <w:pPr>
        <w:pStyle w:val="19"/>
        <w:rPr>
          <w:rFonts w:hint="default" w:eastAsia="方正仿宋_GBK"/>
          <w:lang w:val="en-US" w:eastAsia="zh-CN"/>
        </w:rPr>
      </w:pPr>
      <w:r>
        <w:t>收支预算总表支出栏、基本支出表、项目支出表按经济分类和支出功能分类科目编制，反映无极县审计局本级年度部门预算中支出预算的总体情况。2024年支出预算723.00万元，其中基本支出523.00万元，包括人员经费488.00万元和日常公用经费35.00万元；项目支出200.00万元，主要为2024年度专项审计费</w:t>
      </w:r>
      <w:r>
        <w:rPr>
          <w:rFonts w:hint="eastAsia"/>
          <w:lang w:val="en-US" w:eastAsia="zh-CN"/>
        </w:rPr>
        <w:t>200万元。</w:t>
      </w:r>
    </w:p>
    <w:p>
      <w:pPr>
        <w:pStyle w:val="19"/>
      </w:pPr>
      <w:r>
        <w:t>3、比上年增减情况</w:t>
      </w:r>
    </w:p>
    <w:p>
      <w:pPr>
        <w:pStyle w:val="19"/>
        <w:rPr>
          <w:rFonts w:hint="eastAsia" w:eastAsia="方正仿宋_GBK"/>
          <w:lang w:eastAsia="zh-CN"/>
        </w:rPr>
      </w:pPr>
      <w:r>
        <w:t>2024年预算收支安排723.00万元，较2023年预算增加13.00万元，其中：基本支出增加13.00万元，主要为人员经费增加8万元，日常公用经费增加5万元。项目支出增加0.00万元，主要为</w:t>
      </w:r>
      <w:r>
        <w:rPr>
          <w:rFonts w:hint="eastAsia"/>
          <w:lang w:eastAsia="zh-CN"/>
        </w:rPr>
        <w:t>无新项目预算。</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2024年，我部门机关运行经费共计安排35.00万元，主要用于日常维修、办公用房水电费、办公用房取暖费、办公用房物业管理费等日常运行支出。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是本年度未安排因公出国（境）和公务接待；公务用车购置及运维费与上年持平，原因为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rPr>
          <w:b/>
          <w:bCs/>
        </w:rPr>
      </w:pPr>
      <w:r>
        <w:rPr>
          <w:rFonts w:hint="eastAsia"/>
          <w:b/>
          <w:bCs/>
          <w:lang w:val="en-US" w:eastAsia="zh-CN"/>
        </w:rPr>
        <w:t xml:space="preserve">  </w:t>
      </w:r>
      <w:r>
        <w:rPr>
          <w:b/>
          <w:bCs/>
        </w:rPr>
        <w:t>一</w:t>
      </w:r>
      <w:r>
        <w:rPr>
          <w:rFonts w:hint="eastAsia"/>
          <w:b/>
          <w:bCs/>
          <w:lang w:eastAsia="zh-CN"/>
        </w:rPr>
        <w:t>、</w:t>
      </w:r>
      <w:r>
        <w:rPr>
          <w:b/>
          <w:bCs/>
        </w:rPr>
        <w:t>总体绩效目标</w:t>
      </w:r>
    </w:p>
    <w:p>
      <w:pPr>
        <w:pStyle w:val="22"/>
      </w:pPr>
      <w:r>
        <w:t>今后的工作中，要自觉以习近平总书记重要讲话精神为指导推动审计工作，县委审计委员会和审计机关要提高政治站位，深入学习贯彻总书记的重要讲话精神，学深悟透、知行合一，真正贯彻到审计工作的各方面、各环节，把抓好审计工作作为践行“四个意识”、落实“两个维护”的现实检验，全力提升审计工作的制度化、规范化水平，推动县委审计委员会工作高起点开局、高标准起步。</w:t>
      </w:r>
    </w:p>
    <w:p>
      <w:pPr>
        <w:pStyle w:val="22"/>
        <w:ind w:left="0" w:leftChars="0" w:firstLine="280" w:firstLineChars="100"/>
      </w:pPr>
      <w:r>
        <w:rPr>
          <w:rFonts w:hint="eastAsia"/>
          <w:lang w:eastAsia="zh-CN"/>
        </w:rPr>
        <w:t>（</w:t>
      </w:r>
      <w:r>
        <w:rPr>
          <w:rFonts w:hint="eastAsia"/>
          <w:lang w:val="en-US" w:eastAsia="zh-CN"/>
        </w:rPr>
        <w:t>一</w:t>
      </w:r>
      <w:r>
        <w:rPr>
          <w:rFonts w:hint="eastAsia"/>
          <w:lang w:eastAsia="zh-CN"/>
        </w:rPr>
        <w:t>）</w:t>
      </w:r>
      <w:r>
        <w:t>服务大局，加强审计监督。</w:t>
      </w:r>
    </w:p>
    <w:p>
      <w:pPr>
        <w:pStyle w:val="22"/>
      </w:pPr>
      <w:r>
        <w:rPr>
          <w:rFonts w:hint="eastAsia"/>
          <w:lang w:val="en-US" w:eastAsia="zh-CN"/>
        </w:rPr>
        <w:t>1、</w:t>
      </w:r>
      <w:r>
        <w:t>是进一步深化部门预算执行审计，重点关注各预算单位管理的民生、资源环保等领域专项资金使用是否产生预期效益。</w:t>
      </w:r>
    </w:p>
    <w:p>
      <w:pPr>
        <w:pStyle w:val="22"/>
      </w:pPr>
      <w:r>
        <w:rPr>
          <w:rFonts w:hint="eastAsia"/>
          <w:lang w:val="en-US" w:eastAsia="zh-CN"/>
        </w:rPr>
        <w:t>2、</w:t>
      </w:r>
      <w:r>
        <w:t>是进一步深化领导干部任期经济责任审计，在关注被审计单位财政财务收支的基础上，突出关注被审计领导推动本单位经济事业发展的情况。</w:t>
      </w:r>
    </w:p>
    <w:p>
      <w:pPr>
        <w:pStyle w:val="22"/>
        <w:ind w:left="0" w:leftChars="0" w:firstLine="280" w:firstLineChars="100"/>
      </w:pPr>
      <w:r>
        <w:t>（二）夯实基础，推进科学管理，推进审计全覆盖。</w:t>
      </w:r>
    </w:p>
    <w:p>
      <w:pPr>
        <w:pStyle w:val="22"/>
      </w:pPr>
      <w:r>
        <w:t>紧扣新时代我国</w:t>
      </w:r>
      <w:r>
        <w:rPr>
          <w:rFonts w:hint="eastAsia"/>
          <w:lang w:eastAsia="zh-CN"/>
        </w:rPr>
        <w:t>社会主义</w:t>
      </w:r>
      <w:r>
        <w:t>矛盾变化，结合县域实际情况，进一步加大对重点民生资金和项目的审计力度，着力推动党中央、国务院各项惠民富民政策落到实处，切实保障和改善民生，全力维护群众利益和财政资金安全。</w:t>
      </w:r>
    </w:p>
    <w:p>
      <w:pPr>
        <w:pStyle w:val="22"/>
        <w:ind w:left="0" w:leftChars="0" w:firstLine="280" w:firstLineChars="100"/>
      </w:pPr>
      <w:r>
        <w:t>（三）抓好贯彻落实，加强宣传文化建设，不断提升审计监督效能。</w:t>
      </w:r>
    </w:p>
    <w:p>
      <w:pPr>
        <w:pStyle w:val="22"/>
      </w:pPr>
      <w:r>
        <w:t>作为审计系统的党员干部，应深感责任重大，要始终</w:t>
      </w:r>
      <w:r>
        <w:rPr>
          <w:rFonts w:hint="eastAsia"/>
          <w:lang w:eastAsia="zh-CN"/>
        </w:rPr>
        <w:t>不忘初心、牢记使命</w:t>
      </w:r>
      <w:r>
        <w:t>，做一个有情怀、有能力、有担当的“三有”审计人。要培养造就一支信念坚定、业务精通、作风务实、清正廉洁的高素质审计干部队伍。着力提升审计队伍职业化素质和能力，严格教育、管理和监督审计干部，提供做好审计工作必要的支持和保障。</w:t>
      </w:r>
    </w:p>
    <w:p>
      <w:pPr>
        <w:pStyle w:val="22"/>
      </w:pPr>
      <w:r>
        <w:t>　　　</w:t>
      </w:r>
    </w:p>
    <w:p>
      <w:pPr>
        <w:pStyle w:val="23"/>
        <w:rPr>
          <w:b/>
          <w:bCs/>
        </w:rPr>
      </w:pPr>
      <w:r>
        <w:rPr>
          <w:b/>
          <w:bCs/>
        </w:rPr>
        <w:t>二</w:t>
      </w:r>
      <w:r>
        <w:rPr>
          <w:rFonts w:hint="eastAsia"/>
          <w:b/>
          <w:bCs/>
          <w:lang w:eastAsia="zh-CN"/>
        </w:rPr>
        <w:t>、</w:t>
      </w:r>
      <w:r>
        <w:rPr>
          <w:b/>
          <w:bCs/>
        </w:rPr>
        <w:t>分项绩效目标</w:t>
      </w:r>
    </w:p>
    <w:p>
      <w:pPr>
        <w:pStyle w:val="23"/>
        <w:ind w:left="0" w:leftChars="0" w:firstLine="280" w:firstLineChars="100"/>
      </w:pPr>
      <w:r>
        <w:t>（一）审计业务方面绩效目标</w:t>
      </w:r>
    </w:p>
    <w:p>
      <w:pPr>
        <w:pStyle w:val="23"/>
      </w:pPr>
      <w:r>
        <w:t>绩效目标：进一步加大医疗、卫生、三农、扶贫、教育、就业、社保、生态环境等资金的审计力度，把审计资金和政策执行调查结合起来，确保把改善民生的各项实事办成、办好、办出成效，切实维护好人民群众的切身利益。</w:t>
      </w:r>
    </w:p>
    <w:p>
      <w:pPr>
        <w:pStyle w:val="23"/>
      </w:pPr>
      <w:r>
        <w:t>　　　　绩效指标：审计计划完成情况≥95%；审计决定落实情况≥95%、专项审计工作完成率≥95%。</w:t>
      </w:r>
    </w:p>
    <w:p>
      <w:pPr>
        <w:pStyle w:val="23"/>
        <w:ind w:left="0" w:leftChars="0" w:firstLine="280" w:firstLineChars="100"/>
      </w:pPr>
      <w:r>
        <w:t>（二）审计管理方面绩效目标</w:t>
      </w:r>
    </w:p>
    <w:p>
      <w:pPr>
        <w:pStyle w:val="23"/>
      </w:pPr>
      <w:r>
        <w:t>绩效目标：进行内部审计管理和审计法制管理。贯彻落实相关法律法规及内部审计管理制度提高审计质量和审计机关法制管理水平；通过审计项目审理来保障审计质量，提高县级审计法制管理水平。</w:t>
      </w:r>
    </w:p>
    <w:p>
      <w:pPr>
        <w:pStyle w:val="23"/>
      </w:pPr>
      <w:r>
        <w:t>绩效指标：内审业务指导、监督检查率≥95%，审计项目审理覆盖率≥100%</w:t>
      </w:r>
    </w:p>
    <w:p>
      <w:pPr>
        <w:pStyle w:val="23"/>
        <w:ind w:left="0" w:leftChars="0" w:firstLine="280" w:firstLineChars="100"/>
      </w:pPr>
      <w:r>
        <w:t>（三）审计政务管理方面绩效目标</w:t>
      </w:r>
    </w:p>
    <w:p>
      <w:pPr>
        <w:pStyle w:val="23"/>
      </w:pPr>
      <w:r>
        <w:t>绩效目标：充分发挥参谋助手作用和综合协调作用，推进审计事业科学协调发展，信息保障安全有效，信息化建设稳步推进，加强宣传引导；提高审计人员业务水平，保障机关正常运行，推动审计事业发展。</w:t>
      </w:r>
    </w:p>
    <w:p>
      <w:pPr>
        <w:pStyle w:val="23"/>
      </w:pPr>
      <w:r>
        <w:t>绩效指标：综合业务管理工作完成率≥95%，综合事务管理工作完成率≥95%</w:t>
      </w:r>
    </w:p>
    <w:p>
      <w:pPr>
        <w:pStyle w:val="24"/>
        <w:rPr>
          <w:b/>
          <w:bCs/>
        </w:rPr>
      </w:pPr>
      <w:r>
        <w:rPr>
          <w:b/>
          <w:bCs/>
        </w:rPr>
        <w:t>三</w:t>
      </w:r>
      <w:r>
        <w:rPr>
          <w:rFonts w:hint="eastAsia"/>
          <w:b/>
          <w:bCs/>
          <w:lang w:eastAsia="zh-CN"/>
        </w:rPr>
        <w:t>、</w:t>
      </w:r>
      <w:r>
        <w:rPr>
          <w:b/>
          <w:bCs/>
        </w:rPr>
        <w:t>工作保障措施</w:t>
      </w:r>
    </w:p>
    <w:p>
      <w:pPr>
        <w:pStyle w:val="24"/>
      </w:pPr>
      <w:r>
        <w:t>1、完善制度建设。制定完善预算绩效管理制度、资金管理办法、工作保障制度等，为全年预算绩效目标的实现奠定制度基础。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7、加强宣传培训调研等。加强人员培训，提高本部门职工业务素质；加强调研，提出优化财政资金配置、提高资金使用效益的意见意见；加大宣传力度，强化预算绩效管理意识，促进预算绩效管理水平进一步提升。</w:t>
      </w:r>
      <w:bookmarkStart w:id="14" w:name="_Toc_3_3_0000000015"/>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spacing w:before="10" w:after="10" w:line="240" w:lineRule="auto"/>
        <w:ind w:firstLine="64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bookmarkStart w:id="15" w:name="_Toc_3_3_0000000016"/>
    </w:p>
    <w:p>
      <w:pPr>
        <w:spacing w:before="10" w:after="10" w:line="240" w:lineRule="auto"/>
        <w:ind w:firstLine="640"/>
        <w:jc w:val="left"/>
        <w:outlineLvl w:val="2"/>
        <w:rPr>
          <w:rFonts w:ascii="黑体" w:hAnsi="黑体" w:eastAsia="黑体" w:cs="黑体"/>
          <w:color w:val="000000"/>
          <w:sz w:val="32"/>
        </w:rPr>
      </w:pPr>
      <w:r>
        <w:rPr>
          <w:rFonts w:hint="eastAsia" w:ascii="黑体" w:hAnsi="黑体" w:eastAsia="黑体" w:cs="黑体"/>
          <w:color w:val="000000"/>
          <w:sz w:val="32"/>
          <w:lang w:eastAsia="zh-CN"/>
        </w:rPr>
        <w:t>七、</w:t>
      </w:r>
      <w:r>
        <w:rPr>
          <w:rFonts w:ascii="黑体" w:hAnsi="黑体" w:eastAsia="黑体" w:cs="黑体"/>
          <w:color w:val="000000"/>
          <w:sz w:val="32"/>
        </w:rPr>
        <w:t>部门项目预算安排情况及绩效目标</w:t>
      </w:r>
    </w:p>
    <w:p>
      <w:pPr>
        <w:numPr>
          <w:ilvl w:val="0"/>
          <w:numId w:val="0"/>
        </w:numPr>
        <w:spacing w:before="0" w:after="0"/>
        <w:jc w:val="left"/>
        <w:outlineLvl w:val="9"/>
      </w:pPr>
      <w:r>
        <w:rPr>
          <w:rFonts w:ascii="方正仿宋_GBK" w:hAnsi="方正仿宋_GBK" w:eastAsia="方正仿宋_GBK" w:cs="方正仿宋_GBK"/>
          <w:color w:val="000000"/>
          <w:sz w:val="28"/>
        </w:rPr>
        <w:t>1、2024年专项审计费绩效目标表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13013024P000036100842</w:t>
            </w:r>
          </w:p>
        </w:tc>
        <w:tc>
          <w:tcPr>
            <w:tcW w:w="2835" w:type="dxa"/>
            <w:vAlign w:val="center"/>
          </w:tcPr>
          <w:p>
            <w:pPr>
              <w:pStyle w:val="11"/>
            </w:pPr>
            <w:r>
              <w:t>项目名称</w:t>
            </w:r>
          </w:p>
        </w:tc>
        <w:tc>
          <w:tcPr>
            <w:tcW w:w="6094" w:type="dxa"/>
            <w:gridSpan w:val="3"/>
            <w:vAlign w:val="center"/>
          </w:tcPr>
          <w:p>
            <w:pPr>
              <w:pStyle w:val="13"/>
            </w:pPr>
            <w:r>
              <w:t>2024年专项审计费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1通过审计调查维护国家财政经济秩序，对被审计单位和对象实现既定目标的程度和所造成的各种影响进行报告，为决策机关提供相关的评价意见。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80.00</w:t>
            </w:r>
          </w:p>
        </w:tc>
        <w:tc>
          <w:tcPr>
            <w:tcW w:w="2551" w:type="dxa"/>
            <w:vAlign w:val="center"/>
          </w:tcPr>
          <w:p>
            <w:pPr>
              <w:pStyle w:val="14"/>
            </w:pPr>
            <w:r>
              <w:t>160.00</w:t>
            </w:r>
          </w:p>
        </w:tc>
        <w:tc>
          <w:tcPr>
            <w:tcW w:w="3543"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1.1通过审计调查维护国家财政经济秩序，对被审计单位和对象实现既定目标的程度和所造成的各种影响进行报告，为决策机关提供相关的评价意见。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p>
            <w:pPr>
              <w:pStyle w:val="13"/>
            </w:pPr>
          </w:p>
        </w:tc>
        <w:tc>
          <w:tcPr>
            <w:tcW w:w="5386" w:type="dxa"/>
            <w:vAlign w:val="center"/>
          </w:tcPr>
          <w:p>
            <w:pPr>
              <w:pStyle w:val="13"/>
            </w:pPr>
            <w:r>
              <w:t>项目完成情况</w:t>
            </w:r>
          </w:p>
          <w:p>
            <w:pPr>
              <w:pStyle w:val="13"/>
            </w:pPr>
          </w:p>
        </w:tc>
        <w:tc>
          <w:tcPr>
            <w:tcW w:w="2268" w:type="dxa"/>
            <w:vAlign w:val="center"/>
          </w:tcPr>
          <w:p>
            <w:pPr>
              <w:pStyle w:val="13"/>
            </w:pPr>
            <w:r>
              <w:t>是否完成年度计划</w:t>
            </w:r>
          </w:p>
        </w:tc>
        <w:tc>
          <w:tcPr>
            <w:tcW w:w="1276" w:type="dxa"/>
            <w:vAlign w:val="center"/>
          </w:tcPr>
          <w:p>
            <w:pPr>
              <w:pStyle w:val="13"/>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提交成果报告质量</w:t>
            </w:r>
          </w:p>
        </w:tc>
        <w:tc>
          <w:tcPr>
            <w:tcW w:w="5386" w:type="dxa"/>
            <w:vAlign w:val="center"/>
          </w:tcPr>
          <w:p>
            <w:pPr>
              <w:pStyle w:val="13"/>
            </w:pPr>
            <w:r>
              <w:t>提交成果报告质量</w:t>
            </w:r>
          </w:p>
        </w:tc>
        <w:tc>
          <w:tcPr>
            <w:tcW w:w="2268" w:type="dxa"/>
            <w:vAlign w:val="center"/>
          </w:tcPr>
          <w:p>
            <w:pPr>
              <w:pStyle w:val="13"/>
            </w:pPr>
            <w:r>
              <w:t>是否达到项目要求</w:t>
            </w:r>
          </w:p>
        </w:tc>
        <w:tc>
          <w:tcPr>
            <w:tcW w:w="1276" w:type="dxa"/>
            <w:vAlign w:val="center"/>
          </w:tcPr>
          <w:p>
            <w:pPr>
              <w:pStyle w:val="13"/>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报告完成时间</w:t>
            </w:r>
          </w:p>
        </w:tc>
        <w:tc>
          <w:tcPr>
            <w:tcW w:w="5386" w:type="dxa"/>
            <w:vAlign w:val="center"/>
          </w:tcPr>
          <w:p>
            <w:pPr>
              <w:pStyle w:val="13"/>
            </w:pPr>
            <w:r>
              <w:t>报告完成时间</w:t>
            </w:r>
          </w:p>
        </w:tc>
        <w:tc>
          <w:tcPr>
            <w:tcW w:w="2268" w:type="dxa"/>
            <w:vAlign w:val="center"/>
          </w:tcPr>
          <w:p>
            <w:pPr>
              <w:pStyle w:val="13"/>
            </w:pPr>
            <w:r>
              <w:t>按计划时间节点</w:t>
            </w:r>
          </w:p>
        </w:tc>
        <w:tc>
          <w:tcPr>
            <w:tcW w:w="1276" w:type="dxa"/>
            <w:vAlign w:val="center"/>
          </w:tcPr>
          <w:p>
            <w:pPr>
              <w:pStyle w:val="13"/>
            </w:pPr>
            <w:r>
              <w:t>按年度计划要求的时间节点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总成本控制数</w:t>
            </w:r>
          </w:p>
        </w:tc>
        <w:tc>
          <w:tcPr>
            <w:tcW w:w="5386" w:type="dxa"/>
            <w:vAlign w:val="center"/>
          </w:tcPr>
          <w:p>
            <w:pPr>
              <w:pStyle w:val="13"/>
            </w:pPr>
            <w:r>
              <w:t>总成本控制数</w:t>
            </w:r>
          </w:p>
        </w:tc>
        <w:tc>
          <w:tcPr>
            <w:tcW w:w="2268" w:type="dxa"/>
            <w:vAlign w:val="center"/>
          </w:tcPr>
          <w:p>
            <w:pPr>
              <w:pStyle w:val="13"/>
            </w:pPr>
            <w:r>
              <w:t>≤200万元</w:t>
            </w:r>
          </w:p>
        </w:tc>
        <w:tc>
          <w:tcPr>
            <w:tcW w:w="1276" w:type="dxa"/>
            <w:vAlign w:val="center"/>
          </w:tcPr>
          <w:p>
            <w:pPr>
              <w:pStyle w:val="13"/>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办公经费、专用材料费</w:t>
            </w:r>
          </w:p>
        </w:tc>
        <w:tc>
          <w:tcPr>
            <w:tcW w:w="5386" w:type="dxa"/>
            <w:vAlign w:val="center"/>
          </w:tcPr>
          <w:p>
            <w:pPr>
              <w:pStyle w:val="13"/>
            </w:pPr>
            <w:r>
              <w:t>办公经费、专用材料费</w:t>
            </w:r>
          </w:p>
        </w:tc>
        <w:tc>
          <w:tcPr>
            <w:tcW w:w="2268" w:type="dxa"/>
            <w:vAlign w:val="center"/>
          </w:tcPr>
          <w:p>
            <w:pPr>
              <w:pStyle w:val="13"/>
            </w:pPr>
            <w:r>
              <w:t>维护国家财政经济秩序</w:t>
            </w:r>
          </w:p>
        </w:tc>
        <w:tc>
          <w:tcPr>
            <w:tcW w:w="1276" w:type="dxa"/>
            <w:vAlign w:val="center"/>
          </w:tcPr>
          <w:p>
            <w:pPr>
              <w:pStyle w:val="13"/>
            </w:pPr>
            <w:r>
              <w:t>保质保量完成审计任务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提升财会工作人员业务素养</w:t>
            </w:r>
          </w:p>
        </w:tc>
        <w:tc>
          <w:tcPr>
            <w:tcW w:w="1276" w:type="dxa"/>
            <w:vAlign w:val="center"/>
          </w:tcPr>
          <w:p>
            <w:pPr>
              <w:pStyle w:val="13"/>
            </w:pPr>
            <w:r>
              <w:t>是否提出整改意见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落实整改报告整改情况</w:t>
            </w:r>
          </w:p>
        </w:tc>
        <w:tc>
          <w:tcPr>
            <w:tcW w:w="5386" w:type="dxa"/>
            <w:vAlign w:val="center"/>
          </w:tcPr>
          <w:p>
            <w:pPr>
              <w:pStyle w:val="13"/>
            </w:pPr>
            <w:r>
              <w:t>落实整改报告整改情况</w:t>
            </w:r>
          </w:p>
        </w:tc>
        <w:tc>
          <w:tcPr>
            <w:tcW w:w="2268" w:type="dxa"/>
            <w:vAlign w:val="center"/>
          </w:tcPr>
          <w:p>
            <w:pPr>
              <w:pStyle w:val="13"/>
            </w:pPr>
            <w:r>
              <w:t>按照时间要求完成整改</w:t>
            </w:r>
          </w:p>
        </w:tc>
        <w:tc>
          <w:tcPr>
            <w:tcW w:w="1276" w:type="dxa"/>
            <w:vAlign w:val="center"/>
          </w:tcPr>
          <w:p>
            <w:pPr>
              <w:pStyle w:val="13"/>
            </w:pPr>
            <w:r>
              <w:t>是否按时完成整改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指出从业人员业务盲点</w:t>
            </w:r>
          </w:p>
        </w:tc>
        <w:tc>
          <w:tcPr>
            <w:tcW w:w="5386" w:type="dxa"/>
            <w:vAlign w:val="center"/>
          </w:tcPr>
          <w:p>
            <w:pPr>
              <w:pStyle w:val="13"/>
            </w:pPr>
            <w:r>
              <w:t>出具整改报告率</w:t>
            </w:r>
          </w:p>
        </w:tc>
        <w:tc>
          <w:tcPr>
            <w:tcW w:w="2268" w:type="dxa"/>
            <w:vAlign w:val="center"/>
          </w:tcPr>
          <w:p>
            <w:pPr>
              <w:pStyle w:val="13"/>
            </w:pPr>
            <w:r>
              <w:t>90%</w:t>
            </w:r>
          </w:p>
        </w:tc>
        <w:tc>
          <w:tcPr>
            <w:tcW w:w="1276" w:type="dxa"/>
            <w:vAlign w:val="center"/>
          </w:tcPr>
          <w:p>
            <w:pPr>
              <w:pStyle w:val="13"/>
            </w:pPr>
            <w:r>
              <w:t>出整改报告率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积极配合完成审计</w:t>
            </w:r>
          </w:p>
        </w:tc>
      </w:tr>
      <w:bookmarkEnd w:id="15"/>
    </w:tbl>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319无极县审计局本级</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150.00</w:t>
            </w:r>
          </w:p>
        </w:tc>
        <w:tc>
          <w:tcPr>
            <w:tcW w:w="964" w:type="dxa"/>
            <w:vAlign w:val="center"/>
          </w:tcPr>
          <w:p>
            <w:pPr>
              <w:pStyle w:val="16"/>
            </w:pPr>
            <w:r>
              <w:t>150.00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无极县审计局本级小计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150.00</w:t>
            </w:r>
          </w:p>
        </w:tc>
        <w:tc>
          <w:tcPr>
            <w:tcW w:w="964" w:type="dxa"/>
            <w:vAlign w:val="center"/>
          </w:tcPr>
          <w:p>
            <w:pPr>
              <w:pStyle w:val="16"/>
            </w:pPr>
            <w:r>
              <w:t>150.00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2024年专项审计费</w:t>
            </w:r>
          </w:p>
        </w:tc>
        <w:tc>
          <w:tcPr>
            <w:tcW w:w="964" w:type="dxa"/>
            <w:vAlign w:val="center"/>
          </w:tcPr>
          <w:p>
            <w:pPr>
              <w:pStyle w:val="12"/>
            </w:pPr>
            <w:r>
              <w:t>200.00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完成</w:t>
            </w:r>
          </w:p>
        </w:tc>
        <w:tc>
          <w:tcPr>
            <w:tcW w:w="850" w:type="dxa"/>
            <w:vAlign w:val="center"/>
          </w:tcPr>
          <w:p>
            <w:pPr>
              <w:pStyle w:val="12"/>
            </w:pPr>
            <w:r>
              <w:t>1</w:t>
            </w:r>
          </w:p>
        </w:tc>
        <w:tc>
          <w:tcPr>
            <w:tcW w:w="850" w:type="dxa"/>
            <w:vAlign w:val="center"/>
          </w:tcPr>
          <w:p>
            <w:pPr>
              <w:pStyle w:val="12"/>
            </w:pPr>
            <w:r>
              <w:t>75.00</w:t>
            </w:r>
          </w:p>
        </w:tc>
        <w:tc>
          <w:tcPr>
            <w:tcW w:w="964" w:type="dxa"/>
            <w:vAlign w:val="center"/>
          </w:tcPr>
          <w:p>
            <w:pPr>
              <w:pStyle w:val="12"/>
            </w:pPr>
            <w:r>
              <w:t>75.00</w:t>
            </w:r>
          </w:p>
        </w:tc>
        <w:tc>
          <w:tcPr>
            <w:tcW w:w="964" w:type="dxa"/>
            <w:vAlign w:val="center"/>
          </w:tcPr>
          <w:p>
            <w:pPr>
              <w:pStyle w:val="12"/>
            </w:pPr>
            <w:r>
              <w:t>75.00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2024年专项审计费</w:t>
            </w:r>
          </w:p>
        </w:tc>
        <w:tc>
          <w:tcPr>
            <w:tcW w:w="964" w:type="dxa"/>
            <w:vAlign w:val="center"/>
          </w:tcPr>
          <w:p>
            <w:pPr>
              <w:pStyle w:val="12"/>
            </w:pPr>
            <w:r>
              <w:t>200.00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完成</w:t>
            </w:r>
          </w:p>
        </w:tc>
        <w:tc>
          <w:tcPr>
            <w:tcW w:w="850" w:type="dxa"/>
            <w:vAlign w:val="center"/>
          </w:tcPr>
          <w:p>
            <w:pPr>
              <w:pStyle w:val="12"/>
            </w:pPr>
            <w:r>
              <w:t>1</w:t>
            </w:r>
          </w:p>
        </w:tc>
        <w:tc>
          <w:tcPr>
            <w:tcW w:w="850" w:type="dxa"/>
            <w:vAlign w:val="center"/>
          </w:tcPr>
          <w:p>
            <w:pPr>
              <w:pStyle w:val="12"/>
            </w:pPr>
            <w:r>
              <w:t>75.00</w:t>
            </w:r>
          </w:p>
        </w:tc>
        <w:tc>
          <w:tcPr>
            <w:tcW w:w="964" w:type="dxa"/>
            <w:vAlign w:val="center"/>
          </w:tcPr>
          <w:p>
            <w:pPr>
              <w:pStyle w:val="12"/>
            </w:pPr>
            <w:r>
              <w:t>75.00</w:t>
            </w:r>
          </w:p>
        </w:tc>
        <w:tc>
          <w:tcPr>
            <w:tcW w:w="964" w:type="dxa"/>
            <w:vAlign w:val="center"/>
          </w:tcPr>
          <w:p>
            <w:pPr>
              <w:pStyle w:val="12"/>
            </w:pPr>
            <w:r>
              <w:t>75.00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无极县审计局本级（含所属单位）上年末固定资产金额为88.12万元（详见下表）。本年度拟购置固定资产总额为0.00万元</w:t>
      </w:r>
      <w:bookmarkStart w:id="20" w:name="_GoBack"/>
      <w:bookmarkEnd w:id="20"/>
      <w:r>
        <w:rPr>
          <w:rFonts w:ascii="Times New Roman" w:hAnsi="Times New Roman" w:eastAsia="方正仿宋_GBK" w:cs="Times New Roman"/>
          <w:b w:val="0"/>
          <w:color w:val="000000"/>
          <w:sz w:val="28"/>
        </w:rPr>
        <w:t>。</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319无极县审计局本级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169</w:t>
            </w:r>
          </w:p>
        </w:tc>
        <w:tc>
          <w:tcPr>
            <w:tcW w:w="2835" w:type="dxa"/>
            <w:vAlign w:val="center"/>
          </w:tcPr>
          <w:p>
            <w:pPr>
              <w:pStyle w:val="12"/>
            </w:pPr>
            <w:r>
              <w:t>81.15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jc w:val="left"/>
        <w:outlineLvl w:val="9"/>
        <w:rPr>
          <w:rFonts w:ascii="Times New Roman" w:hAnsi="Times New Roman" w:eastAsia="方正仿宋_GBK" w:cs="Times New Roman"/>
          <w:b w:val="0"/>
          <w:color w:val="000000"/>
          <w:sz w:val="28"/>
        </w:rPr>
      </w:pPr>
    </w:p>
    <w:p>
      <w:pPr>
        <w:pStyle w:val="24"/>
        <w:sectPr>
          <w:pgSz w:w="16840" w:h="11900" w:orient="landscape"/>
          <w:pgMar w:top="1361" w:right="1020" w:bottom="1134" w:left="1020" w:header="720" w:footer="720" w:gutter="0"/>
          <w:cols w:space="720" w:num="1"/>
        </w:sectPr>
      </w:pPr>
    </w:p>
    <w:p>
      <w:pPr>
        <w:spacing w:before="0" w:after="0" w:line="240" w:lineRule="auto"/>
        <w:jc w:val="left"/>
        <w:outlineLvl w:val="9"/>
        <w:rPr>
          <w:rFonts w:ascii="Times New Roman" w:hAnsi="Times New Roman" w:eastAsia="方正仿宋_GBK" w:cs="Times New Roman"/>
          <w:b w:val="0"/>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A706B0"/>
    <w:rsid w:val="02155831"/>
    <w:rsid w:val="059868F5"/>
    <w:rsid w:val="0ADC39DB"/>
    <w:rsid w:val="12FE32F7"/>
    <w:rsid w:val="14037682"/>
    <w:rsid w:val="185660F9"/>
    <w:rsid w:val="1CCC4473"/>
    <w:rsid w:val="1DFE7223"/>
    <w:rsid w:val="280E5DF5"/>
    <w:rsid w:val="36B0612C"/>
    <w:rsid w:val="3EC53E05"/>
    <w:rsid w:val="747625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2024-01-31T17:27:40Z</dcterms:created>
  <dcterms:modified xsi:type="dcterms:W3CDTF">2024-01-31T09:27:40Z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2024-01-31T17:27:40Z</dcterms:created>
  <dcterms:modified xsi:type="dcterms:W3CDTF">2024-01-31T09:27:40Z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2024-01-31T17:27:41Z</dcterms:created>
  <dcterms:modified xsi:type="dcterms:W3CDTF">2024-01-31T09:27:41Z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2024-01-31T17:27:40Z</dcterms:created>
  <dcterms:modified xsi:type="dcterms:W3CDTF">2024-01-31T09:27:40Z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2024-01-31T17:27:40Z</dcterms:created>
  <dcterms:modified xsi:type="dcterms:W3CDTF">2024-01-31T09:27:40Z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5a6ec96-d492-4088-9704-b4f11c04860d}">
  <ds:schemaRefs/>
</ds:datastoreItem>
</file>

<file path=customXml/itemProps10.xml><?xml version="1.0" encoding="utf-8"?>
<ds:datastoreItem xmlns:ds="http://schemas.openxmlformats.org/officeDocument/2006/customXml" ds:itemID="{4e5dac29-38fc-41dc-a94a-57793a753fce}">
  <ds:schemaRefs/>
</ds:datastoreItem>
</file>

<file path=customXml/itemProps2.xml><?xml version="1.0" encoding="utf-8"?>
<ds:datastoreItem xmlns:ds="http://schemas.openxmlformats.org/officeDocument/2006/customXml" ds:itemID="{a42e4e8e-5cd3-4efe-8fcc-f94427ea28fc}">
  <ds:schemaRefs/>
</ds:datastoreItem>
</file>

<file path=customXml/itemProps3.xml><?xml version="1.0" encoding="utf-8"?>
<ds:datastoreItem xmlns:ds="http://schemas.openxmlformats.org/officeDocument/2006/customXml" ds:itemID="{8eb5263a-47bc-4f56-ba27-1c1b0fbdd614}">
  <ds:schemaRefs/>
</ds:datastoreItem>
</file>

<file path=customXml/itemProps4.xml><?xml version="1.0" encoding="utf-8"?>
<ds:datastoreItem xmlns:ds="http://schemas.openxmlformats.org/officeDocument/2006/customXml" ds:itemID="{09075909-1118-4db1-8dcb-26b914135859}">
  <ds:schemaRefs/>
</ds:datastoreItem>
</file>

<file path=customXml/itemProps5.xml><?xml version="1.0" encoding="utf-8"?>
<ds:datastoreItem xmlns:ds="http://schemas.openxmlformats.org/officeDocument/2006/customXml" ds:itemID="{d6e5a8d2-8bc8-475a-bc84-c2927fb16386}">
  <ds:schemaRefs/>
</ds:datastoreItem>
</file>

<file path=customXml/itemProps6.xml><?xml version="1.0" encoding="utf-8"?>
<ds:datastoreItem xmlns:ds="http://schemas.openxmlformats.org/officeDocument/2006/customXml" ds:itemID="{f08b368a-82a1-41c9-bddc-307d0c7d4a93}">
  <ds:schemaRefs/>
</ds:datastoreItem>
</file>

<file path=customXml/itemProps7.xml><?xml version="1.0" encoding="utf-8"?>
<ds:datastoreItem xmlns:ds="http://schemas.openxmlformats.org/officeDocument/2006/customXml" ds:itemID="{c02567b4-c55c-49c0-816f-94da47d83a27}">
  <ds:schemaRefs/>
</ds:datastoreItem>
</file>

<file path=customXml/itemProps8.xml><?xml version="1.0" encoding="utf-8"?>
<ds:datastoreItem xmlns:ds="http://schemas.openxmlformats.org/officeDocument/2006/customXml" ds:itemID="{36f369d8-498b-42ac-b36e-53b7ad066ba8}">
  <ds:schemaRefs/>
</ds:datastoreItem>
</file>

<file path=customXml/itemProps9.xml><?xml version="1.0" encoding="utf-8"?>
<ds:datastoreItem xmlns:ds="http://schemas.openxmlformats.org/officeDocument/2006/customXml" ds:itemID="{118b5253-3190-483f-8666-4f416a134f67}">
  <ds:schemaRefs/>
</ds:datastoreItem>
</file>

<file path=docProps/app.xml><?xml version="1.0" encoding="utf-8"?>
<Properties xmlns="http://schemas.openxmlformats.org/officeDocument/2006/extended-properties" xmlns:vt="http://schemas.openxmlformats.org/officeDocument/2006/docPropsVTypes">
  <TotalTime>15</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2024-01-31T17:27:00Z</dcterms:created>
  <dc:creator>Administrator</dc:creator>
  <cp:lastModifiedBy>浮生</cp:lastModifiedBy>
  <cp:lastPrinted>2024-02-05T01:42:00Z</cp:lastPrinted>
  <dcterms:modified xsi:type="dcterms:W3CDTF">2025-10-27T02:56:01Z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694553272D43499F8DB61F407D61266A</vt:lpwstr>
  </property>
</Properties>
</file>