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一、中国共产主义青年团无极县委员会本级收支预算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一、中国共产主义青年团无极县委员会本级收支预算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52.57</w:t>
            </w:r>
          </w:p>
        </w:tc>
        <w:tc>
          <w:tcPr>
            <w:tcW w:w="4535" w:type="dxa"/>
            <w:vAlign w:val="center"/>
          </w:tcPr>
          <w:p>
            <w:pPr>
              <w:pStyle w:val="12"/>
            </w:pPr>
            <w:r>
              <w:t>一、一般公共服务支出</w:t>
            </w:r>
          </w:p>
        </w:tc>
        <w:tc>
          <w:tcPr>
            <w:tcW w:w="2126" w:type="dxa"/>
            <w:vAlign w:val="center"/>
          </w:tcPr>
          <w:p>
            <w:pPr>
              <w:pStyle w:val="11"/>
            </w:pPr>
            <w:r>
              <w:t>41.62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52.57</w:t>
            </w:r>
          </w:p>
        </w:tc>
        <w:tc>
          <w:tcPr>
            <w:tcW w:w="4535" w:type="dxa"/>
            <w:vAlign w:val="center"/>
          </w:tcPr>
          <w:p>
            <w:pPr>
              <w:pStyle w:val="14"/>
            </w:pPr>
            <w:r>
              <w:t>本年支出合计</w:t>
            </w:r>
          </w:p>
        </w:tc>
        <w:tc>
          <w:tcPr>
            <w:tcW w:w="2126" w:type="dxa"/>
            <w:vAlign w:val="center"/>
          </w:tcPr>
          <w:p>
            <w:pPr>
              <w:pStyle w:val="15"/>
            </w:pPr>
            <w:r>
              <w:t>52.57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52.57</w:t>
            </w:r>
          </w:p>
        </w:tc>
        <w:tc>
          <w:tcPr>
            <w:tcW w:w="4535" w:type="dxa"/>
            <w:vAlign w:val="center"/>
          </w:tcPr>
          <w:p>
            <w:pPr>
              <w:pStyle w:val="14"/>
            </w:pPr>
            <w:r>
              <w:t>支出总计</w:t>
            </w:r>
          </w:p>
        </w:tc>
        <w:tc>
          <w:tcPr>
            <w:tcW w:w="2126" w:type="dxa"/>
            <w:vAlign w:val="center"/>
          </w:tcPr>
          <w:p>
            <w:pPr>
              <w:pStyle w:val="15"/>
            </w:pPr>
            <w:r>
              <w:t>52.57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52.57</w:t>
            </w:r>
          </w:p>
        </w:tc>
        <w:tc>
          <w:tcPr>
            <w:tcW w:w="1134" w:type="dxa"/>
            <w:vAlign w:val="center"/>
          </w:tcPr>
          <w:p>
            <w:pPr>
              <w:pStyle w:val="15"/>
            </w:pPr>
            <w:r>
              <w:t>52.57</w:t>
            </w:r>
          </w:p>
        </w:tc>
        <w:tc>
          <w:tcPr>
            <w:tcW w:w="1134" w:type="dxa"/>
            <w:vAlign w:val="center"/>
          </w:tcPr>
          <w:p>
            <w:pPr>
              <w:pStyle w:val="15"/>
            </w:pPr>
            <w:r>
              <w:t>52.57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41.62</w:t>
            </w:r>
          </w:p>
        </w:tc>
        <w:tc>
          <w:tcPr>
            <w:tcW w:w="1134" w:type="dxa"/>
            <w:vAlign w:val="center"/>
          </w:tcPr>
          <w:p>
            <w:pPr>
              <w:pStyle w:val="11"/>
            </w:pPr>
            <w:r>
              <w:t>41.62</w:t>
            </w:r>
          </w:p>
        </w:tc>
        <w:tc>
          <w:tcPr>
            <w:tcW w:w="1134" w:type="dxa"/>
            <w:vAlign w:val="center"/>
          </w:tcPr>
          <w:p>
            <w:pPr>
              <w:pStyle w:val="11"/>
            </w:pPr>
            <w:r>
              <w:t>41.62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41.62</w:t>
            </w:r>
          </w:p>
        </w:tc>
        <w:tc>
          <w:tcPr>
            <w:tcW w:w="1134" w:type="dxa"/>
            <w:vAlign w:val="center"/>
          </w:tcPr>
          <w:p>
            <w:pPr>
              <w:pStyle w:val="11"/>
            </w:pPr>
            <w:r>
              <w:t>41.62</w:t>
            </w:r>
          </w:p>
        </w:tc>
        <w:tc>
          <w:tcPr>
            <w:tcW w:w="1134" w:type="dxa"/>
            <w:vAlign w:val="center"/>
          </w:tcPr>
          <w:p>
            <w:pPr>
              <w:pStyle w:val="11"/>
            </w:pPr>
            <w:r>
              <w:t>41.62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38.62</w:t>
            </w:r>
          </w:p>
        </w:tc>
        <w:tc>
          <w:tcPr>
            <w:tcW w:w="1134" w:type="dxa"/>
            <w:vAlign w:val="center"/>
          </w:tcPr>
          <w:p>
            <w:pPr>
              <w:pStyle w:val="11"/>
            </w:pPr>
            <w:r>
              <w:t>38.62</w:t>
            </w:r>
          </w:p>
        </w:tc>
        <w:tc>
          <w:tcPr>
            <w:tcW w:w="1134" w:type="dxa"/>
            <w:vAlign w:val="center"/>
          </w:tcPr>
          <w:p>
            <w:pPr>
              <w:pStyle w:val="11"/>
            </w:pPr>
            <w:r>
              <w:t>38.62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7.95</w:t>
            </w:r>
          </w:p>
        </w:tc>
        <w:tc>
          <w:tcPr>
            <w:tcW w:w="1134" w:type="dxa"/>
            <w:vAlign w:val="center"/>
          </w:tcPr>
          <w:p>
            <w:pPr>
              <w:pStyle w:val="11"/>
            </w:pPr>
            <w:r>
              <w:t>7.95</w:t>
            </w:r>
          </w:p>
        </w:tc>
        <w:tc>
          <w:tcPr>
            <w:tcW w:w="1134" w:type="dxa"/>
            <w:vAlign w:val="center"/>
          </w:tcPr>
          <w:p>
            <w:pPr>
              <w:pStyle w:val="11"/>
            </w:pPr>
            <w:r>
              <w:t>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7.95</w:t>
            </w:r>
          </w:p>
        </w:tc>
        <w:tc>
          <w:tcPr>
            <w:tcW w:w="1134" w:type="dxa"/>
            <w:vAlign w:val="center"/>
          </w:tcPr>
          <w:p>
            <w:pPr>
              <w:pStyle w:val="11"/>
            </w:pPr>
            <w:r>
              <w:t>7.95</w:t>
            </w:r>
          </w:p>
        </w:tc>
        <w:tc>
          <w:tcPr>
            <w:tcW w:w="1134" w:type="dxa"/>
            <w:vAlign w:val="center"/>
          </w:tcPr>
          <w:p>
            <w:pPr>
              <w:pStyle w:val="11"/>
            </w:pPr>
            <w:r>
              <w:t>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1.24</w:t>
            </w:r>
          </w:p>
        </w:tc>
        <w:tc>
          <w:tcPr>
            <w:tcW w:w="1134" w:type="dxa"/>
            <w:vAlign w:val="center"/>
          </w:tcPr>
          <w:p>
            <w:pPr>
              <w:pStyle w:val="11"/>
            </w:pPr>
            <w:r>
              <w:t>1.24</w:t>
            </w:r>
          </w:p>
        </w:tc>
        <w:tc>
          <w:tcPr>
            <w:tcW w:w="1134" w:type="dxa"/>
            <w:vAlign w:val="center"/>
          </w:tcPr>
          <w:p>
            <w:pPr>
              <w:pStyle w:val="11"/>
            </w:pPr>
            <w:r>
              <w:t>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52.57</w:t>
            </w:r>
          </w:p>
        </w:tc>
        <w:tc>
          <w:tcPr>
            <w:tcW w:w="1361" w:type="dxa"/>
            <w:vAlign w:val="center"/>
          </w:tcPr>
          <w:p>
            <w:pPr>
              <w:pStyle w:val="15"/>
            </w:pPr>
            <w:r>
              <w:t>49.57</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41.62</w:t>
            </w:r>
          </w:p>
        </w:tc>
        <w:tc>
          <w:tcPr>
            <w:tcW w:w="1361" w:type="dxa"/>
            <w:vAlign w:val="center"/>
          </w:tcPr>
          <w:p>
            <w:pPr>
              <w:pStyle w:val="11"/>
            </w:pPr>
            <w:r>
              <w:t>38.62</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41.62</w:t>
            </w:r>
          </w:p>
        </w:tc>
        <w:tc>
          <w:tcPr>
            <w:tcW w:w="1361" w:type="dxa"/>
            <w:vAlign w:val="center"/>
          </w:tcPr>
          <w:p>
            <w:pPr>
              <w:pStyle w:val="11"/>
            </w:pPr>
            <w:r>
              <w:t>38.62</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38.62</w:t>
            </w:r>
          </w:p>
        </w:tc>
        <w:tc>
          <w:tcPr>
            <w:tcW w:w="1361" w:type="dxa"/>
            <w:vAlign w:val="center"/>
          </w:tcPr>
          <w:p>
            <w:pPr>
              <w:pStyle w:val="11"/>
            </w:pPr>
            <w:r>
              <w:t>38.62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7.95</w:t>
            </w:r>
          </w:p>
        </w:tc>
        <w:tc>
          <w:tcPr>
            <w:tcW w:w="1361" w:type="dxa"/>
            <w:vAlign w:val="center"/>
          </w:tcPr>
          <w:p>
            <w:pPr>
              <w:pStyle w:val="11"/>
            </w:pPr>
            <w:r>
              <w:t>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7.95</w:t>
            </w:r>
          </w:p>
        </w:tc>
        <w:tc>
          <w:tcPr>
            <w:tcW w:w="1361" w:type="dxa"/>
            <w:vAlign w:val="center"/>
          </w:tcPr>
          <w:p>
            <w:pPr>
              <w:pStyle w:val="11"/>
            </w:pPr>
            <w:r>
              <w:t>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6.71</w:t>
            </w:r>
          </w:p>
        </w:tc>
        <w:tc>
          <w:tcPr>
            <w:tcW w:w="1361" w:type="dxa"/>
            <w:vAlign w:val="center"/>
          </w:tcPr>
          <w:p>
            <w:pPr>
              <w:pStyle w:val="11"/>
            </w:pPr>
            <w:r>
              <w:t>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1.24</w:t>
            </w:r>
          </w:p>
        </w:tc>
        <w:tc>
          <w:tcPr>
            <w:tcW w:w="1361" w:type="dxa"/>
            <w:vAlign w:val="center"/>
          </w:tcPr>
          <w:p>
            <w:pPr>
              <w:pStyle w:val="11"/>
            </w:pPr>
            <w:r>
              <w:t>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52.57</w:t>
            </w:r>
          </w:p>
        </w:tc>
        <w:tc>
          <w:tcPr>
            <w:tcW w:w="3402" w:type="dxa"/>
            <w:vAlign w:val="center"/>
          </w:tcPr>
          <w:p>
            <w:pPr>
              <w:pStyle w:val="12"/>
            </w:pPr>
            <w:r>
              <w:t>一、一般公共服务支出</w:t>
            </w:r>
          </w:p>
        </w:tc>
        <w:tc>
          <w:tcPr>
            <w:tcW w:w="1474" w:type="dxa"/>
            <w:vAlign w:val="center"/>
          </w:tcPr>
          <w:p>
            <w:pPr>
              <w:pStyle w:val="11"/>
            </w:pPr>
            <w:r>
              <w:t>41.62</w:t>
            </w:r>
          </w:p>
        </w:tc>
        <w:tc>
          <w:tcPr>
            <w:tcW w:w="1474" w:type="dxa"/>
            <w:vAlign w:val="center"/>
          </w:tcPr>
          <w:p>
            <w:pPr>
              <w:pStyle w:val="11"/>
            </w:pPr>
            <w:r>
              <w:t>41.62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7.95</w:t>
            </w:r>
          </w:p>
        </w:tc>
        <w:tc>
          <w:tcPr>
            <w:tcW w:w="1474" w:type="dxa"/>
            <w:vAlign w:val="center"/>
          </w:tcPr>
          <w:p>
            <w:pPr>
              <w:pStyle w:val="11"/>
            </w:pPr>
            <w:r>
              <w:t>7.95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w:t>
            </w:r>
          </w:p>
        </w:tc>
        <w:tc>
          <w:tcPr>
            <w:tcW w:w="1474" w:type="dxa"/>
            <w:vAlign w:val="center"/>
          </w:tcPr>
          <w:p>
            <w:pPr>
              <w:pStyle w:val="11"/>
            </w:pPr>
            <w:r>
              <w:t>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52.57</w:t>
            </w:r>
          </w:p>
        </w:tc>
        <w:tc>
          <w:tcPr>
            <w:tcW w:w="3402" w:type="dxa"/>
            <w:vAlign w:val="center"/>
          </w:tcPr>
          <w:p>
            <w:pPr>
              <w:pStyle w:val="14"/>
            </w:pPr>
            <w:r>
              <w:t>本年支出合计</w:t>
            </w:r>
          </w:p>
        </w:tc>
        <w:tc>
          <w:tcPr>
            <w:tcW w:w="1474" w:type="dxa"/>
            <w:vAlign w:val="center"/>
          </w:tcPr>
          <w:p>
            <w:pPr>
              <w:pStyle w:val="15"/>
            </w:pPr>
            <w:r>
              <w:t>52.57</w:t>
            </w:r>
          </w:p>
        </w:tc>
        <w:tc>
          <w:tcPr>
            <w:tcW w:w="1474" w:type="dxa"/>
            <w:vAlign w:val="center"/>
          </w:tcPr>
          <w:p>
            <w:pPr>
              <w:pStyle w:val="15"/>
            </w:pPr>
            <w:r>
              <w:t>52.57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52.57</w:t>
            </w:r>
          </w:p>
        </w:tc>
        <w:tc>
          <w:tcPr>
            <w:tcW w:w="3402" w:type="dxa"/>
            <w:vAlign w:val="center"/>
          </w:tcPr>
          <w:p>
            <w:pPr>
              <w:pStyle w:val="14"/>
            </w:pPr>
            <w:r>
              <w:t>支出总计</w:t>
            </w:r>
          </w:p>
        </w:tc>
        <w:tc>
          <w:tcPr>
            <w:tcW w:w="1474" w:type="dxa"/>
            <w:vAlign w:val="center"/>
          </w:tcPr>
          <w:p>
            <w:pPr>
              <w:pStyle w:val="15"/>
            </w:pPr>
            <w:r>
              <w:t>52.57</w:t>
            </w:r>
          </w:p>
        </w:tc>
        <w:tc>
          <w:tcPr>
            <w:tcW w:w="1474" w:type="dxa"/>
            <w:vAlign w:val="center"/>
          </w:tcPr>
          <w:p>
            <w:pPr>
              <w:pStyle w:val="15"/>
            </w:pPr>
            <w:r>
              <w:t>52.57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52.57</w:t>
            </w:r>
          </w:p>
        </w:tc>
        <w:tc>
          <w:tcPr>
            <w:tcW w:w="2551" w:type="dxa"/>
            <w:vAlign w:val="center"/>
          </w:tcPr>
          <w:p>
            <w:pPr>
              <w:pStyle w:val="15"/>
            </w:pPr>
            <w:r>
              <w:t>49.57</w:t>
            </w: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41.62</w:t>
            </w:r>
          </w:p>
        </w:tc>
        <w:tc>
          <w:tcPr>
            <w:tcW w:w="2551" w:type="dxa"/>
            <w:vAlign w:val="center"/>
          </w:tcPr>
          <w:p>
            <w:pPr>
              <w:pStyle w:val="11"/>
            </w:pPr>
            <w:r>
              <w:t>38.62</w:t>
            </w: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41.62</w:t>
            </w:r>
          </w:p>
        </w:tc>
        <w:tc>
          <w:tcPr>
            <w:tcW w:w="2551" w:type="dxa"/>
            <w:vAlign w:val="center"/>
          </w:tcPr>
          <w:p>
            <w:pPr>
              <w:pStyle w:val="11"/>
            </w:pPr>
            <w:r>
              <w:t>38.62</w:t>
            </w: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38.62</w:t>
            </w:r>
          </w:p>
        </w:tc>
        <w:tc>
          <w:tcPr>
            <w:tcW w:w="2551" w:type="dxa"/>
            <w:vAlign w:val="center"/>
          </w:tcPr>
          <w:p>
            <w:pPr>
              <w:pStyle w:val="11"/>
            </w:pPr>
            <w:r>
              <w:t>38.62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7.95</w:t>
            </w:r>
          </w:p>
        </w:tc>
        <w:tc>
          <w:tcPr>
            <w:tcW w:w="2551" w:type="dxa"/>
            <w:vAlign w:val="center"/>
          </w:tcPr>
          <w:p>
            <w:pPr>
              <w:pStyle w:val="11"/>
            </w:pPr>
            <w:r>
              <w:t>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7.95</w:t>
            </w:r>
          </w:p>
        </w:tc>
        <w:tc>
          <w:tcPr>
            <w:tcW w:w="2551" w:type="dxa"/>
            <w:vAlign w:val="center"/>
          </w:tcPr>
          <w:p>
            <w:pPr>
              <w:pStyle w:val="11"/>
            </w:pPr>
            <w:r>
              <w:t>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6.71</w:t>
            </w:r>
          </w:p>
        </w:tc>
        <w:tc>
          <w:tcPr>
            <w:tcW w:w="2551" w:type="dxa"/>
            <w:vAlign w:val="center"/>
          </w:tcPr>
          <w:p>
            <w:pPr>
              <w:pStyle w:val="11"/>
            </w:pPr>
            <w:r>
              <w:t>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1.24</w:t>
            </w:r>
          </w:p>
        </w:tc>
        <w:tc>
          <w:tcPr>
            <w:tcW w:w="2551" w:type="dxa"/>
            <w:vAlign w:val="center"/>
          </w:tcPr>
          <w:p>
            <w:pPr>
              <w:pStyle w:val="11"/>
            </w:pPr>
            <w:r>
              <w:t>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49.57</w:t>
            </w:r>
          </w:p>
        </w:tc>
        <w:tc>
          <w:tcPr>
            <w:tcW w:w="2551" w:type="dxa"/>
            <w:vAlign w:val="center"/>
          </w:tcPr>
          <w:p>
            <w:pPr>
              <w:pStyle w:val="15"/>
            </w:pPr>
            <w:r>
              <w:t>43.68</w:t>
            </w:r>
          </w:p>
        </w:tc>
        <w:tc>
          <w:tcPr>
            <w:tcW w:w="2551" w:type="dxa"/>
            <w:vAlign w:val="center"/>
          </w:tcPr>
          <w:p>
            <w:pPr>
              <w:pStyle w:val="15"/>
            </w:pPr>
            <w:r>
              <w:t>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43.68</w:t>
            </w:r>
          </w:p>
        </w:tc>
        <w:tc>
          <w:tcPr>
            <w:tcW w:w="2551" w:type="dxa"/>
            <w:vAlign w:val="center"/>
          </w:tcPr>
          <w:p>
            <w:pPr>
              <w:pStyle w:val="11"/>
            </w:pPr>
            <w:r>
              <w:t>43.68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14.07</w:t>
            </w:r>
          </w:p>
        </w:tc>
        <w:tc>
          <w:tcPr>
            <w:tcW w:w="2551" w:type="dxa"/>
            <w:vAlign w:val="center"/>
          </w:tcPr>
          <w:p>
            <w:pPr>
              <w:pStyle w:val="11"/>
            </w:pPr>
            <w:r>
              <w:t>14.07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9.63</w:t>
            </w:r>
          </w:p>
        </w:tc>
        <w:tc>
          <w:tcPr>
            <w:tcW w:w="2551" w:type="dxa"/>
            <w:vAlign w:val="center"/>
          </w:tcPr>
          <w:p>
            <w:pPr>
              <w:pStyle w:val="11"/>
            </w:pPr>
            <w:r>
              <w:t>9.63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6.71</w:t>
            </w:r>
          </w:p>
        </w:tc>
        <w:tc>
          <w:tcPr>
            <w:tcW w:w="2551" w:type="dxa"/>
            <w:vAlign w:val="center"/>
          </w:tcPr>
          <w:p>
            <w:pPr>
              <w:pStyle w:val="11"/>
            </w:pPr>
            <w:r>
              <w:t>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1.24</w:t>
            </w:r>
          </w:p>
        </w:tc>
        <w:tc>
          <w:tcPr>
            <w:tcW w:w="2551" w:type="dxa"/>
            <w:vAlign w:val="center"/>
          </w:tcPr>
          <w:p>
            <w:pPr>
              <w:pStyle w:val="11"/>
            </w:pPr>
            <w:r>
              <w:t>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5.89</w:t>
            </w:r>
          </w:p>
        </w:tc>
        <w:tc>
          <w:tcPr>
            <w:tcW w:w="2551" w:type="dxa"/>
            <w:vAlign w:val="center"/>
          </w:tcPr>
          <w:p>
            <w:pPr>
              <w:pStyle w:val="11"/>
            </w:pPr>
          </w:p>
        </w:tc>
        <w:tc>
          <w:tcPr>
            <w:tcW w:w="2551" w:type="dxa"/>
            <w:vAlign w:val="center"/>
          </w:tcPr>
          <w:p>
            <w:pPr>
              <w:pStyle w:val="11"/>
            </w:pPr>
            <w:r>
              <w:t>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1.39</w:t>
            </w:r>
          </w:p>
        </w:tc>
        <w:tc>
          <w:tcPr>
            <w:tcW w:w="2551" w:type="dxa"/>
            <w:vAlign w:val="center"/>
          </w:tcPr>
          <w:p>
            <w:pPr>
              <w:pStyle w:val="11"/>
            </w:pPr>
          </w:p>
        </w:tc>
        <w:tc>
          <w:tcPr>
            <w:tcW w:w="2551" w:type="dxa"/>
            <w:vAlign w:val="center"/>
          </w:tcPr>
          <w:p>
            <w:pPr>
              <w:pStyle w:val="11"/>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中国共产主义青年团无极县委员会本级2024年单位预算信息公开情况说明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按照《中华人民共和国预算法》、《地方预决算公开操作规程》和《关于进一步推进预算公开工作的实施意见》规定，现将中国共产主义青年团无极县委员会本级2024年单位预算公开如下：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1、行使共青团无极县委赋予的领导无极县共青团工作，指导全县少先队工作的职权。</w:t>
      </w:r>
    </w:p>
    <w:p>
      <w:pPr>
        <w:pStyle w:val="17"/>
      </w:pPr>
      <w:r>
        <w:t>2、参与制定全县的青少年事业发展规划和青少年工作方针、政策。对青少年活动阵地和青少年服务机构的建设等事务进行规划和管理。</w:t>
      </w:r>
    </w:p>
    <w:p>
      <w:pPr>
        <w:pStyle w:val="17"/>
      </w:pPr>
      <w:r>
        <w:t>3、参与全县有关青少年事务的法律、地方性法规的制定和实施，协助县委和县政府处理、协调与青少年利益相关的事务。</w:t>
      </w:r>
    </w:p>
    <w:p>
      <w:pPr>
        <w:pStyle w:val="17"/>
      </w:pPr>
      <w:r>
        <w:t>4、调查青少年思想动态和青少年工作状况，研究青少年工作理论和思想教育问题，提出相应对策，开展各种活动。</w:t>
      </w:r>
    </w:p>
    <w:p>
      <w:pPr>
        <w:pStyle w:val="17"/>
      </w:pPr>
      <w:r>
        <w:t>5、协助县政府教育单位做好中，小学学生的教育管理工作，维护学校稳定和社会安定团结。</w:t>
      </w:r>
    </w:p>
    <w:p>
      <w:pPr>
        <w:pStyle w:val="17"/>
      </w:pPr>
      <w:r>
        <w:t>6、在国家建设中，组织和带领青年发挥生力军和突击队作用。</w:t>
      </w:r>
    </w:p>
    <w:p>
      <w:pPr>
        <w:pStyle w:val="17"/>
      </w:pPr>
      <w:r>
        <w:t>7、参与制定有关全县的青年统战工作的政策，做好青年统战对象的团结教育工作，维护和促进祖国统一和民族团结。</w:t>
      </w:r>
    </w:p>
    <w:p>
      <w:pPr>
        <w:pStyle w:val="17"/>
      </w:pPr>
      <w:r>
        <w:t>8、承担县委、县政府和团市委交办的有关事项。</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中国共产主义青年团无极县委员会本级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52.57万元，其中：一般公共预算收入52.57万元，基金预算收入0.00万元，国有资本经营预算收入0.00万元，财政专户核拨收入0.00万元，单位资金收入0.00万元，上年结转结余0.00万元。</w:t>
      </w:r>
    </w:p>
    <w:p>
      <w:pPr>
        <w:pStyle w:val="18"/>
      </w:pPr>
      <w:r>
        <w:t>2、支出说明</w:t>
      </w:r>
    </w:p>
    <w:p>
      <w:pPr>
        <w:pStyle w:val="18"/>
        <w:rPr>
          <w:rFonts w:hint="eastAsia"/>
          <w:lang w:eastAsia="zh-CN"/>
        </w:rPr>
      </w:pPr>
      <w:r>
        <w:t>收支预算总表支出栏、基本支出表、项目支出表按经济分类和支出功能分类科目编制，反映中国共产主义青年团无极县委员会本级年度单位预算中支出预算的总体情况。2024年支出预算52.57万元，其中基本支出49.57万元，包括人员经费43.68万元和日常公用经费5.89万元；项目支出3.00万元，主要为</w:t>
      </w:r>
      <w:r>
        <w:rPr>
          <w:rFonts w:hint="eastAsia"/>
          <w:lang w:eastAsia="zh-CN"/>
        </w:rPr>
        <w:t>青少年活动经费</w:t>
      </w:r>
      <w:r>
        <w:rPr>
          <w:rFonts w:hint="eastAsia"/>
          <w:lang w:val="en-US" w:eastAsia="zh-CN"/>
        </w:rPr>
        <w:t>3万元</w:t>
      </w:r>
      <w:r>
        <w:rPr>
          <w:rFonts w:hint="eastAsia"/>
          <w:lang w:eastAsia="zh-CN"/>
        </w:rPr>
        <w:t>。</w:t>
      </w:r>
    </w:p>
    <w:p>
      <w:pPr>
        <w:pStyle w:val="18"/>
      </w:pPr>
      <w:r>
        <w:t>3、比上年增减情况</w:t>
      </w:r>
    </w:p>
    <w:p>
      <w:pPr>
        <w:pStyle w:val="18"/>
        <w:rPr>
          <w:rFonts w:hint="eastAsia"/>
        </w:rPr>
      </w:pPr>
      <w:r>
        <w:t>2024年预算收支安排52.57万元，较2023年预算增加4.04万元，其中：基本支出增加3.04万元，主要为保险基数的调整</w:t>
      </w:r>
      <w:r>
        <w:rPr>
          <w:rFonts w:hint="eastAsia"/>
          <w:lang w:eastAsia="zh-CN"/>
        </w:rPr>
        <w:t>、</w:t>
      </w:r>
      <w:r>
        <w:t>人员</w:t>
      </w:r>
      <w:r>
        <w:rPr>
          <w:rFonts w:hint="eastAsia"/>
          <w:lang w:eastAsia="zh-CN"/>
        </w:rPr>
        <w:t>经费</w:t>
      </w:r>
      <w:r>
        <w:t>的增加</w:t>
      </w:r>
      <w:r>
        <w:rPr>
          <w:rFonts w:hint="eastAsia"/>
          <w:lang w:eastAsia="zh-CN"/>
        </w:rPr>
        <w:t>，</w:t>
      </w:r>
      <w:r>
        <w:t>项目支出增加1.00万元，主要为</w:t>
      </w:r>
      <w:r>
        <w:rPr>
          <w:rFonts w:hint="eastAsia"/>
          <w:lang w:eastAsia="zh-CN"/>
        </w:rPr>
        <w:t>青少年活动经费</w:t>
      </w:r>
      <w:r>
        <w:rPr>
          <w:rFonts w:hint="eastAsia"/>
          <w:lang w:val="en-US" w:eastAsia="zh-CN"/>
        </w:rPr>
        <w:t>1万元</w:t>
      </w:r>
      <w:r>
        <w:rPr>
          <w:rFonts w:hint="eastAsia"/>
          <w:lang w:eastAsia="zh-CN"/>
        </w:rPr>
        <w:t>。</w:t>
      </w:r>
    </w:p>
    <w:p>
      <w:pPr>
        <w:pStyle w:val="18"/>
      </w:pPr>
      <w:r>
        <w:rPr>
          <w:rFonts w:ascii="黑体" w:hAnsi="黑体" w:eastAsia="黑体" w:cs="黑体"/>
          <w:color w:val="000000"/>
          <w:sz w:val="32"/>
        </w:rPr>
        <w:t>三、机关运行经费安排情况</w:t>
      </w:r>
    </w:p>
    <w:p>
      <w:pPr>
        <w:pStyle w:val="27"/>
      </w:pPr>
      <w:r>
        <w:rPr>
          <w:rFonts w:hint="eastAsia" w:ascii="宋体" w:hAnsi="宋体" w:eastAsia="宋体" w:cs="宋体"/>
          <w:sz w:val="24"/>
          <w:szCs w:val="24"/>
          <w:lang w:val="en-US" w:eastAsia="zh-CN"/>
        </w:rPr>
        <w:t xml:space="preserve"> </w:t>
      </w:r>
      <w:r>
        <w:rPr>
          <w:rFonts w:hint="eastAsia"/>
          <w:lang w:val="en-US" w:eastAsia="zh-CN"/>
        </w:rPr>
        <w:t>2024年我部门机关运行经费共计安排0万元，主要用于日常维修、办公用房水电费、办公用房取暖。办公用房物业管理费等日常运行支出。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四、财政拨款“三公”经费预算情况及增减变化原因</w:t>
      </w:r>
    </w:p>
    <w:p>
      <w:pPr>
        <w:keepNext w:val="0"/>
        <w:keepLines w:val="0"/>
        <w:pageBreakBefore w:val="0"/>
        <w:widowControl/>
        <w:kinsoku/>
        <w:wordWrap/>
        <w:overflowPunct/>
        <w:topLinePunct w:val="0"/>
        <w:autoSpaceDE/>
        <w:autoSpaceDN/>
        <w:bidi w:val="0"/>
        <w:adjustRightInd/>
        <w:snapToGrid/>
        <w:spacing w:line="500" w:lineRule="exact"/>
        <w:ind w:firstLine="561"/>
        <w:jc w:val="left"/>
        <w:textAlignment w:val="auto"/>
        <w:outlineLvl w:val="2"/>
        <w:rPr>
          <w:rFonts w:ascii="黑体" w:hAnsi="黑体" w:eastAsia="黑体" w:cs="黑体"/>
          <w:color w:val="000000"/>
          <w:sz w:val="32"/>
          <w:highlight w:val="none"/>
        </w:rPr>
      </w:pPr>
      <w:r>
        <w:rPr>
          <w:rFonts w:hint="eastAsia" w:ascii="Times New Roman" w:hAnsi="Times New Roman" w:eastAsia="方正仿宋_GBK" w:cs="Times New Roman"/>
          <w:sz w:val="28"/>
          <w:szCs w:val="24"/>
          <w:lang w:val="en-US" w:eastAsia="zh-CN" w:bidi="ar-SA"/>
        </w:rP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w:t>
      </w:r>
      <w:r>
        <w:rPr>
          <w:rFonts w:hint="eastAsia" w:eastAsia="方正仿宋_GBK" w:cs="Times New Roman"/>
          <w:sz w:val="28"/>
          <w:szCs w:val="24"/>
          <w:lang w:val="en-US" w:eastAsia="zh-CN" w:bidi="ar-SA"/>
        </w:rPr>
        <w:t>本单位本年度无三公经费预算，</w:t>
      </w:r>
      <w:r>
        <w:rPr>
          <w:rFonts w:hint="eastAsia" w:ascii="Times New Roman" w:hAnsi="Times New Roman" w:eastAsia="方正仿宋_GBK" w:cs="Times New Roman"/>
          <w:sz w:val="28"/>
          <w:szCs w:val="24"/>
          <w:highlight w:val="none"/>
          <w:lang w:val="en-US" w:eastAsia="zh-CN" w:bidi="ar-SA"/>
        </w:rPr>
        <w:t>三公经费与上年持平，无增减变化</w:t>
      </w:r>
      <w:r>
        <w:rPr>
          <w:rFonts w:ascii="黑体" w:hAnsi="黑体" w:eastAsia="黑体" w:cs="黑体"/>
          <w:color w:val="000000"/>
          <w:sz w:val="32"/>
          <w:highlight w:val="none"/>
        </w:rPr>
        <w:t>。</w:t>
      </w:r>
    </w:p>
    <w:p>
      <w:pPr>
        <w:pStyle w:val="26"/>
      </w:pPr>
    </w:p>
    <w:p>
      <w:pPr>
        <w:numPr>
          <w:ilvl w:val="0"/>
          <w:numId w:val="0"/>
        </w:numPr>
        <w:spacing w:before="10" w:after="10"/>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bookmarkStart w:id="1" w:name="_GoBack"/>
      <w:bookmarkEnd w:id="1"/>
    </w:p>
    <w:p>
      <w:r>
        <w:rPr>
          <w:rFonts w:ascii="方正仿宋_GBK" w:hAnsi="方正仿宋_GBK" w:eastAsia="方正仿宋_GBK" w:cs="方正仿宋_GBK"/>
          <w:b/>
          <w:color w:val="000000"/>
          <w:sz w:val="28"/>
        </w:rPr>
        <w:t>1、2024年青少年活动经费绩效目标表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13013024P00003610113L</w:t>
            </w:r>
          </w:p>
        </w:tc>
        <w:tc>
          <w:tcPr>
            <w:tcW w:w="2835" w:type="dxa"/>
            <w:vAlign w:val="center"/>
          </w:tcPr>
          <w:p>
            <w:pPr>
              <w:pStyle w:val="10"/>
            </w:pPr>
            <w:r>
              <w:t>项目名称</w:t>
            </w:r>
          </w:p>
        </w:tc>
        <w:tc>
          <w:tcPr>
            <w:tcW w:w="6094" w:type="dxa"/>
            <w:gridSpan w:val="3"/>
            <w:vAlign w:val="center"/>
          </w:tcPr>
          <w:p>
            <w:pPr>
              <w:pStyle w:val="12"/>
            </w:pPr>
            <w:r>
              <w:t>2024年青少年活动经费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开展青少年有关工作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0.50</w:t>
            </w:r>
          </w:p>
        </w:tc>
        <w:tc>
          <w:tcPr>
            <w:tcW w:w="3543" w:type="dxa"/>
            <w:gridSpan w:val="2"/>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1.开展青少年有关工作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5"/>
        <w:gridCol w:w="1303"/>
        <w:gridCol w:w="2606"/>
        <w:gridCol w:w="4485"/>
        <w:gridCol w:w="1742"/>
        <w:gridCol w:w="39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45" w:type="dxa"/>
            <w:vAlign w:val="center"/>
          </w:tcPr>
          <w:p>
            <w:pPr>
              <w:pStyle w:val="10"/>
            </w:pPr>
            <w:r>
              <w:t>一级指标</w:t>
            </w:r>
          </w:p>
        </w:tc>
        <w:tc>
          <w:tcPr>
            <w:tcW w:w="1303" w:type="dxa"/>
            <w:vAlign w:val="center"/>
          </w:tcPr>
          <w:p>
            <w:pPr>
              <w:pStyle w:val="10"/>
            </w:pPr>
            <w:r>
              <w:t>二级指标</w:t>
            </w:r>
          </w:p>
        </w:tc>
        <w:tc>
          <w:tcPr>
            <w:tcW w:w="2606" w:type="dxa"/>
            <w:vAlign w:val="center"/>
          </w:tcPr>
          <w:p>
            <w:pPr>
              <w:pStyle w:val="10"/>
            </w:pPr>
            <w:r>
              <w:t>三级指标</w:t>
            </w:r>
          </w:p>
        </w:tc>
        <w:tc>
          <w:tcPr>
            <w:tcW w:w="4485" w:type="dxa"/>
            <w:vAlign w:val="center"/>
          </w:tcPr>
          <w:p>
            <w:pPr>
              <w:pStyle w:val="10"/>
            </w:pPr>
            <w:r>
              <w:t>绩效指标描述</w:t>
            </w:r>
          </w:p>
        </w:tc>
        <w:tc>
          <w:tcPr>
            <w:tcW w:w="1742" w:type="dxa"/>
            <w:vAlign w:val="center"/>
          </w:tcPr>
          <w:p>
            <w:pPr>
              <w:pStyle w:val="10"/>
            </w:pPr>
            <w:r>
              <w:t>指标值</w:t>
            </w:r>
          </w:p>
        </w:tc>
        <w:tc>
          <w:tcPr>
            <w:tcW w:w="39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5" w:type="dxa"/>
            <w:vMerge w:val="restart"/>
            <w:vAlign w:val="center"/>
          </w:tcPr>
          <w:p>
            <w:pPr>
              <w:pStyle w:val="13"/>
            </w:pPr>
            <w:r>
              <w:t>产出指标</w:t>
            </w:r>
          </w:p>
        </w:tc>
        <w:tc>
          <w:tcPr>
            <w:tcW w:w="1303" w:type="dxa"/>
            <w:vAlign w:val="center"/>
          </w:tcPr>
          <w:p>
            <w:pPr>
              <w:pStyle w:val="12"/>
            </w:pPr>
            <w:r>
              <w:t>数量指标</w:t>
            </w:r>
          </w:p>
        </w:tc>
        <w:tc>
          <w:tcPr>
            <w:tcW w:w="2606" w:type="dxa"/>
            <w:vAlign w:val="center"/>
          </w:tcPr>
          <w:p>
            <w:pPr>
              <w:pStyle w:val="12"/>
            </w:pPr>
            <w:r>
              <w:t>团干部教育和培训覆盖率</w:t>
            </w:r>
          </w:p>
        </w:tc>
        <w:tc>
          <w:tcPr>
            <w:tcW w:w="4485" w:type="dxa"/>
            <w:vAlign w:val="center"/>
          </w:tcPr>
          <w:p>
            <w:pPr>
              <w:pStyle w:val="12"/>
            </w:pPr>
            <w:r>
              <w:t>反映对团干部培训人数占总数的比率</w:t>
            </w:r>
          </w:p>
        </w:tc>
        <w:tc>
          <w:tcPr>
            <w:tcW w:w="1742" w:type="dxa"/>
            <w:vAlign w:val="center"/>
          </w:tcPr>
          <w:p>
            <w:pPr>
              <w:pStyle w:val="12"/>
            </w:pPr>
            <w:r>
              <w:t>≥95大于等于</w:t>
            </w:r>
          </w:p>
        </w:tc>
        <w:tc>
          <w:tcPr>
            <w:tcW w:w="3941"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5" w:type="dxa"/>
            <w:vMerge w:val="continue"/>
            <w:vAlign w:val="center"/>
          </w:tcPr>
          <w:p/>
        </w:tc>
        <w:tc>
          <w:tcPr>
            <w:tcW w:w="1303" w:type="dxa"/>
            <w:vAlign w:val="center"/>
          </w:tcPr>
          <w:p>
            <w:pPr>
              <w:pStyle w:val="12"/>
            </w:pPr>
            <w:r>
              <w:t>质量指标</w:t>
            </w:r>
          </w:p>
        </w:tc>
        <w:tc>
          <w:tcPr>
            <w:tcW w:w="2606" w:type="dxa"/>
            <w:vAlign w:val="center"/>
          </w:tcPr>
          <w:p>
            <w:pPr>
              <w:pStyle w:val="12"/>
            </w:pPr>
            <w:r>
              <w:t>青年志愿者队伍建设</w:t>
            </w:r>
          </w:p>
        </w:tc>
        <w:tc>
          <w:tcPr>
            <w:tcW w:w="4485" w:type="dxa"/>
            <w:vAlign w:val="center"/>
          </w:tcPr>
          <w:p>
            <w:pPr>
              <w:pStyle w:val="12"/>
            </w:pPr>
            <w:r>
              <w:t>反映新增注册志愿者占注册志愿者总数的比率</w:t>
            </w:r>
          </w:p>
        </w:tc>
        <w:tc>
          <w:tcPr>
            <w:tcW w:w="1742" w:type="dxa"/>
            <w:vAlign w:val="center"/>
          </w:tcPr>
          <w:p>
            <w:pPr>
              <w:pStyle w:val="12"/>
            </w:pPr>
            <w:r>
              <w:t>≥95大于等于</w:t>
            </w:r>
          </w:p>
        </w:tc>
        <w:tc>
          <w:tcPr>
            <w:tcW w:w="3941"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5" w:type="dxa"/>
            <w:vMerge w:val="continue"/>
            <w:vAlign w:val="center"/>
          </w:tcPr>
          <w:p/>
        </w:tc>
        <w:tc>
          <w:tcPr>
            <w:tcW w:w="1303" w:type="dxa"/>
            <w:vAlign w:val="center"/>
          </w:tcPr>
          <w:p>
            <w:pPr>
              <w:pStyle w:val="12"/>
            </w:pPr>
            <w:r>
              <w:t>时效指标</w:t>
            </w:r>
          </w:p>
        </w:tc>
        <w:tc>
          <w:tcPr>
            <w:tcW w:w="2606" w:type="dxa"/>
            <w:vAlign w:val="center"/>
          </w:tcPr>
          <w:p>
            <w:pPr>
              <w:pStyle w:val="12"/>
            </w:pPr>
            <w:r>
              <w:t>及时性</w:t>
            </w:r>
          </w:p>
        </w:tc>
        <w:tc>
          <w:tcPr>
            <w:tcW w:w="4485" w:type="dxa"/>
            <w:vAlign w:val="center"/>
          </w:tcPr>
          <w:p>
            <w:pPr>
              <w:pStyle w:val="12"/>
            </w:pPr>
            <w:r>
              <w:t>及时性</w:t>
            </w:r>
          </w:p>
        </w:tc>
        <w:tc>
          <w:tcPr>
            <w:tcW w:w="1742" w:type="dxa"/>
            <w:vAlign w:val="center"/>
          </w:tcPr>
          <w:p>
            <w:pPr>
              <w:pStyle w:val="12"/>
            </w:pPr>
            <w:r>
              <w:t>≥95大于等于</w:t>
            </w:r>
          </w:p>
        </w:tc>
        <w:tc>
          <w:tcPr>
            <w:tcW w:w="3941"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5" w:type="dxa"/>
            <w:vMerge w:val="continue"/>
            <w:vAlign w:val="center"/>
          </w:tcPr>
          <w:p/>
        </w:tc>
        <w:tc>
          <w:tcPr>
            <w:tcW w:w="1303" w:type="dxa"/>
            <w:vAlign w:val="center"/>
          </w:tcPr>
          <w:p>
            <w:pPr>
              <w:pStyle w:val="12"/>
            </w:pPr>
            <w:r>
              <w:t>成本指标</w:t>
            </w:r>
          </w:p>
        </w:tc>
        <w:tc>
          <w:tcPr>
            <w:tcW w:w="2606" w:type="dxa"/>
            <w:vAlign w:val="center"/>
          </w:tcPr>
          <w:p>
            <w:pPr>
              <w:pStyle w:val="12"/>
            </w:pPr>
            <w:r>
              <w:t>按总成本控制</w:t>
            </w:r>
          </w:p>
        </w:tc>
        <w:tc>
          <w:tcPr>
            <w:tcW w:w="4485" w:type="dxa"/>
            <w:vAlign w:val="center"/>
          </w:tcPr>
          <w:p>
            <w:pPr>
              <w:pStyle w:val="12"/>
            </w:pPr>
            <w:r>
              <w:t>按总成本控制</w:t>
            </w:r>
          </w:p>
        </w:tc>
        <w:tc>
          <w:tcPr>
            <w:tcW w:w="1742" w:type="dxa"/>
            <w:vAlign w:val="center"/>
          </w:tcPr>
          <w:p>
            <w:pPr>
              <w:pStyle w:val="12"/>
            </w:pPr>
            <w:r>
              <w:t>≥95大于等于</w:t>
            </w:r>
          </w:p>
        </w:tc>
        <w:tc>
          <w:tcPr>
            <w:tcW w:w="3941"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5" w:type="dxa"/>
            <w:vMerge w:val="restart"/>
            <w:vAlign w:val="center"/>
          </w:tcPr>
          <w:p>
            <w:pPr>
              <w:pStyle w:val="13"/>
            </w:pPr>
            <w:r>
              <w:t>效益指标</w:t>
            </w:r>
          </w:p>
        </w:tc>
        <w:tc>
          <w:tcPr>
            <w:tcW w:w="1303" w:type="dxa"/>
            <w:vAlign w:val="center"/>
          </w:tcPr>
          <w:p>
            <w:pPr>
              <w:pStyle w:val="12"/>
            </w:pPr>
            <w:r>
              <w:t>经济效益指标</w:t>
            </w:r>
          </w:p>
        </w:tc>
        <w:tc>
          <w:tcPr>
            <w:tcW w:w="2606" w:type="dxa"/>
            <w:vAlign w:val="center"/>
          </w:tcPr>
          <w:p>
            <w:pPr>
              <w:pStyle w:val="12"/>
            </w:pPr>
            <w:r>
              <w:t>青少年参加纪念“五四”、“六一”等各类思想引导类活动的满意度</w:t>
            </w:r>
          </w:p>
        </w:tc>
        <w:tc>
          <w:tcPr>
            <w:tcW w:w="4485" w:type="dxa"/>
            <w:vAlign w:val="center"/>
          </w:tcPr>
          <w:p>
            <w:pPr>
              <w:pStyle w:val="12"/>
            </w:pPr>
            <w:r>
              <w:t>反应思想引导对象满意数占总数的比例</w:t>
            </w:r>
          </w:p>
        </w:tc>
        <w:tc>
          <w:tcPr>
            <w:tcW w:w="1742" w:type="dxa"/>
            <w:vAlign w:val="center"/>
          </w:tcPr>
          <w:p>
            <w:pPr>
              <w:pStyle w:val="12"/>
            </w:pPr>
            <w:r>
              <w:t>≥95大于等于</w:t>
            </w:r>
          </w:p>
        </w:tc>
        <w:tc>
          <w:tcPr>
            <w:tcW w:w="3941"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5" w:type="dxa"/>
            <w:vMerge w:val="continue"/>
            <w:vAlign w:val="center"/>
          </w:tcPr>
          <w:p/>
        </w:tc>
        <w:tc>
          <w:tcPr>
            <w:tcW w:w="1303" w:type="dxa"/>
            <w:vAlign w:val="center"/>
          </w:tcPr>
          <w:p>
            <w:pPr>
              <w:pStyle w:val="12"/>
            </w:pPr>
            <w:r>
              <w:t>社会效益指标</w:t>
            </w:r>
          </w:p>
        </w:tc>
        <w:tc>
          <w:tcPr>
            <w:tcW w:w="2606" w:type="dxa"/>
            <w:vAlign w:val="center"/>
          </w:tcPr>
          <w:p>
            <w:pPr>
              <w:pStyle w:val="12"/>
            </w:pPr>
            <w:r>
              <w:t>成本利用率</w:t>
            </w:r>
          </w:p>
        </w:tc>
        <w:tc>
          <w:tcPr>
            <w:tcW w:w="4485" w:type="dxa"/>
            <w:vAlign w:val="center"/>
          </w:tcPr>
          <w:p>
            <w:pPr>
              <w:pStyle w:val="12"/>
            </w:pPr>
            <w:r>
              <w:t>成本利用率</w:t>
            </w:r>
          </w:p>
        </w:tc>
        <w:tc>
          <w:tcPr>
            <w:tcW w:w="1742" w:type="dxa"/>
            <w:vAlign w:val="center"/>
          </w:tcPr>
          <w:p>
            <w:pPr>
              <w:pStyle w:val="12"/>
            </w:pPr>
            <w:r>
              <w:t>≥95大于等于</w:t>
            </w:r>
          </w:p>
        </w:tc>
        <w:tc>
          <w:tcPr>
            <w:tcW w:w="3941"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5" w:type="dxa"/>
            <w:vMerge w:val="continue"/>
            <w:vAlign w:val="center"/>
          </w:tcPr>
          <w:p/>
        </w:tc>
        <w:tc>
          <w:tcPr>
            <w:tcW w:w="1303" w:type="dxa"/>
            <w:vAlign w:val="center"/>
          </w:tcPr>
          <w:p>
            <w:pPr>
              <w:pStyle w:val="12"/>
            </w:pPr>
            <w:r>
              <w:t>生态效益指标</w:t>
            </w:r>
          </w:p>
        </w:tc>
        <w:tc>
          <w:tcPr>
            <w:tcW w:w="2606" w:type="dxa"/>
            <w:vAlign w:val="center"/>
          </w:tcPr>
          <w:p>
            <w:pPr>
              <w:pStyle w:val="12"/>
            </w:pPr>
            <w:r>
              <w:t>促进生态文明建设，推动绿色发展</w:t>
            </w:r>
          </w:p>
        </w:tc>
        <w:tc>
          <w:tcPr>
            <w:tcW w:w="4485" w:type="dxa"/>
            <w:vAlign w:val="center"/>
          </w:tcPr>
          <w:p>
            <w:pPr>
              <w:pStyle w:val="12"/>
            </w:pPr>
            <w:r>
              <w:t>促进生态文明建设，推动绿色发展和绿色生活方式</w:t>
            </w:r>
          </w:p>
        </w:tc>
        <w:tc>
          <w:tcPr>
            <w:tcW w:w="1742" w:type="dxa"/>
            <w:vAlign w:val="center"/>
          </w:tcPr>
          <w:p>
            <w:pPr>
              <w:pStyle w:val="12"/>
            </w:pPr>
            <w:r>
              <w:t>≥95大于等于</w:t>
            </w:r>
          </w:p>
        </w:tc>
        <w:tc>
          <w:tcPr>
            <w:tcW w:w="3941"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5" w:type="dxa"/>
            <w:vMerge w:val="continue"/>
            <w:vAlign w:val="center"/>
          </w:tcPr>
          <w:p/>
        </w:tc>
        <w:tc>
          <w:tcPr>
            <w:tcW w:w="1303" w:type="dxa"/>
            <w:vAlign w:val="center"/>
          </w:tcPr>
          <w:p>
            <w:pPr>
              <w:pStyle w:val="12"/>
            </w:pPr>
            <w:r>
              <w:t>可持续影响指标</w:t>
            </w:r>
          </w:p>
        </w:tc>
        <w:tc>
          <w:tcPr>
            <w:tcW w:w="2606" w:type="dxa"/>
            <w:vAlign w:val="center"/>
          </w:tcPr>
          <w:p>
            <w:pPr>
              <w:pStyle w:val="12"/>
            </w:pPr>
            <w:r>
              <w:t>办理人群体验度(%)</w:t>
            </w:r>
          </w:p>
        </w:tc>
        <w:tc>
          <w:tcPr>
            <w:tcW w:w="4485" w:type="dxa"/>
            <w:vAlign w:val="center"/>
          </w:tcPr>
          <w:p>
            <w:pPr>
              <w:pStyle w:val="12"/>
            </w:pPr>
            <w:r>
              <w:t>办理人群体验度(%)</w:t>
            </w:r>
          </w:p>
        </w:tc>
        <w:tc>
          <w:tcPr>
            <w:tcW w:w="1742" w:type="dxa"/>
            <w:vAlign w:val="center"/>
          </w:tcPr>
          <w:p>
            <w:pPr>
              <w:pStyle w:val="12"/>
            </w:pPr>
            <w:r>
              <w:t>≥95大于等于</w:t>
            </w:r>
          </w:p>
        </w:tc>
        <w:tc>
          <w:tcPr>
            <w:tcW w:w="3941"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5" w:type="dxa"/>
            <w:vAlign w:val="center"/>
          </w:tcPr>
          <w:p>
            <w:pPr>
              <w:pStyle w:val="13"/>
            </w:pPr>
            <w:r>
              <w:t>满意度指标</w:t>
            </w:r>
          </w:p>
        </w:tc>
        <w:tc>
          <w:tcPr>
            <w:tcW w:w="1303" w:type="dxa"/>
            <w:vAlign w:val="center"/>
          </w:tcPr>
          <w:p>
            <w:pPr>
              <w:pStyle w:val="12"/>
            </w:pPr>
            <w:r>
              <w:t>服务对象满意度指标</w:t>
            </w:r>
          </w:p>
        </w:tc>
        <w:tc>
          <w:tcPr>
            <w:tcW w:w="2606" w:type="dxa"/>
            <w:vAlign w:val="center"/>
          </w:tcPr>
          <w:p>
            <w:pPr>
              <w:pStyle w:val="12"/>
            </w:pPr>
            <w:r>
              <w:t>服务对象满意度</w:t>
            </w:r>
          </w:p>
        </w:tc>
        <w:tc>
          <w:tcPr>
            <w:tcW w:w="4485" w:type="dxa"/>
            <w:vAlign w:val="center"/>
          </w:tcPr>
          <w:p>
            <w:pPr>
              <w:pStyle w:val="12"/>
            </w:pPr>
            <w:r>
              <w:t>服务对象满意度(%)</w:t>
            </w:r>
          </w:p>
        </w:tc>
        <w:tc>
          <w:tcPr>
            <w:tcW w:w="1742" w:type="dxa"/>
            <w:vAlign w:val="center"/>
          </w:tcPr>
          <w:p>
            <w:pPr>
              <w:pStyle w:val="12"/>
            </w:pPr>
            <w:r>
              <w:t>≥95大于等于</w:t>
            </w:r>
          </w:p>
        </w:tc>
        <w:tc>
          <w:tcPr>
            <w:tcW w:w="3941" w:type="dxa"/>
            <w:vAlign w:val="center"/>
          </w:tcPr>
          <w:p>
            <w:pPr>
              <w:pStyle w:val="12"/>
            </w:pPr>
            <w:r>
              <w:t>根据相关文件依据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政府采购金额（当年单位预算安排资金）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中国共产主义青年团无极县委员会本级上年末固定资产金额为66890.00万元（详见下表）。本年度拟购置固定资产总额为0.00万元，已按要求列入政府采购预算，详见政府采购预算表。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66890.00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27</w:t>
            </w:r>
          </w:p>
        </w:tc>
        <w:tc>
          <w:tcPr>
            <w:tcW w:w="2835" w:type="dxa"/>
            <w:vAlign w:val="center"/>
          </w:tcPr>
          <w:p>
            <w:pPr>
              <w:pStyle w:val="11"/>
            </w:pPr>
            <w:r>
              <w:t>66890.00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426EBF"/>
    <w:rsid w:val="001F0EA3"/>
    <w:rsid w:val="00426EBF"/>
    <w:rsid w:val="00B31EDD"/>
    <w:rsid w:val="00DB14D0"/>
    <w:rsid w:val="1207565D"/>
    <w:rsid w:val="18663704"/>
    <w:rsid w:val="5D5B0B32"/>
    <w:rsid w:val="5E0273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2024-02-02T16:22:40Z</dcterms:created>
  <dcterms:modified xsi:type="dcterms:W3CDTF">2024-02-02T08:22:40Z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2024-02-02T16:22:36Z</dcterms:created>
  <dcterms:modified xsi:type="dcterms:W3CDTF">2024-02-02T08:22:36Z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2024-02-02T16:22:41Z</dcterms:created>
  <dcterms:modified xsi:type="dcterms:W3CDTF">2024-02-02T08:22:41Z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2024-02-02T16:22:40Z</dcterms:created>
  <dcterms:modified xsi:type="dcterms:W3CDTF">2024-02-02T08:22:39Z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525AFB8-0AB9-4946-8DCC-CDA9F90D9AF0}">
  <ds:schemaRefs/>
</ds:datastoreItem>
</file>

<file path=customXml/itemProps2.xml><?xml version="1.0" encoding="utf-8"?>
<ds:datastoreItem xmlns:ds="http://schemas.openxmlformats.org/officeDocument/2006/customXml" ds:itemID="{74921378-3B7E-49D0-AB50-1F93211AB6AA}">
  <ds:schemaRefs/>
</ds:datastoreItem>
</file>

<file path=customXml/itemProps3.xml><?xml version="1.0" encoding="utf-8"?>
<ds:datastoreItem xmlns:ds="http://schemas.openxmlformats.org/officeDocument/2006/customXml" ds:itemID="{DB6760C1-6935-484C-B79B-F4B5BE78120F}">
  <ds:schemaRefs/>
</ds:datastoreItem>
</file>

<file path=customXml/itemProps4.xml><?xml version="1.0" encoding="utf-8"?>
<ds:datastoreItem xmlns:ds="http://schemas.openxmlformats.org/officeDocument/2006/customXml" ds:itemID="{108A9488-1FCC-4DF8-8A5A-F428C1CC4EBD}">
  <ds:schemaRefs/>
</ds:datastoreItem>
</file>

<file path=customXml/itemProps5.xml><?xml version="1.0" encoding="utf-8"?>
<ds:datastoreItem xmlns:ds="http://schemas.openxmlformats.org/officeDocument/2006/customXml" ds:itemID="{6B992AC8-D638-4478-9048-7D1DC8FFC038}">
  <ds:schemaRefs/>
</ds:datastoreItem>
</file>

<file path=customXml/itemProps6.xml><?xml version="1.0" encoding="utf-8"?>
<ds:datastoreItem xmlns:ds="http://schemas.openxmlformats.org/officeDocument/2006/customXml" ds:itemID="{B8E00737-593E-4866-A11B-E4DE3BF3303D}">
  <ds:schemaRefs/>
</ds:datastoreItem>
</file>

<file path=customXml/itemProps7.xml><?xml version="1.0" encoding="utf-8"?>
<ds:datastoreItem xmlns:ds="http://schemas.openxmlformats.org/officeDocument/2006/customXml" ds:itemID="{1AAD3B09-F7CB-46B5-88E6-6E1E8DE6633B}">
  <ds:schemaRefs/>
</ds:datastoreItem>
</file>

<file path=customXml/itemProps8.xml><?xml version="1.0" encoding="utf-8"?>
<ds:datastoreItem xmlns:ds="http://schemas.openxmlformats.org/officeDocument/2006/customXml" ds:itemID="{3BA916EE-1313-4D69-86D7-DF7A43AF81A1}">
  <ds:schemaRefs/>
</ds:datastoreItem>
</file>

<file path=customXml/itemProps9.xml><?xml version="1.0" encoding="utf-8"?>
<ds:datastoreItem xmlns:ds="http://schemas.openxmlformats.org/officeDocument/2006/customXml" ds:itemID="{2F97F25B-2DBB-4C0B-86E2-F6D973B5B667}">
  <ds:schemaRefs/>
</ds:datastoreItem>
</file>

<file path=docProps/app.xml><?xml version="1.0" encoding="utf-8"?>
<Properties xmlns="http://schemas.openxmlformats.org/officeDocument/2006/extended-properties" xmlns:vt="http://schemas.openxmlformats.org/officeDocument/2006/docPropsVTypes">
  <Template>Normal</Template>
  <Pages>21</Pages>
  <Words>1175</Words>
  <Characters>6702</Characters>
  <Lines>55</Lines>
  <Paragraphs>15</Paragraphs>
  <TotalTime>1</TotalTime>
  <ScaleCrop>false</ScaleCrop>
  <LinksUpToDate>false</LinksUpToDate>
  <CharactersWithSpaces>7862</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2024-02-02T08:31:00Z</dcterms:created>
  <dc:creator>Administrator</dc:creator>
  <cp:lastModifiedBy>李润泽</cp:lastModifiedBy>
  <dcterms:modified xsi:type="dcterms:W3CDTF">2024-02-05T01:31:28Z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928EB3511B834B6795A7F5D1E5FDE417</vt:lpwstr>
  </property>
</Properties>
</file>